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Verona Pharma plc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Ordinary Shares, nominal value £0.05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American Depositary Shares, each representing eight Ordinary Shares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u w:val="single" w:color="auto"/>
          <w:color w:val="auto"/>
        </w:rPr>
        <w:t>925050106</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-10160</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200" w:hanging="4"/>
        <w:spacing w:after="0" w:line="227" w:lineRule="exact"/>
        <w:tabs>
          <w:tab w:leader="none" w:pos="9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94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246" w:lineRule="exact"/>
        <w:rPr>
          <w:sz w:val="20"/>
          <w:szCs w:val="20"/>
          <w:color w:val="auto"/>
        </w:rPr>
      </w:pPr>
    </w:p>
    <w:p>
      <w:pPr>
        <w:ind w:left="800" w:hanging="493"/>
        <w:spacing w:after="0"/>
        <w:tabs>
          <w:tab w:leader="none" w:pos="8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800" w:right="4860"/>
        <w:spacing w:after="0" w:line="51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36" w:lineRule="exact"/>
        <w:rPr>
          <w:sz w:val="20"/>
          <w:szCs w:val="20"/>
          <w:color w:val="auto"/>
        </w:rPr>
      </w:pPr>
    </w:p>
    <w:p>
      <w:pPr>
        <w:ind w:left="800" w:hanging="493"/>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940" w:hanging="518"/>
        <w:spacing w:after="0" w:line="207" w:lineRule="exact"/>
        <w:tabs>
          <w:tab w:leader="none" w:pos="79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940" w:hanging="518"/>
        <w:spacing w:after="0" w:line="207" w:lineRule="exact"/>
        <w:tabs>
          <w:tab w:leader="none" w:pos="79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7" w:lineRule="exact"/>
        <w:rPr>
          <w:sz w:val="20"/>
          <w:szCs w:val="20"/>
          <w:color w:val="auto"/>
        </w:rPr>
      </w:pPr>
    </w:p>
    <w:p>
      <w:pPr>
        <w:ind w:left="800" w:hanging="493"/>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right="6780" w:hanging="493"/>
        <w:spacing w:after="0" w:line="524" w:lineRule="auto"/>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8"/>
        </w:trPr>
        <w:tc>
          <w:tcPr>
            <w:tcW w:w="228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8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82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3900" w:hanging="493"/>
        <w:spacing w:after="0" w:line="521" w:lineRule="auto"/>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48,778,172</w:t>
      </w:r>
    </w:p>
    <w:p>
      <w:pPr>
        <w:ind w:left="800" w:hanging="538"/>
        <w:spacing w:after="0" w:line="207" w:lineRule="exact"/>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25" w:lineRule="exact"/>
        <w:rPr>
          <w:rFonts w:ascii="Arial" w:cs="Arial" w:eastAsia="Arial" w:hAnsi="Arial"/>
          <w:sz w:val="18"/>
          <w:szCs w:val="18"/>
          <w:b w:val="1"/>
          <w:bCs w:val="1"/>
          <w:color w:val="auto"/>
        </w:rPr>
      </w:pPr>
    </w:p>
    <w:p>
      <w:pPr>
        <w:ind w:left="800" w:right="5500" w:hanging="533"/>
        <w:spacing w:after="0" w:line="527" w:lineRule="auto"/>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22" w:lineRule="exact"/>
        <w:rPr>
          <w:rFonts w:ascii="Arial" w:cs="Arial" w:eastAsia="Arial" w:hAnsi="Arial"/>
          <w:sz w:val="18"/>
          <w:szCs w:val="18"/>
          <w:b w:val="1"/>
          <w:bCs w:val="1"/>
          <w:color w:val="auto"/>
        </w:rPr>
      </w:pPr>
    </w:p>
    <w:p>
      <w:pPr>
        <w:ind w:left="800" w:right="6120" w:hanging="538"/>
        <w:spacing w:after="0" w:line="527" w:lineRule="auto"/>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925050106</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6557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5764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560" w:hanging="374"/>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Peter Kolchinsky</w:t>
      </w:r>
    </w:p>
    <w:p>
      <w:pPr>
        <w:spacing w:after="0" w:line="239" w:lineRule="exact"/>
        <w:rPr>
          <w:sz w:val="20"/>
          <w:szCs w:val="20"/>
          <w:color w:val="auto"/>
        </w:rPr>
      </w:pPr>
    </w:p>
    <w:p>
      <w:pPr>
        <w:ind w:left="560" w:hanging="374"/>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700" w:hanging="521"/>
        <w:spacing w:after="0" w:line="207" w:lineRule="exact"/>
        <w:tabs>
          <w:tab w:leader="none" w:pos="77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700" w:hanging="521"/>
        <w:spacing w:after="0" w:line="207" w:lineRule="exact"/>
        <w:tabs>
          <w:tab w:leader="none" w:pos="770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560" w:hanging="374"/>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560" w:right="7020" w:hanging="374"/>
        <w:spacing w:after="0" w:line="527" w:lineRule="auto"/>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80" w:type="dxa"/>
            <w:vAlign w:val="bottom"/>
            <w:tcBorders>
              <w:top w:val="single" w:sz="8" w:color="auto"/>
              <w:right w:val="single" w:sz="8" w:color="auto"/>
            </w:tcBorders>
          </w:tcPr>
          <w:p>
            <w:pPr>
              <w:spacing w:after="0"/>
              <w:rPr>
                <w:sz w:val="22"/>
                <w:szCs w:val="22"/>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8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82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ind w:left="560" w:right="4120" w:hanging="367"/>
        <w:spacing w:after="0" w:line="481" w:lineRule="auto"/>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48,778,172</w:t>
      </w:r>
    </w:p>
    <w:p>
      <w:pPr>
        <w:spacing w:after="0" w:line="1" w:lineRule="exact"/>
        <w:rPr>
          <w:sz w:val="20"/>
          <w:szCs w:val="20"/>
          <w:color w:val="auto"/>
        </w:rPr>
      </w:pPr>
    </w:p>
    <w:p>
      <w:pPr>
        <w:ind w:left="560" w:hanging="413"/>
        <w:spacing w:after="0" w:line="207" w:lineRule="exact"/>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b w:val="1"/>
          <w:bCs w:val="1"/>
          <w:color w:val="auto"/>
        </w:rPr>
      </w:pPr>
    </w:p>
    <w:p>
      <w:pPr>
        <w:ind w:left="560" w:right="5740" w:hanging="408"/>
        <w:spacing w:after="0" w:line="506" w:lineRule="auto"/>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4" w:lineRule="exact"/>
        <w:rPr>
          <w:rFonts w:ascii="Arial" w:cs="Arial" w:eastAsia="Arial" w:hAnsi="Arial"/>
          <w:sz w:val="18"/>
          <w:szCs w:val="18"/>
          <w:b w:val="1"/>
          <w:bCs w:val="1"/>
          <w:color w:val="auto"/>
        </w:rPr>
      </w:pPr>
    </w:p>
    <w:p>
      <w:pPr>
        <w:ind w:left="560" w:right="6340" w:hanging="413"/>
        <w:spacing w:after="0" w:line="527" w:lineRule="auto"/>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94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246" w:lineRule="exact"/>
        <w:rPr>
          <w:sz w:val="20"/>
          <w:szCs w:val="20"/>
          <w:color w:val="auto"/>
        </w:rPr>
      </w:pPr>
    </w:p>
    <w:p>
      <w:pPr>
        <w:ind w:left="800" w:hanging="493"/>
        <w:spacing w:after="0"/>
        <w:tabs>
          <w:tab w:leader="none" w:pos="8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800" w:right="4860"/>
        <w:spacing w:after="0" w:line="51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36" w:lineRule="exact"/>
        <w:rPr>
          <w:sz w:val="20"/>
          <w:szCs w:val="20"/>
          <w:color w:val="auto"/>
        </w:rPr>
      </w:pPr>
    </w:p>
    <w:p>
      <w:pPr>
        <w:ind w:left="800" w:hanging="493"/>
        <w:spacing w:after="0"/>
        <w:tabs>
          <w:tab w:leader="none" w:pos="8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940" w:hanging="518"/>
        <w:spacing w:after="0" w:line="207" w:lineRule="exact"/>
        <w:tabs>
          <w:tab w:leader="none" w:pos="79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940" w:hanging="518"/>
        <w:spacing w:after="0" w:line="207" w:lineRule="exact"/>
        <w:tabs>
          <w:tab w:leader="none" w:pos="79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7" w:lineRule="exact"/>
        <w:rPr>
          <w:sz w:val="20"/>
          <w:szCs w:val="20"/>
          <w:color w:val="auto"/>
        </w:rPr>
      </w:pPr>
    </w:p>
    <w:p>
      <w:pPr>
        <w:ind w:left="800" w:hanging="493"/>
        <w:spacing w:after="0"/>
        <w:tabs>
          <w:tab w:leader="none" w:pos="8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right="6780" w:hanging="493"/>
        <w:spacing w:after="0" w:line="524" w:lineRule="auto"/>
        <w:tabs>
          <w:tab w:leader="none" w:pos="8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38"/>
        </w:trPr>
        <w:tc>
          <w:tcPr>
            <w:tcW w:w="228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8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82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3900" w:hanging="493"/>
        <w:spacing w:after="0" w:line="521" w:lineRule="auto"/>
        <w:tabs>
          <w:tab w:leader="none" w:pos="80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48,778,172</w:t>
      </w:r>
    </w:p>
    <w:p>
      <w:pPr>
        <w:ind w:left="800" w:hanging="538"/>
        <w:spacing w:after="0" w:line="207" w:lineRule="exact"/>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25" w:lineRule="exact"/>
        <w:rPr>
          <w:rFonts w:ascii="Arial" w:cs="Arial" w:eastAsia="Arial" w:hAnsi="Arial"/>
          <w:sz w:val="18"/>
          <w:szCs w:val="18"/>
          <w:b w:val="1"/>
          <w:bCs w:val="1"/>
          <w:color w:val="auto"/>
        </w:rPr>
      </w:pPr>
    </w:p>
    <w:p>
      <w:pPr>
        <w:ind w:left="800" w:right="5500" w:hanging="533"/>
        <w:spacing w:after="0" w:line="527" w:lineRule="auto"/>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22" w:lineRule="exact"/>
        <w:rPr>
          <w:rFonts w:ascii="Arial" w:cs="Arial" w:eastAsia="Arial" w:hAnsi="Arial"/>
          <w:sz w:val="18"/>
          <w:szCs w:val="18"/>
          <w:b w:val="1"/>
          <w:bCs w:val="1"/>
          <w:color w:val="auto"/>
        </w:rPr>
      </w:pPr>
    </w:p>
    <w:p>
      <w:pPr>
        <w:ind w:left="800" w:right="6120" w:hanging="538"/>
        <w:spacing w:after="0" w:line="527" w:lineRule="auto"/>
        <w:tabs>
          <w:tab w:leader="none" w:pos="80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925050106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694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246" w:lineRule="exact"/>
        <w:rPr>
          <w:sz w:val="20"/>
          <w:szCs w:val="20"/>
          <w:color w:val="auto"/>
        </w:rPr>
      </w:pPr>
    </w:p>
    <w:p>
      <w:pPr>
        <w:ind w:left="800" w:hanging="493"/>
        <w:spacing w:after="0"/>
        <w:tabs>
          <w:tab w:leader="none" w:pos="8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800" w:right="4860"/>
        <w:spacing w:after="0" w:line="511"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36" w:lineRule="exact"/>
        <w:rPr>
          <w:sz w:val="20"/>
          <w:szCs w:val="20"/>
          <w:color w:val="auto"/>
        </w:rPr>
      </w:pPr>
    </w:p>
    <w:p>
      <w:pPr>
        <w:ind w:left="800" w:hanging="493"/>
        <w:spacing w:after="0"/>
        <w:tabs>
          <w:tab w:leader="none" w:pos="8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b w:val="1"/>
          <w:bCs w:val="1"/>
          <w:color w:val="auto"/>
        </w:rPr>
      </w:pPr>
    </w:p>
    <w:p>
      <w:pPr>
        <w:ind w:left="7940" w:hanging="518"/>
        <w:spacing w:after="0" w:line="207" w:lineRule="exact"/>
        <w:tabs>
          <w:tab w:leader="none" w:pos="794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7940" w:hanging="518"/>
        <w:spacing w:after="0" w:line="207" w:lineRule="exact"/>
        <w:tabs>
          <w:tab w:leader="none" w:pos="794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7" w:lineRule="exact"/>
        <w:rPr>
          <w:sz w:val="20"/>
          <w:szCs w:val="20"/>
          <w:color w:val="auto"/>
        </w:rPr>
      </w:pPr>
    </w:p>
    <w:p>
      <w:pPr>
        <w:ind w:left="800" w:hanging="493"/>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800" w:right="6780" w:hanging="493"/>
        <w:spacing w:after="0" w:line="524" w:lineRule="auto"/>
        <w:tabs>
          <w:tab w:leader="none" w:pos="8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8"/>
        </w:trPr>
        <w:tc>
          <w:tcPr>
            <w:tcW w:w="228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w:t>
            </w:r>
          </w:p>
        </w:tc>
        <w:tc>
          <w:tcPr>
            <w:tcW w:w="8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restart"/>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7</w:t>
            </w:r>
          </w:p>
        </w:tc>
        <w:tc>
          <w:tcPr>
            <w:tcW w:w="828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spacing w:after="0"/>
              <w:rPr>
                <w:sz w:val="18"/>
                <w:szCs w:val="18"/>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2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w:t>
            </w:r>
          </w:p>
        </w:tc>
        <w:tc>
          <w:tcPr>
            <w:tcW w:w="82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48,778,172</w:t>
            </w:r>
          </w:p>
        </w:tc>
        <w:tc>
          <w:tcPr>
            <w:tcW w:w="0" w:type="dxa"/>
            <w:vAlign w:val="bottom"/>
          </w:tcPr>
          <w:p>
            <w:pPr>
              <w:spacing w:after="0"/>
              <w:rPr>
                <w:sz w:val="1"/>
                <w:szCs w:val="1"/>
                <w:color w:val="auto"/>
              </w:rPr>
            </w:pPr>
          </w:p>
        </w:tc>
      </w:tr>
      <w:tr>
        <w:trPr>
          <w:trHeight w:val="243"/>
        </w:trPr>
        <w:tc>
          <w:tcPr>
            <w:tcW w:w="22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8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0" w:right="3900" w:hanging="493"/>
        <w:spacing w:after="0" w:line="521" w:lineRule="auto"/>
        <w:tabs>
          <w:tab w:leader="none" w:pos="80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48,778,172</w:t>
      </w:r>
    </w:p>
    <w:p>
      <w:pPr>
        <w:ind w:left="800" w:hanging="538"/>
        <w:spacing w:after="0" w:line="207" w:lineRule="exact"/>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25" w:lineRule="exact"/>
        <w:rPr>
          <w:rFonts w:ascii="Arial" w:cs="Arial" w:eastAsia="Arial" w:hAnsi="Arial"/>
          <w:sz w:val="18"/>
          <w:szCs w:val="18"/>
          <w:b w:val="1"/>
          <w:bCs w:val="1"/>
          <w:color w:val="auto"/>
        </w:rPr>
      </w:pPr>
    </w:p>
    <w:p>
      <w:pPr>
        <w:ind w:left="800" w:right="5500" w:hanging="533"/>
        <w:spacing w:after="0" w:line="527" w:lineRule="auto"/>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9.99%</w:t>
      </w:r>
    </w:p>
    <w:p>
      <w:pPr>
        <w:spacing w:after="0" w:line="22" w:lineRule="exact"/>
        <w:rPr>
          <w:rFonts w:ascii="Arial" w:cs="Arial" w:eastAsia="Arial" w:hAnsi="Arial"/>
          <w:sz w:val="18"/>
          <w:szCs w:val="18"/>
          <w:b w:val="1"/>
          <w:bCs w:val="1"/>
          <w:color w:val="auto"/>
        </w:rPr>
      </w:pPr>
    </w:p>
    <w:p>
      <w:pPr>
        <w:ind w:left="800" w:right="6120" w:hanging="538"/>
        <w:spacing w:after="0" w:line="527" w:lineRule="auto"/>
        <w:tabs>
          <w:tab w:leader="none" w:pos="8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Verona Pharma plc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More London Riverside, London SE1 2RE,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nominal value £0.05 per share (“Ordinary Shares”)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925050106</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90" w:lineRule="auto"/>
        <w:rPr>
          <w:sz w:val="20"/>
          <w:szCs w:val="20"/>
          <w:color w:val="auto"/>
        </w:rPr>
      </w:pPr>
      <w:r>
        <w:rPr>
          <w:rFonts w:ascii="Arial" w:cs="Arial" w:eastAsia="Arial" w:hAnsi="Arial"/>
          <w:sz w:val="16"/>
          <w:szCs w:val="16"/>
          <w:color w:val="auto"/>
        </w:rPr>
        <w:t>The Fund directly holds (i) 5,100,000 shares of American Depository Shares (“ADSs”) that each represent 8 Ordinary Shares (totaling 40,800,000 Ordinary Shares) and (ii) non-voting ordinary shares (“Non-Voting Ordinary Shares”) that it has the right to redesignate as 48,088,896 shares of Ordinary Shares, subject to the Beneficial Ownership Blocker (as defined below). . The Non-Voting Ordinary Shares may be redesignated as Ordinary Shares at the election of the holder, except that the agreement governing the terms of the redesignation of the Non-Voting Ordinary Shares contains a provision (the “Beneficial Ownership Blocker”) which precludes the redesignation of Non-Voting Ordinary Shares to the extent that, following the election of redesignation, the holder, together with its affiliates and any other person acting together with the holder as a “group” (as defined in the rules under the Securities Exchange Act of 1934 (the “Act”)), would beneficially own more than 9.99% of the Ordinary Shares outstanding (including any Ordinary Shares in the form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980"/>
        <w:spacing w:after="0" w:line="277" w:lineRule="auto"/>
        <w:rPr>
          <w:sz w:val="20"/>
          <w:szCs w:val="20"/>
          <w:color w:val="auto"/>
        </w:rPr>
      </w:pPr>
      <w:r>
        <w:rPr>
          <w:rFonts w:ascii="Arial" w:cs="Arial" w:eastAsia="Arial" w:hAnsi="Arial"/>
          <w:sz w:val="18"/>
          <w:szCs w:val="18"/>
          <w:color w:val="auto"/>
        </w:rPr>
        <w:t>The Reporting Persons are currently prohibited from exercising the warrants to the extent that exercise would result in beneficial ownership of more than 48,778,172 shares of Ordinary Shares by the Reporting Persons.</w:t>
      </w:r>
    </w:p>
    <w:p>
      <w:pPr>
        <w:spacing w:after="0" w:line="170" w:lineRule="exact"/>
        <w:rPr>
          <w:sz w:val="20"/>
          <w:szCs w:val="20"/>
          <w:color w:val="auto"/>
        </w:rPr>
      </w:pPr>
    </w:p>
    <w:p>
      <w:pPr>
        <w:ind w:left="980" w:right="20"/>
        <w:spacing w:after="0" w:line="301" w:lineRule="auto"/>
        <w:rPr>
          <w:sz w:val="20"/>
          <w:szCs w:val="20"/>
          <w:color w:val="auto"/>
        </w:rPr>
      </w:pPr>
      <w:r>
        <w:rPr>
          <w:rFonts w:ascii="Arial" w:cs="Arial" w:eastAsia="Arial" w:hAnsi="Arial"/>
          <w:sz w:val="16"/>
          <w:szCs w:val="16"/>
          <w:color w:val="auto"/>
        </w:rPr>
        <w:t>The information required by this item with respect to each Reporting Person is set forth in Rows 5 through 9 and 11 of the cover page to this Schedule 13G. The beneficial ownership percentages reported are based on 480,082,966 outstanding shares of Ordinary Shares, as reported in the Issuer’s Form 10-Q filed on November 9, 2021, plus (ii) 7,978,172 Ordinary Shares of which the Reporting Persons may currently acquire beneficial ownership upon the redesignation of Non-Voting Ordinary Shares, as limited by the Beneficial Ownership Blocker.</w:t>
      </w:r>
    </w:p>
    <w:p>
      <w:pPr>
        <w:spacing w:after="0" w:line="157" w:lineRule="exact"/>
        <w:rPr>
          <w:sz w:val="20"/>
          <w:szCs w:val="20"/>
          <w:color w:val="auto"/>
        </w:rPr>
      </w:pPr>
    </w:p>
    <w:p>
      <w:pPr>
        <w:ind w:left="980" w:right="2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February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RA Capital Healthcare Fund GP,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14, 2022,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Ordinary Shares, nominal value £0.05 per share of Verona Pharma plc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RA Capital Healthcare Fund GP,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Peter Kolchinsky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Peter Kolchinsky</w:t>
      </w:r>
    </w:p>
    <w:p>
      <w:pPr>
        <w:spacing w:after="0" w:line="9" w:lineRule="exact"/>
        <w:rPr>
          <w:sz w:val="20"/>
          <w:szCs w:val="20"/>
          <w:color w:val="auto"/>
        </w:rPr>
      </w:pPr>
    </w:p>
    <w:p>
      <w:pPr>
        <w:ind w:left="520"/>
        <w:spacing w:after="0"/>
        <w:tabs>
          <w:tab w:leader="none" w:pos="110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lvl w:ilvl="1">
      <w:lvlJc w:val="left"/>
      <w:lvlText w:val="(%2)"/>
      <w:numFmt w:val="lowerLetter"/>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lvl w:ilvl="1">
      <w:lvlJc w:val="left"/>
      <w:lvlText w:val="(%2)"/>
      <w:numFmt w:val="lowerLetter"/>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9"/>
      <w:numFmt w:val="bullet"/>
      <w:start w:val="1"/>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lvl w:ilvl="1">
      <w:lvlJc w:val="left"/>
      <w:lvlText w:val="(%2)"/>
      <w:numFmt w:val="lowerLetter"/>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9"/>
      <w:numFmt w:val="bullet"/>
      <w:start w:val="1"/>
    </w:lvl>
  </w:abstractNum>
  <w:abstractNum w:abstractNumId="18">
    <w:nsid w:val="2D1D5AE9"/>
    <w:multiLevelType w:val="hybridMultilevel"/>
    <w:lvl w:ilvl="0">
      <w:lvlJc w:val="left"/>
      <w:lvlText w:val="%1"/>
      <w:numFmt w:val="decimal"/>
      <w:start w:val="10"/>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lvl w:ilvl="1">
      <w:lvlJc w:val="left"/>
      <w:lvlText w:val="(%2)"/>
      <w:numFmt w:val="lowerLetter"/>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9"/>
      <w:numFmt w:val="bullet"/>
      <w:start w:val="1"/>
    </w:lvl>
  </w:abstractNum>
  <w:abstractNum w:abstractNumId="24">
    <w:nsid w:val="B03E0C6"/>
    <w:multiLevelType w:val="hybridMultilevel"/>
    <w:lvl w:ilvl="0">
      <w:lvlJc w:val="left"/>
      <w:lvlText w:val="%1"/>
      <w:numFmt w:val="decimal"/>
      <w:start w:val="10"/>
    </w:lvl>
  </w:abstractNum>
  <w:abstractNum w:abstractNumId="25">
    <w:nsid w:val="189A769B"/>
    <w:multiLevelType w:val="hybridMultilevel"/>
    <w:lvl w:ilvl="0">
      <w:lvlJc w:val="left"/>
      <w:lvlText w:val="(%1)"/>
      <w:numFmt w:val="lowerLetter"/>
      <w:start w:val="5"/>
    </w:lvl>
  </w:abstractNum>
  <w:abstractNum w:abstractNumId="26">
    <w:nsid w:val="54E49EB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2022-02-14T15:27:14Z</dcterms:created>
  <dcterms:modified xsi:type="dcterms:W3CDTF">2022-02-14T15:27:14Z</dcterms:modified>
</cp:coreProperties>
</file>