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132715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25"/>
          <w:szCs w:val="25"/>
          <w:b w:val="1"/>
          <w:bCs w:val="1"/>
          <w:color w:val="auto"/>
        </w:rPr>
        <w:t>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36"/>
          <w:szCs w:val="36"/>
          <w:b w:val="1"/>
          <w:bCs w:val="1"/>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31115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(Name of Issuer)</w:t>
      </w:r>
    </w:p>
    <w:p>
      <w:pPr>
        <w:spacing w:after="0" w:line="255"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Ordinary Shares, nominal value £0.05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19685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(represented by American Depositary Shares)</w:t>
      </w:r>
    </w:p>
    <w:p>
      <w:pPr>
        <w:spacing w:after="0" w:line="23"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57"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925050106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(CUSIP Number)</w:t>
      </w:r>
    </w:p>
    <w:p>
      <w:pPr>
        <w:spacing w:after="0" w:line="270"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Stephanie Brecher</w:t>
      </w:r>
    </w:p>
    <w:p>
      <w:pPr>
        <w:spacing w:after="0" w:line="3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New Enterprise Associates</w:t>
      </w:r>
    </w:p>
    <w:p>
      <w:pPr>
        <w:spacing w:after="0" w:line="9"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1954 Greenspring Drive, Suite 600, Timonium, MD 21093</w:t>
      </w:r>
    </w:p>
    <w:p>
      <w:pPr>
        <w:spacing w:after="0" w:line="9"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(410) 842-4000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5715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57"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September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19685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left="2"/>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highlight w:val="lightGray"/>
        </w:rPr>
        <w:t>☐</w:t>
      </w:r>
    </w:p>
    <w:p>
      <w:pPr>
        <w:spacing w:after="0" w:line="166" w:lineRule="exact"/>
        <w:rPr>
          <w:sz w:val="24"/>
          <w:szCs w:val="24"/>
          <w:color w:val="auto"/>
        </w:rPr>
      </w:pPr>
    </w:p>
    <w:p>
      <w:pPr>
        <w:ind w:left="2"/>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199" w:lineRule="exact"/>
        <w:rPr>
          <w:sz w:val="24"/>
          <w:szCs w:val="24"/>
          <w:color w:val="auto"/>
        </w:rPr>
      </w:pPr>
    </w:p>
    <w:p>
      <w:pPr>
        <w:ind w:left="2" w:hanging="2"/>
        <w:spacing w:after="0" w:line="195" w:lineRule="auto"/>
        <w:tabs>
          <w:tab w:leader="none" w:pos="128"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123190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149225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2"/>
          </w:cols>
          <w:pgMar w:left="778" w:top="689" w:right="7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2 of 30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579" w:right="339" w:bottom="1095"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Equity Opportunities 17, LLC</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WC</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9" w:right="339" w:bottom="10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2"/>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44,678,025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2"/>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2"/>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44,678,025 Shares</w:t>
      </w:r>
    </w:p>
    <w:p>
      <w:pPr>
        <w:spacing w:after="0" w:line="200" w:lineRule="exact"/>
        <w:rPr>
          <w:sz w:val="20"/>
          <w:szCs w:val="20"/>
          <w:color w:val="auto"/>
        </w:rPr>
      </w:pPr>
    </w:p>
    <w:p>
      <w:pPr>
        <w:sectPr>
          <w:pgSz w:w="11900" w:h="16838" w:orient="portrait"/>
          <w:cols w:equalWidth="0" w:num="2">
            <w:col w:w="1480" w:space="450"/>
            <w:col w:w="9310"/>
          </w:cols>
          <w:pgMar w:left="320" w:top="579" w:right="339" w:bottom="1095"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44,678,025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6.9%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OO</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1095" w:gutter="0" w:footer="0" w:header="0"/>
          <w:type w:val="continuous"/>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3 of 30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821" w:right="339" w:bottom="609"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Enterprise Associates 17, L.P.</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WC</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821" w:right="339" w:bottom="6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3"/>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44,678,025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3"/>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3"/>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44,678,025 Shares</w:t>
      </w:r>
    </w:p>
    <w:p>
      <w:pPr>
        <w:spacing w:after="0" w:line="200" w:lineRule="exact"/>
        <w:rPr>
          <w:sz w:val="20"/>
          <w:szCs w:val="20"/>
          <w:color w:val="auto"/>
        </w:rPr>
      </w:pPr>
    </w:p>
    <w:p>
      <w:pPr>
        <w:sectPr>
          <w:pgSz w:w="11900" w:h="16838" w:orient="portrait"/>
          <w:cols w:equalWidth="0" w:num="2">
            <w:col w:w="1480" w:space="450"/>
            <w:col w:w="9310"/>
          </w:cols>
          <w:pgMar w:left="320" w:top="821" w:right="339" w:bottom="609"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44,678,025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6.9%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1" w:right="339" w:bottom="609" w:gutter="0" w:footer="0" w:header="0"/>
          <w:type w:val="continuous"/>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4 of 30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822" w:right="339" w:bottom="609"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NEA Partners 17, L.P.</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822" w:right="339" w:bottom="6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4"/>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44,678,025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4"/>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4"/>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44,678,025 Shares</w:t>
      </w:r>
    </w:p>
    <w:p>
      <w:pPr>
        <w:spacing w:after="0" w:line="200" w:lineRule="exact"/>
        <w:rPr>
          <w:sz w:val="20"/>
          <w:szCs w:val="20"/>
          <w:color w:val="auto"/>
        </w:rPr>
      </w:pPr>
    </w:p>
    <w:p>
      <w:pPr>
        <w:sectPr>
          <w:pgSz w:w="11900" w:h="16838" w:orient="portrait"/>
          <w:cols w:equalWidth="0" w:num="2">
            <w:col w:w="1480" w:space="450"/>
            <w:col w:w="9310"/>
          </w:cols>
          <w:pgMar w:left="320" w:top="822" w:right="339" w:bottom="609"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44,678,025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6.9%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2" w:right="339" w:bottom="609" w:gutter="0" w:footer="0" w:header="0"/>
          <w:type w:val="continuous"/>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5 of 30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822" w:right="339" w:bottom="609"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NEA 17 GP, LLC</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822" w:right="339" w:bottom="6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5"/>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44,678,025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5"/>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5"/>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44,678,025 Shares</w:t>
      </w:r>
    </w:p>
    <w:p>
      <w:pPr>
        <w:spacing w:after="0" w:line="200" w:lineRule="exact"/>
        <w:rPr>
          <w:sz w:val="20"/>
          <w:szCs w:val="20"/>
          <w:color w:val="auto"/>
        </w:rPr>
      </w:pPr>
    </w:p>
    <w:p>
      <w:pPr>
        <w:sectPr>
          <w:pgSz w:w="11900" w:h="16838" w:orient="portrait"/>
          <w:cols w:equalWidth="0" w:num="2">
            <w:col w:w="1480" w:space="450"/>
            <w:col w:w="9310"/>
          </w:cols>
          <w:pgMar w:left="320" w:top="822" w:right="339" w:bottom="609"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44,678,025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6.9%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OO</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2" w:right="339" w:bottom="609" w:gutter="0" w:footer="0" w:header="0"/>
          <w:type w:val="continuous"/>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6 of 30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579" w:right="339" w:bottom="852"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Equity Opportunities Fund IV, LLC</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WC</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9" w:right="339" w:bottom="8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6"/>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44,678,025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6"/>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6"/>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44,678,025 Shares</w:t>
      </w:r>
    </w:p>
    <w:p>
      <w:pPr>
        <w:spacing w:after="0" w:line="200" w:lineRule="exact"/>
        <w:rPr>
          <w:sz w:val="20"/>
          <w:szCs w:val="20"/>
          <w:color w:val="auto"/>
        </w:rPr>
      </w:pPr>
    </w:p>
    <w:p>
      <w:pPr>
        <w:sectPr>
          <w:pgSz w:w="11900" w:h="16838" w:orient="portrait"/>
          <w:cols w:equalWidth="0" w:num="2">
            <w:col w:w="1480" w:space="450"/>
            <w:col w:w="9310"/>
          </w:cols>
          <w:pgMar w:left="320" w:top="579" w:right="339" w:bottom="852"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44,678,025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6.9%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OO</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852" w:gutter="0" w:footer="0" w:header="0"/>
          <w:type w:val="continuous"/>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7 of 30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929" w:right="339" w:bottom="501"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Enterprise Associates 15, L.P.</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929" w:right="339" w:bottom="50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7"/>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44,678,025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7"/>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7"/>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44,678,025 Shares</w:t>
      </w:r>
    </w:p>
    <w:p>
      <w:pPr>
        <w:spacing w:after="0" w:line="200" w:lineRule="exact"/>
        <w:rPr>
          <w:sz w:val="20"/>
          <w:szCs w:val="20"/>
          <w:color w:val="auto"/>
        </w:rPr>
      </w:pPr>
    </w:p>
    <w:p>
      <w:pPr>
        <w:sectPr>
          <w:pgSz w:w="11900" w:h="16838" w:orient="portrait"/>
          <w:cols w:equalWidth="0" w:num="2">
            <w:col w:w="1480" w:space="450"/>
            <w:col w:w="9310"/>
          </w:cols>
          <w:pgMar w:left="320" w:top="929" w:right="339" w:bottom="501"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44,678,025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6.9%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9" w:right="339" w:bottom="501" w:gutter="0" w:footer="0" w:header="0"/>
          <w:type w:val="continuous"/>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8 of 30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929" w:right="339" w:bottom="501"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NEA Partners 15, L.P.</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929" w:right="339" w:bottom="50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8"/>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44,678,025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8"/>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8"/>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44,678,025 Shares</w:t>
      </w:r>
    </w:p>
    <w:p>
      <w:pPr>
        <w:spacing w:after="0" w:line="200" w:lineRule="exact"/>
        <w:rPr>
          <w:sz w:val="20"/>
          <w:szCs w:val="20"/>
          <w:color w:val="auto"/>
        </w:rPr>
      </w:pPr>
    </w:p>
    <w:p>
      <w:pPr>
        <w:sectPr>
          <w:pgSz w:w="11900" w:h="16838" w:orient="portrait"/>
          <w:cols w:equalWidth="0" w:num="2">
            <w:col w:w="1480" w:space="450"/>
            <w:col w:w="9310"/>
          </w:cols>
          <w:pgMar w:left="320" w:top="929" w:right="339" w:bottom="501"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44,678,025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6.9%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9" w:right="339" w:bottom="501" w:gutter="0" w:footer="0" w:header="0"/>
          <w:type w:val="continuous"/>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9 of 30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929" w:right="339" w:bottom="501"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NEA 15 GP, LLC</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929" w:right="339" w:bottom="50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9"/>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44,678,025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9"/>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9"/>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44,678,025 Shares</w:t>
      </w:r>
    </w:p>
    <w:p>
      <w:pPr>
        <w:spacing w:after="0" w:line="200" w:lineRule="exact"/>
        <w:rPr>
          <w:sz w:val="20"/>
          <w:szCs w:val="20"/>
          <w:color w:val="auto"/>
        </w:rPr>
      </w:pPr>
    </w:p>
    <w:p>
      <w:pPr>
        <w:sectPr>
          <w:pgSz w:w="11900" w:h="16838" w:orient="portrait"/>
          <w:cols w:equalWidth="0" w:num="2">
            <w:col w:w="1480" w:space="450"/>
            <w:col w:w="9310"/>
          </w:cols>
          <w:pgMar w:left="320" w:top="929" w:right="339" w:bottom="501"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44,678,025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6.9%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OO</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9" w:right="339" w:bottom="501" w:gutter="0" w:footer="0" w:header="0"/>
          <w:type w:val="continuous"/>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10 of 30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32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929" w:right="339" w:bottom="501"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Forest Baskett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929" w:right="339" w:bottom="50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10"/>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44,678,025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10"/>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10"/>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44,678,025 Shares</w:t>
      </w:r>
    </w:p>
    <w:p>
      <w:pPr>
        <w:spacing w:after="0" w:line="200" w:lineRule="exact"/>
        <w:rPr>
          <w:sz w:val="20"/>
          <w:szCs w:val="20"/>
          <w:color w:val="auto"/>
        </w:rPr>
      </w:pPr>
    </w:p>
    <w:p>
      <w:pPr>
        <w:sectPr>
          <w:pgSz w:w="11900" w:h="16838" w:orient="portrait"/>
          <w:cols w:equalWidth="0" w:num="2">
            <w:col w:w="1480" w:space="450"/>
            <w:col w:w="9310"/>
          </w:cols>
          <w:pgMar w:left="320" w:top="929" w:right="339" w:bottom="501"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44,678,025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6.9%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9" w:right="339" w:bottom="501" w:gutter="0" w:footer="0" w:header="0"/>
          <w:type w:val="continuous"/>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60"/>
              <w:spacing w:after="0"/>
              <w:rPr>
                <w:sz w:val="20"/>
                <w:szCs w:val="20"/>
                <w:color w:val="auto"/>
              </w:rPr>
            </w:pPr>
            <w:r>
              <w:rPr>
                <w:rFonts w:ascii="Times New Roman" w:cs="Times New Roman" w:eastAsia="Times New Roman" w:hAnsi="Times New Roman"/>
                <w:sz w:val="18"/>
                <w:szCs w:val="18"/>
                <w:b w:val="1"/>
                <w:bCs w:val="1"/>
                <w:color w:val="auto"/>
              </w:rPr>
              <w:t>Page 11 of 30 Pages</w:t>
            </w:r>
          </w:p>
        </w:tc>
      </w:tr>
      <w:tr>
        <w:trPr>
          <w:trHeight w:val="67"/>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632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579" w:right="339" w:bottom="744" w:gutter="0" w:footer="0" w:header="0"/>
        </w:sectPr>
      </w:pPr>
    </w:p>
    <w:p>
      <w:pPr>
        <w:spacing w:after="0" w:line="3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Ali Behbahani</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9"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11"/>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34,920,632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11"/>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11"/>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34,920,632 Shares</w:t>
      </w:r>
    </w:p>
    <w:p>
      <w:pPr>
        <w:spacing w:after="0" w:line="200" w:lineRule="exact"/>
        <w:rPr>
          <w:sz w:val="20"/>
          <w:szCs w:val="20"/>
          <w:color w:val="auto"/>
        </w:rPr>
      </w:pPr>
    </w:p>
    <w:p>
      <w:pPr>
        <w:sectPr>
          <w:pgSz w:w="11900" w:h="16838" w:orient="portrait"/>
          <w:cols w:equalWidth="0" w:num="2">
            <w:col w:w="1480" w:space="450"/>
            <w:col w:w="9310"/>
          </w:cols>
          <w:pgMar w:left="320" w:top="579" w:right="339" w:bottom="744"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34,920,632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5.4%</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744" w:gutter="0" w:footer="0" w:header="0"/>
          <w:type w:val="continuous"/>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12 of 30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658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658225"/>
                    </a:xfrm>
                    <a:prstGeom prst="rect">
                      <a:avLst/>
                    </a:prstGeom>
                    <a:noFill/>
                  </pic:spPr>
                </pic:pic>
              </a:graphicData>
            </a:graphic>
          </wp:anchor>
        </w:drawing>
      </w:r>
    </w:p>
    <w:p>
      <w:pPr>
        <w:sectPr>
          <w:pgSz w:w="11900" w:h="16838" w:orient="portrait"/>
          <w:cols w:equalWidth="0" w:num="1">
            <w:col w:w="11240"/>
          </w:cols>
          <w:pgMar w:left="320" w:top="579" w:right="339" w:bottom="703" w:gutter="0" w:footer="0" w:header="0"/>
        </w:sectPr>
      </w:pPr>
    </w:p>
    <w:p>
      <w:pPr>
        <w:spacing w:after="0" w:line="3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Carmen Chang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9" w:right="339" w:bottom="70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12"/>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34,920,632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12"/>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12"/>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34,920,632 Shares</w:t>
      </w:r>
    </w:p>
    <w:p>
      <w:pPr>
        <w:spacing w:after="0" w:line="200" w:lineRule="exact"/>
        <w:rPr>
          <w:sz w:val="20"/>
          <w:szCs w:val="20"/>
          <w:color w:val="auto"/>
        </w:rPr>
      </w:pPr>
    </w:p>
    <w:p>
      <w:pPr>
        <w:sectPr>
          <w:pgSz w:w="11900" w:h="16838" w:orient="portrait"/>
          <w:cols w:equalWidth="0" w:num="2">
            <w:col w:w="1480" w:space="450"/>
            <w:col w:w="9310"/>
          </w:cols>
          <w:pgMar w:left="320" w:top="579" w:right="339" w:bottom="703"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34,920,632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5.4%</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703" w:gutter="0" w:footer="0" w:header="0"/>
          <w:type w:val="continuous"/>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13 of 30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6321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632190"/>
                    </a:xfrm>
                    <a:prstGeom prst="rect">
                      <a:avLst/>
                    </a:prstGeom>
                    <a:noFill/>
                  </pic:spPr>
                </pic:pic>
              </a:graphicData>
            </a:graphic>
          </wp:anchor>
        </w:drawing>
      </w:r>
    </w:p>
    <w:p>
      <w:pPr>
        <w:sectPr>
          <w:pgSz w:w="11900" w:h="16838" w:orient="portrait"/>
          <w:cols w:equalWidth="0" w:num="1">
            <w:col w:w="11240"/>
          </w:cols>
          <w:pgMar w:left="320" w:top="579" w:right="339" w:bottom="744" w:gutter="0" w:footer="0" w:header="0"/>
        </w:sectPr>
      </w:pPr>
    </w:p>
    <w:p>
      <w:pPr>
        <w:spacing w:after="0" w:line="3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Anthony A. Florence, Jr.</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9" w:right="339" w:bottom="7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13"/>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44,678,025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13"/>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13"/>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44,678,025 Shares</w:t>
      </w:r>
    </w:p>
    <w:p>
      <w:pPr>
        <w:spacing w:after="0" w:line="200" w:lineRule="exact"/>
        <w:rPr>
          <w:sz w:val="20"/>
          <w:szCs w:val="20"/>
          <w:color w:val="auto"/>
        </w:rPr>
      </w:pPr>
    </w:p>
    <w:p>
      <w:pPr>
        <w:sectPr>
          <w:pgSz w:w="11900" w:h="16838" w:orient="portrait"/>
          <w:cols w:equalWidth="0" w:num="2">
            <w:col w:w="1480" w:space="450"/>
            <w:col w:w="9310"/>
          </w:cols>
          <w:pgMar w:left="320" w:top="579" w:right="339" w:bottom="744"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44,678,025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6.9%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744" w:gutter="0" w:footer="0" w:header="0"/>
          <w:type w:val="continuous"/>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14 of 30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658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658225"/>
                    </a:xfrm>
                    <a:prstGeom prst="rect">
                      <a:avLst/>
                    </a:prstGeom>
                    <a:noFill/>
                  </pic:spPr>
                </pic:pic>
              </a:graphicData>
            </a:graphic>
          </wp:anchor>
        </w:drawing>
      </w:r>
    </w:p>
    <w:p>
      <w:pPr>
        <w:sectPr>
          <w:pgSz w:w="11900" w:h="16838" w:orient="portrait"/>
          <w:cols w:equalWidth="0" w:num="1">
            <w:col w:w="11240"/>
          </w:cols>
          <w:pgMar w:left="320" w:top="579" w:right="339" w:bottom="946" w:gutter="0" w:footer="0" w:header="0"/>
        </w:sectPr>
      </w:pPr>
    </w:p>
    <w:p>
      <w:pPr>
        <w:spacing w:after="0" w:line="3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Mohamad H. Makhzoumi</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9" w:right="339" w:bottom="94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14"/>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44,678,025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14"/>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14"/>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44,678,025 Shares</w:t>
      </w:r>
    </w:p>
    <w:p>
      <w:pPr>
        <w:spacing w:after="0" w:line="200" w:lineRule="exact"/>
        <w:rPr>
          <w:sz w:val="20"/>
          <w:szCs w:val="20"/>
          <w:color w:val="auto"/>
        </w:rPr>
      </w:pPr>
    </w:p>
    <w:p>
      <w:pPr>
        <w:sectPr>
          <w:pgSz w:w="11900" w:h="16838" w:orient="portrait"/>
          <w:cols w:equalWidth="0" w:num="2">
            <w:col w:w="1480" w:space="450"/>
            <w:col w:w="9310"/>
          </w:cols>
          <w:pgMar w:left="320" w:top="579" w:right="339" w:bottom="946"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44,678,025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6.9%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946" w:gutter="0" w:footer="0" w:header="0"/>
          <w:type w:val="continuous"/>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15 of 30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58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658225"/>
                    </a:xfrm>
                    <a:prstGeom prst="rect">
                      <a:avLst/>
                    </a:prstGeom>
                    <a:noFill/>
                  </pic:spPr>
                </pic:pic>
              </a:graphicData>
            </a:graphic>
          </wp:anchor>
        </w:drawing>
      </w:r>
    </w:p>
    <w:p>
      <w:pPr>
        <w:sectPr>
          <w:pgSz w:w="11900" w:h="16838" w:orient="portrait"/>
          <w:cols w:equalWidth="0" w:num="1">
            <w:col w:w="11240"/>
          </w:cols>
          <w:pgMar w:left="320" w:top="795" w:right="339" w:bottom="838"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Edward T. Mathers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795" w:right="339" w:bottom="83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15"/>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34,920,632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15"/>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15"/>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34,920,632 Shares</w:t>
      </w:r>
    </w:p>
    <w:p>
      <w:pPr>
        <w:spacing w:after="0" w:line="200" w:lineRule="exact"/>
        <w:rPr>
          <w:sz w:val="20"/>
          <w:szCs w:val="20"/>
          <w:color w:val="auto"/>
        </w:rPr>
      </w:pPr>
    </w:p>
    <w:p>
      <w:pPr>
        <w:sectPr>
          <w:pgSz w:w="11900" w:h="16838" w:orient="portrait"/>
          <w:cols w:equalWidth="0" w:num="2">
            <w:col w:w="1480" w:space="450"/>
            <w:col w:w="9310"/>
          </w:cols>
          <w:pgMar w:left="320" w:top="795" w:right="339" w:bottom="838"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34,920,632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5.4%</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838" w:gutter="0" w:footer="0" w:header="0"/>
          <w:type w:val="continuous"/>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16 of 30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58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658225"/>
                    </a:xfrm>
                    <a:prstGeom prst="rect">
                      <a:avLst/>
                    </a:prstGeom>
                    <a:noFill/>
                  </pic:spPr>
                </pic:pic>
              </a:graphicData>
            </a:graphic>
          </wp:anchor>
        </w:drawing>
      </w:r>
    </w:p>
    <w:p>
      <w:pPr>
        <w:sectPr>
          <w:pgSz w:w="11900" w:h="16838" w:orient="portrait"/>
          <w:cols w:equalWidth="0" w:num="1">
            <w:col w:w="11240"/>
          </w:cols>
          <w:pgMar w:left="320" w:top="687" w:right="339" w:bottom="946"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Scott D. Sandell</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87" w:right="339" w:bottom="94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16"/>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44,678,025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16"/>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16"/>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44,678,025 Shares</w:t>
      </w:r>
    </w:p>
    <w:p>
      <w:pPr>
        <w:spacing w:after="0" w:line="200" w:lineRule="exact"/>
        <w:rPr>
          <w:sz w:val="20"/>
          <w:szCs w:val="20"/>
          <w:color w:val="auto"/>
        </w:rPr>
      </w:pPr>
    </w:p>
    <w:p>
      <w:pPr>
        <w:sectPr>
          <w:pgSz w:w="11900" w:h="16838" w:orient="portrait"/>
          <w:cols w:equalWidth="0" w:num="2">
            <w:col w:w="1480" w:space="450"/>
            <w:col w:w="9310"/>
          </w:cols>
          <w:pgMar w:left="320" w:top="687" w:right="339" w:bottom="946"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44,678,025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6.9%</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7" w:right="339" w:bottom="946" w:gutter="0" w:footer="0" w:header="0"/>
          <w:type w:val="continuous"/>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17 of 30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58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658225"/>
                    </a:xfrm>
                    <a:prstGeom prst="rect">
                      <a:avLst/>
                    </a:prstGeom>
                    <a:noFill/>
                  </pic:spPr>
                </pic:pic>
              </a:graphicData>
            </a:graphic>
          </wp:anchor>
        </w:drawing>
      </w:r>
    </w:p>
    <w:p>
      <w:pPr>
        <w:sectPr>
          <w:pgSz w:w="11900" w:h="16838" w:orient="portrait"/>
          <w:cols w:equalWidth="0" w:num="1">
            <w:col w:w="11240"/>
          </w:cols>
          <w:pgMar w:left="320" w:top="687" w:right="339" w:bottom="703"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Paul Walker</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5"/>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687" w:right="339" w:bottom="70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17"/>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34,920,632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17"/>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17"/>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34,920,632 Shares</w:t>
      </w:r>
    </w:p>
    <w:p>
      <w:pPr>
        <w:spacing w:after="0" w:line="200" w:lineRule="exact"/>
        <w:rPr>
          <w:sz w:val="20"/>
          <w:szCs w:val="20"/>
          <w:color w:val="auto"/>
        </w:rPr>
      </w:pPr>
    </w:p>
    <w:p>
      <w:pPr>
        <w:sectPr>
          <w:pgSz w:w="11900" w:h="16838" w:orient="portrait"/>
          <w:cols w:equalWidth="0" w:num="2">
            <w:col w:w="1480" w:space="450"/>
            <w:col w:w="9310"/>
          </w:cols>
          <w:pgMar w:left="320" w:top="687" w:right="339" w:bottom="703"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34,920,632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5.4%</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7" w:right="339" w:bottom="703" w:gutter="0" w:footer="0" w:header="0"/>
          <w:type w:val="continuous"/>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18 of 30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658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658225"/>
                    </a:xfrm>
                    <a:prstGeom prst="rect">
                      <a:avLst/>
                    </a:prstGeom>
                    <a:noFill/>
                  </pic:spPr>
                </pic:pic>
              </a:graphicData>
            </a:graphic>
          </wp:anchor>
        </w:drawing>
      </w:r>
    </w:p>
    <w:p>
      <w:pPr>
        <w:sectPr>
          <w:pgSz w:w="11900" w:h="16838" w:orient="portrait"/>
          <w:cols w:equalWidth="0" w:num="1">
            <w:col w:w="11240"/>
          </w:cols>
          <w:pgMar w:left="320" w:top="579" w:right="339" w:bottom="811" w:gutter="0" w:footer="0" w:header="0"/>
        </w:sect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9"/>
          <w:szCs w:val="29"/>
          <w:color w:val="auto"/>
        </w:rPr>
        <w:t>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Rick Yang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84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6"/>
              </w:rPr>
              <w:t>(b)</w:t>
            </w:r>
          </w:p>
        </w:tc>
        <w:tc>
          <w:tcPr>
            <w:tcW w:w="140" w:type="dxa"/>
            <w:vAlign w:val="bottom"/>
            <w:shd w:val="clear" w:color="auto" w:fill="C0C0C0"/>
          </w:tcPr>
          <w:p>
            <w:pPr>
              <w:jc w:val="right"/>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9"/>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shd w:val="clear" w:color="auto" w:fill="C0C0C0"/>
          </w:tcPr>
          <w:p>
            <w:pPr>
              <w:jc w:val="center"/>
              <w:spacing w:after="0" w:line="161" w:lineRule="exact"/>
              <w:rPr>
                <w:sz w:val="20"/>
                <w:szCs w:val="20"/>
                <w:color w:val="auto"/>
              </w:rPr>
            </w:pPr>
            <w:r>
              <w:rPr>
                <w:rFonts w:ascii="MS PGothic" w:cs="MS PGothic" w:eastAsia="MS PGothic" w:hAnsi="MS PGothic"/>
                <w:sz w:val="16"/>
                <w:szCs w:val="16"/>
                <w:color w:val="auto"/>
                <w:highlight w:val="lightGray"/>
                <w:w w:val="87"/>
              </w:rPr>
              <w:t>☐</w:t>
            </w:r>
          </w:p>
        </w:tc>
        <w:tc>
          <w:tcPr>
            <w:tcW w:w="2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8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0" w:space="600"/>
            <w:col w:w="10340"/>
          </w:cols>
          <w:pgMar w:left="320" w:top="579" w:right="339" w:bottom="81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NUMBER OF</w:t>
      </w:r>
    </w:p>
    <w:p>
      <w:pPr>
        <w:spacing w:after="0" w:line="2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BENEFICIALLY</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OWNED BY EACH</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REPORTING</w:t>
      </w:r>
    </w:p>
    <w:p>
      <w:pPr>
        <w:spacing w:after="0" w:line="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 w:type="dxa"/>
        <w:tblCellMar>
          <w:top w:w="0" w:type="dxa"/>
          <w:left w:w="0" w:type="dxa"/>
          <w:bottom w:w="0" w:type="dxa"/>
          <w:right w:w="0" w:type="dxa"/>
        </w:tblCellMar>
      </w:tblPr>
      <w:tr>
        <w:trPr>
          <w:trHeight w:val="333"/>
        </w:trPr>
        <w:tc>
          <w:tcPr>
            <w:tcW w:w="500" w:type="dxa"/>
            <w:vAlign w:val="bottom"/>
          </w:tcPr>
          <w:p>
            <w:pPr>
              <w:jc w:val="right"/>
              <w:ind w:right="156"/>
              <w:spacing w:after="0"/>
              <w:rPr>
                <w:sz w:val="20"/>
                <w:szCs w:val="20"/>
                <w:color w:val="auto"/>
              </w:rPr>
            </w:pPr>
            <w:r>
              <w:rPr>
                <w:rFonts w:ascii="Times New Roman" w:cs="Times New Roman" w:eastAsia="Times New Roman" w:hAnsi="Times New Roman"/>
                <w:sz w:val="29"/>
                <w:szCs w:val="29"/>
                <w:color w:val="auto"/>
                <w:w w:val="82"/>
              </w:rPr>
              <w:t>7.</w:t>
            </w:r>
          </w:p>
        </w:tc>
        <w:tc>
          <w:tcPr>
            <w:tcW w:w="2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8"/>
              </w:rPr>
              <w:t>SOLE VOTING POWER</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70" w:hanging="126"/>
        <w:spacing w:after="0"/>
        <w:tabs>
          <w:tab w:leader="none" w:pos="1070"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806"/>
        <w:spacing w:after="0" w:line="189" w:lineRule="auto"/>
        <w:tabs>
          <w:tab w:leader="none" w:pos="950" w:val="left"/>
        </w:tabs>
        <w:numPr>
          <w:ilvl w:val="0"/>
          <w:numId w:val="18"/>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SHARED VOTING POWER</w:t>
      </w:r>
    </w:p>
    <w:p>
      <w:pPr>
        <w:spacing w:after="0" w:line="194" w:lineRule="exact"/>
        <w:rPr>
          <w:rFonts w:ascii="Times New Roman" w:cs="Times New Roman" w:eastAsia="Times New Roman" w:hAnsi="Times New Roman"/>
          <w:sz w:val="58"/>
          <w:szCs w:val="58"/>
          <w:color w:val="auto"/>
          <w:vertAlign w:val="subscript"/>
        </w:rPr>
      </w:pPr>
    </w:p>
    <w:p>
      <w:pPr>
        <w:ind w:left="950"/>
        <w:spacing w:after="0"/>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b w:val="1"/>
          <w:bCs w:val="1"/>
          <w:color w:val="auto"/>
        </w:rPr>
        <w:t>34,920,632 Shares</w:t>
      </w:r>
    </w:p>
    <w:p>
      <w:pPr>
        <w:spacing w:after="0" w:line="31" w:lineRule="exact"/>
        <w:rPr>
          <w:rFonts w:ascii="Times New Roman" w:cs="Times New Roman" w:eastAsia="Times New Roman" w:hAnsi="Times New Roman"/>
          <w:sz w:val="58"/>
          <w:szCs w:val="58"/>
          <w:color w:val="auto"/>
          <w:vertAlign w:val="subscript"/>
        </w:rPr>
      </w:pPr>
    </w:p>
    <w:p>
      <w:pPr>
        <w:ind w:left="950" w:hanging="806"/>
        <w:spacing w:after="0" w:line="189" w:lineRule="auto"/>
        <w:tabs>
          <w:tab w:leader="none" w:pos="950" w:val="left"/>
        </w:tabs>
        <w:numPr>
          <w:ilvl w:val="0"/>
          <w:numId w:val="18"/>
        </w:numPr>
        <w:rPr>
          <w:rFonts w:ascii="Times New Roman" w:cs="Times New Roman" w:eastAsia="Times New Roman" w:hAnsi="Times New Roman"/>
          <w:sz w:val="58"/>
          <w:szCs w:val="58"/>
          <w:color w:val="auto"/>
          <w:vertAlign w:val="subscript"/>
        </w:rPr>
      </w:pPr>
      <w:r>
        <w:rPr>
          <w:rFonts w:ascii="Times New Roman" w:cs="Times New Roman" w:eastAsia="Times New Roman" w:hAnsi="Times New Roman"/>
          <w:sz w:val="18"/>
          <w:szCs w:val="18"/>
          <w:color w:val="auto"/>
        </w:rPr>
        <w:t>SOLE DISPOSITIVE POWER</w:t>
      </w:r>
    </w:p>
    <w:p>
      <w:pPr>
        <w:spacing w:after="0" w:line="194" w:lineRule="exact"/>
        <w:rPr>
          <w:rFonts w:ascii="Times New Roman" w:cs="Times New Roman" w:eastAsia="Times New Roman" w:hAnsi="Times New Roman"/>
          <w:sz w:val="58"/>
          <w:szCs w:val="58"/>
          <w:color w:val="auto"/>
          <w:vertAlign w:val="subscript"/>
        </w:rPr>
      </w:pPr>
    </w:p>
    <w:p>
      <w:pPr>
        <w:ind w:left="1070" w:hanging="126"/>
        <w:spacing w:after="0"/>
        <w:tabs>
          <w:tab w:leader="none" w:pos="1070"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31" w:lineRule="exact"/>
        <w:rPr>
          <w:rFonts w:ascii="Times New Roman" w:cs="Times New Roman" w:eastAsia="Times New Roman" w:hAnsi="Times New Roman"/>
          <w:sz w:val="18"/>
          <w:szCs w:val="18"/>
          <w:b w:val="1"/>
          <w:bCs w:val="1"/>
          <w:color w:val="auto"/>
        </w:rPr>
      </w:pPr>
    </w:p>
    <w:p>
      <w:pPr>
        <w:ind w:left="950" w:hanging="950"/>
        <w:spacing w:after="0" w:line="207" w:lineRule="auto"/>
        <w:tabs>
          <w:tab w:leader="none" w:pos="950" w:val="left"/>
        </w:tabs>
        <w:numPr>
          <w:ilvl w:val="0"/>
          <w:numId w:val="18"/>
        </w:numPr>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7"/>
          <w:szCs w:val="17"/>
          <w:color w:val="auto"/>
        </w:rPr>
        <w:t>SHARED DISPOSITIVE POWER</w:t>
      </w:r>
    </w:p>
    <w:p>
      <w:pPr>
        <w:spacing w:after="0" w:line="194" w:lineRule="exact"/>
        <w:rPr>
          <w:rFonts w:ascii="Times New Roman" w:cs="Times New Roman" w:eastAsia="Times New Roman" w:hAnsi="Times New Roman"/>
          <w:sz w:val="53"/>
          <w:szCs w:val="53"/>
          <w:color w:val="auto"/>
          <w:vertAlign w:val="subscript"/>
        </w:rPr>
      </w:pPr>
    </w:p>
    <w:p>
      <w:pPr>
        <w:ind w:left="950"/>
        <w:spacing w:after="0"/>
        <w:rPr>
          <w:rFonts w:ascii="Times New Roman" w:cs="Times New Roman" w:eastAsia="Times New Roman" w:hAnsi="Times New Roman"/>
          <w:sz w:val="53"/>
          <w:szCs w:val="53"/>
          <w:color w:val="auto"/>
          <w:vertAlign w:val="subscript"/>
        </w:rPr>
      </w:pPr>
      <w:r>
        <w:rPr>
          <w:rFonts w:ascii="Times New Roman" w:cs="Times New Roman" w:eastAsia="Times New Roman" w:hAnsi="Times New Roman"/>
          <w:sz w:val="18"/>
          <w:szCs w:val="18"/>
          <w:b w:val="1"/>
          <w:bCs w:val="1"/>
          <w:color w:val="auto"/>
        </w:rPr>
        <w:t>34,920,632 Shares</w:t>
      </w:r>
    </w:p>
    <w:p>
      <w:pPr>
        <w:spacing w:after="0" w:line="200" w:lineRule="exact"/>
        <w:rPr>
          <w:sz w:val="20"/>
          <w:szCs w:val="20"/>
          <w:color w:val="auto"/>
        </w:rPr>
      </w:pPr>
    </w:p>
    <w:p>
      <w:pPr>
        <w:sectPr>
          <w:pgSz w:w="11900" w:h="16838" w:orient="portrait"/>
          <w:cols w:equalWidth="0" w:num="2">
            <w:col w:w="1480" w:space="450"/>
            <w:col w:w="9310"/>
          </w:cols>
          <w:pgMar w:left="320" w:top="579" w:right="339" w:bottom="811"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20" w:type="dxa"/>
            <w:vAlign w:val="bottom"/>
            <w:tcBorders>
              <w:top w:val="single" w:sz="8" w:color="auto"/>
              <w:right w:val="single" w:sz="8" w:color="auto"/>
            </w:tcBorders>
          </w:tcPr>
          <w:p>
            <w:pPr>
              <w:jc w:val="right"/>
              <w:ind w:right="234"/>
              <w:spacing w:after="0" w:line="296" w:lineRule="exact"/>
              <w:rPr>
                <w:sz w:val="20"/>
                <w:szCs w:val="20"/>
                <w:color w:val="auto"/>
              </w:rPr>
            </w:pPr>
            <w:r>
              <w:rPr>
                <w:rFonts w:ascii="Times New Roman" w:cs="Times New Roman" w:eastAsia="Times New Roman" w:hAnsi="Times New Roman"/>
                <w:sz w:val="29"/>
                <w:szCs w:val="29"/>
                <w:color w:val="auto"/>
              </w:rPr>
              <w:t>11.</w:t>
            </w:r>
          </w:p>
        </w:tc>
        <w:tc>
          <w:tcPr>
            <w:tcW w:w="92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34,920,632 Shares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29"/>
                <w:szCs w:val="29"/>
                <w:color w:val="auto"/>
              </w:rPr>
              <w:t>12.</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 (see instructions)</w:t>
            </w:r>
          </w:p>
        </w:tc>
        <w:tc>
          <w:tcPr>
            <w:tcW w:w="6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20" w:type="dxa"/>
            <w:vAlign w:val="bottom"/>
            <w:tcBorders>
              <w:right w:val="single" w:sz="8" w:color="auto"/>
            </w:tcBorders>
            <w:vMerge w:val="continue"/>
          </w:tcPr>
          <w:p>
            <w:pPr>
              <w:spacing w:after="0"/>
              <w:rPr>
                <w:sz w:val="16"/>
                <w:szCs w:val="16"/>
                <w:color w:val="auto"/>
              </w:rPr>
            </w:pPr>
          </w:p>
        </w:tc>
        <w:tc>
          <w:tcPr>
            <w:tcW w:w="9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shd w:val="clear" w:color="auto" w:fill="C0C0C0"/>
          </w:tcPr>
          <w:p>
            <w:pPr>
              <w:spacing w:after="0" w:line="161" w:lineRule="exact"/>
              <w:rPr>
                <w:sz w:val="20"/>
                <w:szCs w:val="20"/>
                <w:color w:val="auto"/>
              </w:rPr>
            </w:pPr>
            <w:r>
              <w:rPr>
                <w:rFonts w:ascii="MS PGothic" w:cs="MS PGothic" w:eastAsia="MS PGothic" w:hAnsi="MS PGothic"/>
                <w:sz w:val="16"/>
                <w:szCs w:val="16"/>
                <w:color w:val="auto"/>
                <w:highlight w:val="lightGray"/>
                <w:w w:val="74"/>
              </w:rPr>
              <w:t>☐</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vMerge w:val="continue"/>
          </w:tcPr>
          <w:p>
            <w:pPr>
              <w:spacing w:after="0"/>
              <w:rPr>
                <w:sz w:val="13"/>
                <w:szCs w:val="13"/>
                <w:color w:val="auto"/>
              </w:rPr>
            </w:pPr>
          </w:p>
        </w:tc>
        <w:tc>
          <w:tcPr>
            <w:tcW w:w="9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8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5.4%</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jc w:val="right"/>
              <w:ind w:right="234"/>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9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0" w:type="dxa"/>
            <w:vAlign w:val="bottom"/>
            <w:tcBorders>
              <w:right w:val="single" w:sz="8" w:color="auto"/>
            </w:tcBorders>
          </w:tcPr>
          <w:p>
            <w:pPr>
              <w:spacing w:after="0"/>
              <w:rPr>
                <w:sz w:val="4"/>
                <w:szCs w:val="4"/>
                <w:color w:val="auto"/>
              </w:rPr>
            </w:pPr>
          </w:p>
        </w:tc>
        <w:tc>
          <w:tcPr>
            <w:tcW w:w="92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20" w:type="dxa"/>
            <w:vAlign w:val="bottom"/>
            <w:tcBorders>
              <w:right w:val="single" w:sz="8" w:color="auto"/>
            </w:tcBorders>
          </w:tcPr>
          <w:p>
            <w:pPr>
              <w:spacing w:after="0"/>
              <w:rPr>
                <w:sz w:val="24"/>
                <w:szCs w:val="24"/>
                <w:color w:val="auto"/>
              </w:rPr>
            </w:pP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auto"/>
              <w:right w:val="single" w:sz="8" w:color="auto"/>
            </w:tcBorders>
          </w:tcPr>
          <w:p>
            <w:pPr>
              <w:spacing w:after="0"/>
              <w:rPr>
                <w:sz w:val="22"/>
                <w:szCs w:val="22"/>
                <w:color w:val="auto"/>
              </w:rPr>
            </w:pPr>
          </w:p>
        </w:tc>
        <w:tc>
          <w:tcPr>
            <w:tcW w:w="9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8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811" w:gutter="0" w:footer="0" w:header="0"/>
          <w:type w:val="continuous"/>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19 of 30 Pages</w:t>
            </w:r>
          </w:p>
        </w:tc>
      </w:tr>
      <w:tr>
        <w:trPr>
          <w:trHeight w:val="67"/>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9" w:lineRule="exact"/>
        <w:rPr>
          <w:sz w:val="20"/>
          <w:szCs w:val="20"/>
          <w:color w:val="auto"/>
        </w:rPr>
      </w:pPr>
    </w:p>
    <w:p>
      <w:pPr>
        <w:jc w:val="both"/>
        <w:ind w:firstLine="810"/>
        <w:spacing w:after="0" w:line="261" w:lineRule="auto"/>
        <w:rPr>
          <w:sz w:val="20"/>
          <w:szCs w:val="20"/>
          <w:color w:val="auto"/>
        </w:rPr>
      </w:pPr>
      <w:r>
        <w:rPr>
          <w:rFonts w:ascii="Times New Roman" w:cs="Times New Roman" w:eastAsia="Times New Roman" w:hAnsi="Times New Roman"/>
          <w:sz w:val="18"/>
          <w:szCs w:val="18"/>
          <w:color w:val="auto"/>
        </w:rPr>
        <w:t>This Amendment No. 3 (“Amendment No. 3”) to Schedule 13D amends and supplements the Schedule 13D originally filed on May 9, 2017 (the “Schedule 13D”), Amendment No. 1 filed on August 3, 2020 (“Amendment No. 1”), and Amendment No. 2 filed on September 7, 2022 (“Amendment No. 2”), relating to the ordinary shares, nominal value £0.05 per share (the “Ordinary Shares”), including Ordinary Shares represented by American Depositary Shares (the “ADS”), with each ADS representing eight Ordinary Shares, of Verona Pharma plc (the “Issuer”).</w:t>
      </w:r>
    </w:p>
    <w:p>
      <w:pPr>
        <w:spacing w:after="0" w:line="180" w:lineRule="exact"/>
        <w:rPr>
          <w:sz w:val="20"/>
          <w:szCs w:val="20"/>
          <w:color w:val="auto"/>
        </w:rPr>
      </w:pPr>
    </w:p>
    <w:p>
      <w:pPr>
        <w:jc w:val="both"/>
        <w:ind w:right="20" w:firstLine="810"/>
        <w:spacing w:after="0" w:line="282" w:lineRule="auto"/>
        <w:rPr>
          <w:sz w:val="20"/>
          <w:szCs w:val="20"/>
          <w:color w:val="auto"/>
        </w:rPr>
      </w:pPr>
      <w:r>
        <w:rPr>
          <w:rFonts w:ascii="Times New Roman" w:cs="Times New Roman" w:eastAsia="Times New Roman" w:hAnsi="Times New Roman"/>
          <w:sz w:val="18"/>
          <w:szCs w:val="18"/>
          <w:color w:val="auto"/>
        </w:rPr>
        <w:t>This Amendment No. 3 is being filed to correct the beneficial ownership of Ordinary Shares of the Issuer held by the GEO Entities and the Dual Managers to reflect the expiration of the GEO 15 Warrant Shares which were inadvertently included in Amendment No. 2.</w:t>
      </w:r>
    </w:p>
    <w:p>
      <w:pPr>
        <w:spacing w:after="0" w:line="37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u w:val="single" w:color="auto"/>
          <w:color w:val="auto"/>
        </w:rPr>
        <w:t>Security and Issuer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This Amendment No. 3 to Schedule 13D amends and supplements the Schedule 13D, Amendment No. 1, and Amendment No. 2 relating to the Ordinary Shares, including Ordinary Shares represented by ADS, of the Issuer having its principal executive office at 3 More London Riverside, London SE1 2RE, United Kingdom.</w:t>
      </w:r>
    </w:p>
    <w:p>
      <w:pPr>
        <w:spacing w:after="0" w:line="189"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Certain terms used but not defined herein in this Amendment No. 3 have the meanings assigned thereto in the Schedule 13D (including Amendment No. 1 and Amendment No. 2 thereto). Except as specifically provided herein, this Amendment No. 3 does not modify any of the information previously reported on the Schedule 13D (including Amendment No. 1 and Amendment No. 2 thereto).</w:t>
      </w:r>
    </w:p>
    <w:p>
      <w:pPr>
        <w:spacing w:after="0" w:line="38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Identity and Background</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This statement is being filed by:</w:t>
      </w:r>
    </w:p>
    <w:p>
      <w:pPr>
        <w:spacing w:after="0" w:line="239" w:lineRule="exact"/>
        <w:rPr>
          <w:sz w:val="20"/>
          <w:szCs w:val="20"/>
          <w:color w:val="auto"/>
        </w:rPr>
      </w:pPr>
    </w:p>
    <w:p>
      <w:pPr>
        <w:ind w:firstLine="818"/>
        <w:spacing w:after="0" w:line="282" w:lineRule="auto"/>
        <w:tabs>
          <w:tab w:leader="none" w:pos="10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Equity Opportunities Fund IV, LLC (“GEO 15”), Growth Equity Opportunities 17, LLC (“GEO 17” and, together with GEO 15, the “GEO Entities”);</w:t>
      </w:r>
    </w:p>
    <w:p>
      <w:pPr>
        <w:spacing w:after="0" w:line="175" w:lineRule="exact"/>
        <w:rPr>
          <w:rFonts w:ascii="Times New Roman" w:cs="Times New Roman" w:eastAsia="Times New Roman" w:hAnsi="Times New Roman"/>
          <w:sz w:val="18"/>
          <w:szCs w:val="18"/>
          <w:color w:val="auto"/>
        </w:rPr>
      </w:pPr>
    </w:p>
    <w:p>
      <w:pPr>
        <w:jc w:val="both"/>
        <w:ind w:firstLine="818"/>
        <w:spacing w:after="0" w:line="258" w:lineRule="auto"/>
        <w:tabs>
          <w:tab w:leader="none" w:pos="10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Enterprise Associates 15, L.P. (“NEA 15”), which is the sole member of GEO 15, New Enterprise Associates 17, L.P. (“NEA 17” and, together with NEA 15, the “Funds”), which is the sole member of GEO 17; NEA Partners 15, L.P. (“NEA Partners 15”), which is the sole general partner of NEA 15, NEA Partners 17, L.P. (“NEA Partners 17” and, together with NEA Partners 15, the “GPLPs”), which is the sole general partner of NEA 17; and NEA 15 GP, LLC (“NEA 15 LLC”), which is the sole general partner of NEA Partners 15, and NEA 17 GP, LLC (“NEA 17 LLC,” and together with NEA 15 LLC, the “GP LLCs” and, collectively with the GPLPs, the “Control Entities”), which is the sole general partner of NEA Partners 17; and</w:t>
      </w:r>
    </w:p>
    <w:p>
      <w:pPr>
        <w:spacing w:after="0" w:line="196" w:lineRule="exact"/>
        <w:rPr>
          <w:rFonts w:ascii="Times New Roman" w:cs="Times New Roman" w:eastAsia="Times New Roman" w:hAnsi="Times New Roman"/>
          <w:sz w:val="18"/>
          <w:szCs w:val="18"/>
          <w:color w:val="auto"/>
        </w:rPr>
      </w:pPr>
    </w:p>
    <w:p>
      <w:pPr>
        <w:jc w:val="both"/>
        <w:ind w:firstLine="818"/>
        <w:spacing w:after="0" w:line="266" w:lineRule="auto"/>
        <w:tabs>
          <w:tab w:leader="none" w:pos="10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Forest Baskett (“Baskett”), Ali Behbahani (“Behbahani”), Carmen Chang (“Chang”), Anthony A Florence, Jr. (“Florence”), Mohamad H. Makhzoumi (“Makhzoumi”), Edward T. Mathers (“Mathers”), Scott D. Sandell (“Sandell”), Paul Walker (“Walker”) and Rick Yang (“Yang”) (together, the “Managers”), and Liza Landsman (“Landsman”) and Peter W. Sonsini (“Sonsini”).</w:t>
      </w:r>
    </w:p>
    <w:p>
      <w:pPr>
        <w:spacing w:after="0" w:line="176" w:lineRule="exact"/>
        <w:rPr>
          <w:sz w:val="20"/>
          <w:szCs w:val="20"/>
          <w:color w:val="auto"/>
        </w:rPr>
      </w:pPr>
    </w:p>
    <w:p>
      <w:pPr>
        <w:jc w:val="both"/>
        <w:ind w:firstLine="810"/>
        <w:spacing w:after="0" w:line="282" w:lineRule="auto"/>
        <w:rPr>
          <w:sz w:val="20"/>
          <w:szCs w:val="20"/>
          <w:color w:val="auto"/>
        </w:rPr>
      </w:pPr>
      <w:r>
        <w:rPr>
          <w:rFonts w:ascii="Times New Roman" w:cs="Times New Roman" w:eastAsia="Times New Roman" w:hAnsi="Times New Roman"/>
          <w:sz w:val="18"/>
          <w:szCs w:val="18"/>
          <w:color w:val="auto"/>
        </w:rPr>
        <w:t>Baskett, Florence, Makhzoumi and Sandell (the “Dual Managers”) are managers of the GP LLCs. Behbahani, Chang, Mathers, Walker and Yang are managers of NEA 17 LLC.</w:t>
      </w:r>
    </w:p>
    <w:p>
      <w:pPr>
        <w:spacing w:after="0" w:line="1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persons named in this Item 2 are referred to individually herein as a “Reporting Person” and collectively as the “Reporting Persons.”</w:t>
      </w:r>
    </w:p>
    <w:p>
      <w:pPr>
        <w:spacing w:after="0" w:line="239" w:lineRule="exact"/>
        <w:rPr>
          <w:sz w:val="20"/>
          <w:szCs w:val="20"/>
          <w:color w:val="auto"/>
        </w:rPr>
      </w:pPr>
    </w:p>
    <w:p>
      <w:pPr>
        <w:jc w:val="both"/>
        <w:ind w:firstLine="810"/>
        <w:spacing w:after="0" w:line="269" w:lineRule="auto"/>
        <w:rPr>
          <w:sz w:val="20"/>
          <w:szCs w:val="20"/>
          <w:color w:val="auto"/>
        </w:rPr>
      </w:pPr>
      <w:r>
        <w:rPr>
          <w:rFonts w:ascii="Times New Roman" w:cs="Times New Roman" w:eastAsia="Times New Roman" w:hAnsi="Times New Roman"/>
          <w:sz w:val="18"/>
          <w:szCs w:val="18"/>
          <w:color w:val="auto"/>
        </w:rPr>
        <w:t>The address of the principal business office of each GEO Entity, each Fund, each Control Entity and Sandell is New Enterprise Associates, 1954 Greenspring Drive, Suite 600, Timonium, MD 21093. The address of the principal business office of Baskett, Behbahani, Chang, Makhzoumi, Walker and Yang is New Enterprise Associates, 2855 Sand Hill Road, Menlo Park, CA 94025. The address of the principal business office of Florence and Mathers is New Enterprise Associates, 104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10011.</w:t>
      </w:r>
    </w:p>
    <w:p>
      <w:pPr>
        <w:sectPr>
          <w:pgSz w:w="11900" w:h="16838" w:orient="portrait"/>
          <w:cols w:equalWidth="0" w:num="1">
            <w:col w:w="11240"/>
          </w:cols>
          <w:pgMar w:left="320" w:top="687" w:right="339" w:bottom="1440" w:gutter="0" w:footer="0" w:header="0"/>
        </w:sectPr>
      </w:pPr>
    </w:p>
    <w:bookmarkStart w:id="19" w:name="page20"/>
    <w:bookmarkEnd w:id="19"/>
    <w:p>
      <w:pPr>
        <w:ind w:left="80"/>
        <w:spacing w:after="0"/>
        <w:tabs>
          <w:tab w:leader="none" w:pos="5460" w:val="left"/>
          <w:tab w:leader="none" w:pos="9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88900</wp:posOffset>
            </wp:positionV>
            <wp:extent cx="2357120" cy="240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2366010" cy="240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925050106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20 of 30 Pages</w:t>
      </w:r>
    </w:p>
    <w:p>
      <w:pPr>
        <w:sectPr>
          <w:pgSz w:w="11900" w:h="16838" w:orient="portrait"/>
          <w:cols w:equalWidth="0" w:num="1">
            <w:col w:w="11240"/>
          </w:cols>
          <w:pgMar w:left="320" w:top="1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firstLine="810"/>
        <w:spacing w:after="0" w:line="256" w:lineRule="auto"/>
        <w:rPr>
          <w:sz w:val="20"/>
          <w:szCs w:val="20"/>
          <w:color w:val="auto"/>
        </w:rPr>
      </w:pPr>
      <w:r>
        <w:rPr>
          <w:rFonts w:ascii="Times New Roman" w:cs="Times New Roman" w:eastAsia="Times New Roman" w:hAnsi="Times New Roman"/>
          <w:sz w:val="18"/>
          <w:szCs w:val="18"/>
          <w:color w:val="auto"/>
        </w:rPr>
        <w:t>The principal business of the GEO Entities and the Funds is to invest in and assist growth-oriented businesses located principally in the United States. The principal business of NEA Partners 15 is to act as the sole general partner of NEA 15. The principal business of NEA Partners 17 is to act as the sole general partner of NEA 17. The principal business of NEA 15 LLC is to act as the sole general partner of NEA Partners 15. The principal business of NEA 17 LLC is to act as the sole general partner of NEA Partners 17. The principal business of each of the Dual Managers is to manage the Control Entities, the Funds, the GEO Entities and a number of affiliated partnerships with similar businesses. The principal business of each of Behbahani, Chang, Mathers, Walker and Yang is to manage NEA 17 LLC, NEA Partners 17, NEA 17, GEO 17 and a number of affiliated partnerships with similar businesses.</w:t>
      </w:r>
    </w:p>
    <w:p>
      <w:pPr>
        <w:spacing w:after="0" w:line="201"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During the five years prior to the date hereof, none of the Reporting Persons has been convicted in a criminal proceeding or has been a party to a civil proceeding ending in a judgment, decree or final order enjoining future violations of, or prohibiting or mandating activities subject to, federal or state securities laws or finding any violation with respect to such laws.</w:t>
      </w:r>
    </w:p>
    <w:p>
      <w:pPr>
        <w:spacing w:after="0" w:line="189" w:lineRule="exact"/>
        <w:rPr>
          <w:sz w:val="20"/>
          <w:szCs w:val="20"/>
          <w:color w:val="auto"/>
        </w:rPr>
      </w:pPr>
    </w:p>
    <w:p>
      <w:pPr>
        <w:jc w:val="both"/>
        <w:ind w:right="20" w:firstLine="810"/>
        <w:spacing w:after="0" w:line="282" w:lineRule="auto"/>
        <w:rPr>
          <w:sz w:val="20"/>
          <w:szCs w:val="20"/>
          <w:color w:val="auto"/>
        </w:rPr>
      </w:pPr>
      <w:r>
        <w:rPr>
          <w:rFonts w:ascii="Times New Roman" w:cs="Times New Roman" w:eastAsia="Times New Roman" w:hAnsi="Times New Roman"/>
          <w:sz w:val="18"/>
          <w:szCs w:val="18"/>
          <w:color w:val="auto"/>
        </w:rPr>
        <w:t>The GEO Entities and GP LLCs are limited liability companies organized under the laws of the State of Delaware. The Funds and the GPLPs are limited partnerships organized under the laws of the State of Delaware. Each of the Managers is a United States citizen.</w:t>
      </w:r>
    </w:p>
    <w:p>
      <w:pPr>
        <w:spacing w:after="0" w:line="37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Source and Amount of Funds or Other Consideration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8600"/>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Purpose of Transaction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Interest in Securities of the Issuer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810"/>
        <w:spacing w:after="0" w:line="254" w:lineRule="auto"/>
        <w:rPr>
          <w:sz w:val="20"/>
          <w:szCs w:val="20"/>
          <w:color w:val="auto"/>
        </w:rPr>
      </w:pPr>
      <w:r>
        <w:rPr>
          <w:rFonts w:ascii="Times New Roman" w:cs="Times New Roman" w:eastAsia="Times New Roman" w:hAnsi="Times New Roman"/>
          <w:sz w:val="18"/>
          <w:szCs w:val="18"/>
          <w:color w:val="auto"/>
        </w:rPr>
        <w:t>GEO 15 is the record owner of the GEO 15 Shares. For purposes of this Amendment No. 3, the GEO 15 Shares do not include the GEO 15 Warrant Shares. On April 26, 2022, the right of GEO 15 to exercise the GEO 15 Warrant Shares expired by the terms of the applicable warrants and such right was not exercised by GEO 15, in whole or in part, prior to such expiration. As the sole member of GEO 15, NEA 15 may be deemed to own beneficially the GEO 15 Shares. As the general partner of NEA 15, NEA Partners 15 may be deemed to own beneficially the GEO 15 Shares. As the sole general partner of NEA Partners 15, NEA 15 LLC may be deemed to own beneficially the GEO 15 Shares. GEO 17 is the record owner of the GEO 17 Shares. As the sole member of GEO 17, NEA 17 may be deemed to own beneficially the GEO 17 Shares. As the general partner of NEA 17, NEA Partners 17 may be deemed to own beneficially the GEO 17 Shares. As the sole general partner of NEA Partners 17, NEA 17 LLC may be deemed to own beneficially the GEO 17 Shares.</w:t>
      </w:r>
    </w:p>
    <w:p>
      <w:pPr>
        <w:spacing w:after="0" w:line="205" w:lineRule="exact"/>
        <w:rPr>
          <w:sz w:val="20"/>
          <w:szCs w:val="20"/>
          <w:color w:val="auto"/>
        </w:rPr>
      </w:pPr>
    </w:p>
    <w:p>
      <w:pPr>
        <w:jc w:val="both"/>
        <w:ind w:firstLine="810"/>
        <w:spacing w:after="0" w:line="258" w:lineRule="auto"/>
        <w:rPr>
          <w:sz w:val="20"/>
          <w:szCs w:val="20"/>
          <w:color w:val="auto"/>
        </w:rPr>
      </w:pPr>
      <w:r>
        <w:rPr>
          <w:rFonts w:ascii="Times New Roman" w:cs="Times New Roman" w:eastAsia="Times New Roman" w:hAnsi="Times New Roman"/>
          <w:sz w:val="18"/>
          <w:szCs w:val="18"/>
          <w:color w:val="auto"/>
        </w:rPr>
        <w:t>By virtue of their relationship as affiliated entities, whose Control Entities have overlapping individual controlling persons, each of the GEO Entities may be deemed to share the power to direct the disposition and vote of the GEO Shares. As sole members of the GEO Entities, each of the Funds may also be deemed to beneficially own the GEO Shares. As general partners of the Funds, each of the GPLPs may also be deemed to own beneficially the GEO Shares. As the sole general partner of NEA Partners 15, NEA 15 LLC may also be deemed to own beneficially the GEO Shares. As the sole general partner of NEA Partners 17, NEA 17 LLC may also be deemed to own beneficially the GEO Shares.</w:t>
      </w:r>
    </w:p>
    <w:p>
      <w:pPr>
        <w:spacing w:after="0" w:line="197" w:lineRule="exact"/>
        <w:rPr>
          <w:sz w:val="20"/>
          <w:szCs w:val="20"/>
          <w:color w:val="auto"/>
        </w:rPr>
      </w:pPr>
    </w:p>
    <w:p>
      <w:pPr>
        <w:jc w:val="both"/>
        <w:ind w:right="20" w:firstLine="810"/>
        <w:spacing w:after="0" w:line="282" w:lineRule="auto"/>
        <w:rPr>
          <w:sz w:val="20"/>
          <w:szCs w:val="20"/>
          <w:color w:val="auto"/>
        </w:rPr>
      </w:pPr>
      <w:r>
        <w:rPr>
          <w:rFonts w:ascii="Times New Roman" w:cs="Times New Roman" w:eastAsia="Times New Roman" w:hAnsi="Times New Roman"/>
          <w:sz w:val="18"/>
          <w:szCs w:val="18"/>
          <w:color w:val="auto"/>
        </w:rPr>
        <w:t>As individual managers of NEA 15 LLC and NEA 17 LLC, each of the Dual Managers may be deemed to own beneficially all of the GEO Shares. As managers of NEA 17 LLC, each of Behbahani, Chang, Mathers, Walker and Yang may be deemed to own beneficially the GEO 17 Shares.</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Each Reporting Person disclaims beneficial ownership of the GEO Shares other than those shares which such person owns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type w:val="continuous"/>
        </w:sectPr>
      </w:pPr>
    </w:p>
    <w:bookmarkStart w:id="20" w:name="page21"/>
    <w:bookmarkEnd w:id="20"/>
    <w:p>
      <w:pPr>
        <w:ind w:left="80"/>
        <w:spacing w:after="0"/>
        <w:tabs>
          <w:tab w:leader="none" w:pos="5460" w:val="left"/>
          <w:tab w:leader="none" w:pos="9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517525</wp:posOffset>
            </wp:positionV>
            <wp:extent cx="235712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2366010"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925050106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21 of 30 Pages</w:t>
      </w:r>
    </w:p>
    <w:p>
      <w:pPr>
        <w:sectPr>
          <w:pgSz w:w="11900" w:h="16838" w:orient="portrait"/>
          <w:cols w:equalWidth="0" w:num="1">
            <w:col w:w="11240"/>
          </w:cols>
          <w:pgMar w:left="320" w:top="8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The percentage of outstanding Ordinary Shares of the Issuer which may be deemed to be beneficially owned by each Reporting Person is set forth on Line 13 of such Reporting Person’s cover sheet. Such percentage was calculated based on 649,881,246 Ordinary Shares reported by the Issuer to be outstanding as of August 2, 2024, on the Issuer’s Form 10-Q filed with the Securities and Exchange Commission on August 8, 2024.</w:t>
      </w:r>
    </w:p>
    <w:p>
      <w:pPr>
        <w:spacing w:after="0" w:line="203" w:lineRule="exact"/>
        <w:rPr>
          <w:sz w:val="20"/>
          <w:szCs w:val="20"/>
          <w:color w:val="auto"/>
        </w:rPr>
      </w:pPr>
    </w:p>
    <w:p>
      <w:pPr>
        <w:ind w:left="1460" w:hanging="642"/>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the number of shares as to which such person has:</w:t>
      </w:r>
    </w:p>
    <w:p>
      <w:pPr>
        <w:spacing w:after="0" w:line="225" w:lineRule="exact"/>
        <w:rPr>
          <w:rFonts w:ascii="Times New Roman" w:cs="Times New Roman" w:eastAsia="Times New Roman" w:hAnsi="Times New Roman"/>
          <w:sz w:val="18"/>
          <w:szCs w:val="18"/>
          <w:color w:val="auto"/>
        </w:rPr>
      </w:pPr>
    </w:p>
    <w:p>
      <w:pPr>
        <w:ind w:left="2080" w:hanging="641"/>
        <w:spacing w:after="0"/>
        <w:tabs>
          <w:tab w:leader="none" w:pos="20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line 7 of cover sheets</w:t>
      </w:r>
    </w:p>
    <w:p>
      <w:pPr>
        <w:spacing w:after="0" w:line="225" w:lineRule="exact"/>
        <w:rPr>
          <w:rFonts w:ascii="Times New Roman" w:cs="Times New Roman" w:eastAsia="Times New Roman" w:hAnsi="Times New Roman"/>
          <w:sz w:val="18"/>
          <w:szCs w:val="18"/>
          <w:color w:val="auto"/>
        </w:rPr>
      </w:pPr>
    </w:p>
    <w:p>
      <w:pPr>
        <w:ind w:left="2080" w:hanging="641"/>
        <w:spacing w:after="0"/>
        <w:tabs>
          <w:tab w:leader="none" w:pos="20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line 8 of cover sheets</w:t>
      </w:r>
    </w:p>
    <w:p>
      <w:pPr>
        <w:spacing w:after="0" w:line="225" w:lineRule="exact"/>
        <w:rPr>
          <w:rFonts w:ascii="Times New Roman" w:cs="Times New Roman" w:eastAsia="Times New Roman" w:hAnsi="Times New Roman"/>
          <w:sz w:val="18"/>
          <w:szCs w:val="18"/>
          <w:color w:val="auto"/>
        </w:rPr>
      </w:pPr>
    </w:p>
    <w:p>
      <w:pPr>
        <w:ind w:left="2080" w:hanging="641"/>
        <w:spacing w:after="0"/>
        <w:tabs>
          <w:tab w:leader="none" w:pos="20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See line 9 of cover sheets</w:t>
      </w:r>
    </w:p>
    <w:p>
      <w:pPr>
        <w:spacing w:after="0" w:line="225" w:lineRule="exact"/>
        <w:rPr>
          <w:rFonts w:ascii="Times New Roman" w:cs="Times New Roman" w:eastAsia="Times New Roman" w:hAnsi="Times New Roman"/>
          <w:sz w:val="18"/>
          <w:szCs w:val="18"/>
          <w:color w:val="auto"/>
        </w:rPr>
      </w:pPr>
    </w:p>
    <w:p>
      <w:pPr>
        <w:ind w:left="2080" w:hanging="641"/>
        <w:spacing w:after="0"/>
        <w:tabs>
          <w:tab w:leader="none" w:pos="20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See line 10 of cover sheets</w:t>
      </w:r>
    </w:p>
    <w:p>
      <w:pPr>
        <w:spacing w:after="0" w:line="225" w:lineRule="exact"/>
        <w:rPr>
          <w:rFonts w:ascii="Times New Roman" w:cs="Times New Roman" w:eastAsia="Times New Roman" w:hAnsi="Times New Roman"/>
          <w:sz w:val="18"/>
          <w:szCs w:val="18"/>
          <w:color w:val="auto"/>
        </w:rPr>
      </w:pPr>
    </w:p>
    <w:p>
      <w:pPr>
        <w:ind w:left="1460" w:hanging="642"/>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Reporting Persons has effected any transaction in the Ordinary Shares during the last 60 days.</w:t>
      </w:r>
    </w:p>
    <w:p>
      <w:pPr>
        <w:spacing w:after="0" w:line="225" w:lineRule="exact"/>
        <w:rPr>
          <w:rFonts w:ascii="Times New Roman" w:cs="Times New Roman" w:eastAsia="Times New Roman" w:hAnsi="Times New Roman"/>
          <w:sz w:val="18"/>
          <w:szCs w:val="18"/>
          <w:color w:val="auto"/>
        </w:rPr>
      </w:pPr>
    </w:p>
    <w:p>
      <w:pPr>
        <w:ind w:left="1460" w:hanging="642"/>
        <w:spacing w:after="0" w:line="282" w:lineRule="auto"/>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person is known to have the right to receive or the power to direct the receipt of dividends from, or any proceeds from the sale of, Ordinary Shares beneficially owned by any of the Reporting Persons.</w:t>
      </w:r>
    </w:p>
    <w:p>
      <w:pPr>
        <w:spacing w:after="0" w:line="161" w:lineRule="exact"/>
        <w:rPr>
          <w:rFonts w:ascii="Times New Roman" w:cs="Times New Roman" w:eastAsia="Times New Roman" w:hAnsi="Times New Roman"/>
          <w:sz w:val="18"/>
          <w:szCs w:val="18"/>
          <w:color w:val="auto"/>
        </w:rPr>
      </w:pPr>
    </w:p>
    <w:p>
      <w:pPr>
        <w:jc w:val="both"/>
        <w:ind w:left="1460" w:hanging="642"/>
        <w:spacing w:after="0" w:line="266" w:lineRule="auto"/>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Landsman has ceased to beneficially own five percent (5%) or more of the Issuer’s Ordinary Shares as a result of ceasing to be a manager of NEA 17 LLC. Sonsini has ceased to beneficially own five percent (5%) or more of the Issuer’s Ordinary Shares as a result of ceasing to be a manager of the GP LLCs.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Contracts, Arrangements, Understandings or Relationships with Respect to Securities of the Issuer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u w:val="single" w:color="auto"/>
          <w:color w:val="auto"/>
        </w:rPr>
        <w:t>Material to be Filed as Exhibits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EE"/>
        </w:rPr>
        <w:t>Exhibit 1 – Agreement regarding filing of joint Schedule 13D.</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EE"/>
        </w:rPr>
        <w:t>Exhibit 2 – Power of Attorney regarding filings under the Securities Exchange Act of 1934, as amended.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EE"/>
        </w:rPr>
        <w:t>Exhibit 3 – Power of Attorney on behalf of Liza Landsman regarding filings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925830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type w:val="continuous"/>
        </w:sectPr>
      </w:pPr>
    </w:p>
    <w:bookmarkStart w:id="21" w:name="page22"/>
    <w:bookmarkEnd w:id="21"/>
    <w:p>
      <w:pPr>
        <w:ind w:left="80"/>
        <w:spacing w:after="0"/>
        <w:tabs>
          <w:tab w:leader="none" w:pos="5460" w:val="left"/>
          <w:tab w:leader="none" w:pos="9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380365</wp:posOffset>
            </wp:positionV>
            <wp:extent cx="2357120"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925050106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22 of 30 Pages</w:t>
      </w:r>
    </w:p>
    <w:p>
      <w:pPr>
        <w:sectPr>
          <w:pgSz w:w="11900" w:h="16838" w:orient="portrait"/>
          <w:cols w:equalWidth="0" w:num="1">
            <w:col w:w="10980"/>
          </w:cols>
          <w:pgMar w:left="320" w:top="644" w:right="599" w:bottom="1440" w:gutter="0" w:footer="0" w:header="0"/>
        </w:sectPr>
      </w:pP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43" w:lineRule="exact"/>
        <w:rPr>
          <w:sz w:val="20"/>
          <w:szCs w:val="20"/>
          <w:color w:val="auto"/>
        </w:rPr>
      </w:pPr>
    </w:p>
    <w:p>
      <w:pPr>
        <w:ind w:right="400" w:firstLine="697"/>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this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August, 2024.</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EQUITY OPPORTUNITIES 17, LLC</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NEW ENTERPRISE ASSOCIATES 17, L.P.</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Sole Member</w:t>
      </w:r>
    </w:p>
    <w:p>
      <w:pPr>
        <w:spacing w:after="0" w:line="207" w:lineRule="exact"/>
        <w:rPr>
          <w:sz w:val="20"/>
          <w:szCs w:val="20"/>
          <w:color w:val="auto"/>
        </w:rPr>
      </w:pPr>
    </w:p>
    <w:p>
      <w:pPr>
        <w:ind w:left="720"/>
        <w:spacing w:after="0"/>
        <w:tabs>
          <w:tab w:leader="none" w:pos="1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NEA PARTNERS 17, L.P.</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1440"/>
        <w:spacing w:after="0"/>
        <w:tabs>
          <w:tab w:leader="none" w:pos="2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NEA 17 GP, LLC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589"/>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w:t>
            </w: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8"/>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Anthony A. Florence, Jr.</w:t>
            </w: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Managing Partner and Co-Chief Executive Officer</w:t>
            </w:r>
          </w:p>
        </w:tc>
      </w:tr>
      <w:tr>
        <w:trPr>
          <w:trHeight w:val="283"/>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w:t>
            </w: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8"/>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Mohamad Makhzoumi</w:t>
            </w: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Managing Partner and Co-Chief Executive Officer</w:t>
            </w:r>
          </w:p>
        </w:tc>
      </w:tr>
      <w:tr>
        <w:trPr>
          <w:trHeight w:val="540"/>
        </w:trPr>
        <w:tc>
          <w:tcPr>
            <w:tcW w:w="65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NEW ENTERPRISE ASSOCIATES 17, L.P.</w:t>
            </w:r>
          </w:p>
        </w:tc>
      </w:tr>
      <w:tr>
        <w:trPr>
          <w:trHeight w:val="41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NEA PARTNERS 17, L.P.</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06"/>
        </w:trPr>
        <w:tc>
          <w:tcPr>
            <w:tcW w:w="50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1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NEA 17 GP, LLC</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91"/>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w:t>
            </w: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8"/>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Anthony A. Florence, Jr.</w:t>
            </w: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tc>
      </w:tr>
      <w:tr>
        <w:trPr>
          <w:trHeight w:val="283"/>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4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Mohamad Makhzoumi</w:t>
            </w: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tc>
      </w:tr>
      <w:tr>
        <w:trPr>
          <w:trHeight w:val="864"/>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NEA PARTNERS 17, L.P.</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1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NEA 17 GP, LLC</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tcPr>
          <w:p>
            <w:pPr>
              <w:spacing w:after="0"/>
              <w:rPr>
                <w:sz w:val="20"/>
                <w:szCs w:val="20"/>
                <w:color w:val="auto"/>
              </w:rPr>
            </w:pPr>
          </w:p>
        </w:tc>
      </w:tr>
    </w:tbl>
    <w:p>
      <w:pPr>
        <w:spacing w:after="0" w:line="90"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p>
      <w:pPr>
        <w:spacing w:after="0" w:line="99"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Mohamad Makhzoumi</w:t>
      </w:r>
    </w:p>
    <w:p>
      <w:pPr>
        <w:spacing w:after="0" w:line="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820420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644" w:right="599" w:bottom="1440" w:gutter="0" w:footer="0" w:header="0"/>
          <w:type w:val="continuous"/>
        </w:sectPr>
      </w:pPr>
    </w:p>
    <w:bookmarkStart w:id="22" w:name="page23"/>
    <w:bookmarkEnd w:id="22"/>
    <w:p>
      <w:pPr>
        <w:ind w:left="80"/>
        <w:spacing w:after="0"/>
        <w:tabs>
          <w:tab w:leader="none" w:pos="5460" w:val="left"/>
          <w:tab w:leader="none" w:pos="9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380365</wp:posOffset>
            </wp:positionV>
            <wp:extent cx="2357120"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925050106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23 of 30 Pages</w:t>
      </w:r>
    </w:p>
    <w:p>
      <w:pPr>
        <w:sectPr>
          <w:pgSz w:w="11900" w:h="16838" w:orient="portrait"/>
          <w:cols w:equalWidth="0" w:num="1">
            <w:col w:w="10980"/>
          </w:cols>
          <w:pgMar w:left="320" w:top="644" w:right="599" w:bottom="5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17 GP, LLC</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p>
      <w:pPr>
        <w:spacing w:after="0" w:line="99"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-7620</wp:posOffset>
            </wp:positionV>
            <wp:extent cx="14852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85265" cy="8255"/>
                    </a:xfrm>
                    <a:prstGeom prst="rect">
                      <a:avLst/>
                    </a:prstGeom>
                    <a:noFill/>
                  </pic:spPr>
                </pic:pic>
              </a:graphicData>
            </a:graphic>
          </wp:anchor>
        </w:drawing>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Mohamad Makhzoumi</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EQUITY OPPORTUNITIES FUND IV, LLC</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NEW ENTERPRISE ASSOCIATES 15, L.P.</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Sole Member</w:t>
      </w:r>
    </w:p>
    <w:p>
      <w:pPr>
        <w:spacing w:after="0" w:line="315" w:lineRule="exact"/>
        <w:rPr>
          <w:sz w:val="20"/>
          <w:szCs w:val="20"/>
          <w:color w:val="auto"/>
        </w:rPr>
      </w:pPr>
    </w:p>
    <w:p>
      <w:pPr>
        <w:ind w:left="720"/>
        <w:spacing w:after="0"/>
        <w:tabs>
          <w:tab w:leader="none" w:pos="1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NEA PARTNERS 15, L.P.</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1440"/>
        <w:spacing w:after="0"/>
        <w:tabs>
          <w:tab w:leader="none" w:pos="2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NEA 15 GP, LLC</w:t>
      </w:r>
    </w:p>
    <w:p>
      <w:pPr>
        <w:spacing w:after="0" w:line="2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General Partner</w:t>
      </w:r>
    </w:p>
    <w:p>
      <w:pPr>
        <w:spacing w:after="0" w:line="315" w:lineRule="exact"/>
        <w:rPr>
          <w:sz w:val="20"/>
          <w:szCs w:val="20"/>
          <w:color w:val="auto"/>
        </w:rPr>
      </w:pPr>
    </w:p>
    <w:p>
      <w:pPr>
        <w:ind w:left="2140"/>
        <w:spacing w:after="0"/>
        <w:tabs>
          <w:tab w:leader="none" w:pos="2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7"/>
          <w:szCs w:val="17"/>
          <w:color w:val="auto"/>
        </w:rPr>
        <w:t>Managing Partner and Co-Chief Executive Officer</w:t>
      </w:r>
    </w:p>
    <w:p>
      <w:pPr>
        <w:spacing w:after="0" w:line="110" w:lineRule="exact"/>
        <w:rPr>
          <w:sz w:val="20"/>
          <w:szCs w:val="20"/>
          <w:color w:val="auto"/>
        </w:rPr>
      </w:pPr>
    </w:p>
    <w:p>
      <w:pPr>
        <w:ind w:left="2140"/>
        <w:spacing w:after="0"/>
        <w:tabs>
          <w:tab w:leader="none" w:pos="2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Mohamad Makhzoumi</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7"/>
          <w:szCs w:val="17"/>
          <w:color w:val="auto"/>
        </w:rPr>
        <w:t>Managing Partner and Co-Chief Executive Officer</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ENTERPRISE ASSOCIATES 15, L.P.</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NEA PARTNERS 15, L.P.</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315" w:lineRule="exact"/>
        <w:rPr>
          <w:sz w:val="20"/>
          <w:szCs w:val="20"/>
          <w:color w:val="auto"/>
        </w:rPr>
      </w:pPr>
    </w:p>
    <w:p>
      <w:pPr>
        <w:ind w:left="720"/>
        <w:spacing w:after="0"/>
        <w:tabs>
          <w:tab w:leader="none" w:pos="1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NEA 15 GP, LLC</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1440"/>
        <w:spacing w:after="0"/>
        <w:tabs>
          <w:tab w:leader="none" w:pos="2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p>
      <w:pPr>
        <w:spacing w:after="0" w:line="99" w:lineRule="exact"/>
        <w:rPr>
          <w:sz w:val="20"/>
          <w:szCs w:val="20"/>
          <w:color w:val="auto"/>
        </w:rPr>
      </w:pPr>
    </w:p>
    <w:p>
      <w:pPr>
        <w:ind w:left="1440"/>
        <w:spacing w:after="0"/>
        <w:tabs>
          <w:tab w:leader="none" w:pos="3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-7620</wp:posOffset>
            </wp:positionV>
            <wp:extent cx="14852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85265" cy="8890"/>
                    </a:xfrm>
                    <a:prstGeom prst="rect">
                      <a:avLst/>
                    </a:prstGeom>
                    <a:noFill/>
                  </pic:spPr>
                </pic:pic>
              </a:graphicData>
            </a:graphic>
          </wp:anchor>
        </w:drawing>
      </w:r>
    </w:p>
    <w:p>
      <w:pPr>
        <w:spacing w:after="0" w:line="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Mohamad Makhzoumi</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PARTNERS 15,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NEA 15 GP, LLC</w:t>
            </w:r>
          </w:p>
        </w:tc>
      </w:tr>
      <w:tr>
        <w:trPr>
          <w:trHeight w:val="234"/>
        </w:trPr>
        <w:tc>
          <w:tcPr>
            <w:tcW w:w="460" w:type="dxa"/>
            <w:vAlign w:val="bottom"/>
          </w:tcPr>
          <w:p>
            <w:pPr>
              <w:spacing w:after="0"/>
              <w:rPr>
                <w:sz w:val="20"/>
                <w:szCs w:val="20"/>
                <w:color w:val="auto"/>
              </w:rPr>
            </w:pPr>
          </w:p>
        </w:tc>
        <w:tc>
          <w:tcPr>
            <w:tcW w:w="48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284"/>
        </w:trPr>
        <w:tc>
          <w:tcPr>
            <w:tcW w:w="46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r>
      <w:tr>
        <w:trPr>
          <w:trHeight w:val="20"/>
        </w:trPr>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18"/>
        </w:trPr>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A. Florence, Jr.</w:t>
            </w:r>
          </w:p>
        </w:tc>
      </w:tr>
      <w:tr>
        <w:trPr>
          <w:trHeight w:val="234"/>
        </w:trPr>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Managing Partner and Co-Chief Executive Officer</w:t>
            </w:r>
          </w:p>
        </w:tc>
      </w:tr>
      <w:tr>
        <w:trPr>
          <w:trHeight w:val="284"/>
        </w:trPr>
        <w:tc>
          <w:tcPr>
            <w:tcW w:w="46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r>
      <w:tr>
        <w:trPr>
          <w:trHeight w:val="20"/>
        </w:trPr>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18"/>
        </w:trPr>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Mohamad Makhzoumi</w:t>
            </w:r>
          </w:p>
        </w:tc>
      </w:tr>
      <w:tr>
        <w:trPr>
          <w:trHeight w:val="234"/>
        </w:trPr>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Managing Partner and Co-Chief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644" w:right="599" w:bottom="501" w:gutter="0" w:footer="0" w:header="0"/>
          <w:type w:val="continuous"/>
        </w:sectPr>
      </w:pPr>
    </w:p>
    <w:bookmarkStart w:id="23" w:name="page24"/>
    <w:bookmarkEnd w:id="23"/>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24 of 30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15 GP, LLC</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p>
      <w:pPr>
        <w:spacing w:after="0" w:line="99"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-7620</wp:posOffset>
            </wp:positionV>
            <wp:extent cx="14852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85265" cy="8255"/>
                    </a:xfrm>
                    <a:prstGeom prst="rect">
                      <a:avLst/>
                    </a:prstGeom>
                    <a:noFill/>
                  </pic:spPr>
                </pic:pic>
              </a:graphicData>
            </a:graphic>
          </wp:anchor>
        </w:drawing>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Mohamad Makhzoumi</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Forest Baskett</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 Behbahani</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Carmen Chang</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200" w:lineRule="exact"/>
        <w:rPr>
          <w:sz w:val="20"/>
          <w:szCs w:val="20"/>
          <w:color w:val="auto"/>
        </w:rPr>
      </w:pPr>
    </w:p>
    <w:p>
      <w:pPr>
        <w:spacing w:after="0" w:line="223"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jc w:val="right"/>
        <w:ind w:right="10120"/>
        <w:spacing w:after="0"/>
        <w:rPr>
          <w:sz w:val="20"/>
          <w:szCs w:val="20"/>
          <w:color w:val="auto"/>
        </w:rPr>
      </w:pPr>
      <w:r>
        <w:rPr>
          <w:rFonts w:ascii="Times New Roman" w:cs="Times New Roman" w:eastAsia="Times New Roman" w:hAnsi="Times New Roman"/>
          <w:sz w:val="18"/>
          <w:szCs w:val="18"/>
          <w:color w:val="auto"/>
        </w:rPr>
        <w:t>Liza Landsman</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Mohamad H. Makhzoumi</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T. Mathers</w:t>
      </w:r>
    </w:p>
    <w:p>
      <w:pPr>
        <w:spacing w:after="0" w:line="200" w:lineRule="exact"/>
        <w:rPr>
          <w:sz w:val="20"/>
          <w:szCs w:val="20"/>
          <w:color w:val="auto"/>
        </w:rPr>
      </w:pPr>
    </w:p>
    <w:p>
      <w:pPr>
        <w:spacing w:after="0" w:line="223"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Scott D. Sandell</w:t>
      </w:r>
    </w:p>
    <w:p>
      <w:pPr>
        <w:spacing w:after="0" w:line="200" w:lineRule="exact"/>
        <w:rPr>
          <w:sz w:val="20"/>
          <w:szCs w:val="20"/>
          <w:color w:val="auto"/>
        </w:rPr>
      </w:pPr>
    </w:p>
    <w:p>
      <w:pPr>
        <w:spacing w:after="0" w:line="223"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jc w:val="right"/>
        <w:ind w:right="10040"/>
        <w:spacing w:after="0"/>
        <w:rPr>
          <w:sz w:val="20"/>
          <w:szCs w:val="20"/>
          <w:color w:val="auto"/>
        </w:rPr>
      </w:pPr>
      <w:r>
        <w:rPr>
          <w:rFonts w:ascii="Times New Roman" w:cs="Times New Roman" w:eastAsia="Times New Roman" w:hAnsi="Times New Roman"/>
          <w:sz w:val="17"/>
          <w:szCs w:val="17"/>
          <w:color w:val="auto"/>
        </w:rPr>
        <w:t>Peter W. Sonsini</w:t>
      </w:r>
    </w:p>
    <w:p>
      <w:pPr>
        <w:spacing w:after="0" w:line="200" w:lineRule="exact"/>
        <w:rPr>
          <w:sz w:val="20"/>
          <w:szCs w:val="20"/>
          <w:color w:val="auto"/>
        </w:rPr>
      </w:pPr>
    </w:p>
    <w:p>
      <w:pPr>
        <w:spacing w:after="0" w:line="23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Walker</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Rick Yang</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 Zachary Bambach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-19050</wp:posOffset>
            </wp:positionV>
            <wp:extent cx="17132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3230" cy="8890"/>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18"/>
          <w:szCs w:val="18"/>
          <w:color w:val="auto"/>
        </w:rPr>
        <w:t>Zachary Bambach</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As attorney-in-fact</w:t>
      </w:r>
    </w:p>
    <w:p>
      <w:pPr>
        <w:spacing w:after="0" w:line="20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This Amendment No. 3 to Schedule 13D was executed by Zachary Bambach on behalf of the individuals listed above pursuant to Powers of Attorney, copies of which are attached as Exhibit 2 and 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086" w:gutter="0" w:footer="0" w:header="0"/>
        </w:sectPr>
      </w:pPr>
    </w:p>
    <w:bookmarkStart w:id="24" w:name="page25"/>
    <w:bookmarkEnd w:id="24"/>
    <w:p>
      <w:pPr>
        <w:ind w:left="80"/>
        <w:spacing w:after="0"/>
        <w:tabs>
          <w:tab w:leader="none" w:pos="5460" w:val="left"/>
          <w:tab w:leader="none" w:pos="9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448945</wp:posOffset>
            </wp:positionV>
            <wp:extent cx="2357120" cy="240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2366010" cy="240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925050106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25 of 30 Pages</w:t>
      </w:r>
    </w:p>
    <w:p>
      <w:pPr>
        <w:sectPr>
          <w:pgSz w:w="11900" w:h="16838" w:orient="portrait"/>
          <w:cols w:equalWidth="0" w:num="1">
            <w:col w:w="11240"/>
          </w:cols>
          <w:pgMar w:left="320" w:top="752" w:right="339" w:bottom="1440" w:gutter="0" w:footer="0" w:header="0"/>
        </w:sect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right="340" w:firstLine="693"/>
        <w:spacing w:after="0" w:line="312" w:lineRule="auto"/>
        <w:rPr>
          <w:sz w:val="20"/>
          <w:szCs w:val="20"/>
          <w:color w:val="auto"/>
        </w:rPr>
      </w:pPr>
      <w:r>
        <w:rPr>
          <w:rFonts w:ascii="Times New Roman" w:cs="Times New Roman" w:eastAsia="Times New Roman" w:hAnsi="Times New Roman"/>
          <w:sz w:val="17"/>
          <w:szCs w:val="17"/>
          <w:color w:val="auto"/>
        </w:rPr>
        <w:t>Pursuant to Rule 13d-1(k)(1) under the Securities Exchange Act of 1934, the undersigned hereby agree that only one statement containing the information required by Schedule 13D need be filed with respect to the ownership by each of the undersigned of shares of stock of Verona Pharma plc.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this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August, 2024</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EQUITY OPPORTUNITIES 17, LLC</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NEW ENTERPRISE ASSOCIATES 17, L.P.</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Sole Member</w:t>
      </w:r>
    </w:p>
    <w:p>
      <w:pPr>
        <w:spacing w:after="0" w:line="207" w:lineRule="exact"/>
        <w:rPr>
          <w:sz w:val="20"/>
          <w:szCs w:val="20"/>
          <w:color w:val="auto"/>
        </w:rPr>
      </w:pPr>
    </w:p>
    <w:p>
      <w:pPr>
        <w:ind w:left="720"/>
        <w:spacing w:after="0"/>
        <w:tabs>
          <w:tab w:leader="none" w:pos="1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NEA PARTNERS 17, L.P.</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1440"/>
        <w:spacing w:after="0"/>
        <w:tabs>
          <w:tab w:leader="none" w:pos="2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NEA 17 GP, LLC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589"/>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w:t>
            </w: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8"/>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Anthony A. Florence, Jr.</w:t>
            </w: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Managing Partner and Co-Chief Executive Officer</w:t>
            </w:r>
          </w:p>
        </w:tc>
      </w:tr>
      <w:tr>
        <w:trPr>
          <w:trHeight w:val="283"/>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w:t>
            </w: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8"/>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Mohamad Makhzoumi</w:t>
            </w: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Managing Partner and Co-Chief Executive Officer</w:t>
            </w:r>
          </w:p>
        </w:tc>
      </w:tr>
      <w:tr>
        <w:trPr>
          <w:trHeight w:val="540"/>
        </w:trPr>
        <w:tc>
          <w:tcPr>
            <w:tcW w:w="65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NEW ENTERPRISE ASSOCIATES 17, L.P.</w:t>
            </w:r>
          </w:p>
        </w:tc>
      </w:tr>
      <w:tr>
        <w:trPr>
          <w:trHeight w:val="41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NEA PARTNERS 17, L.P.</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06"/>
        </w:trPr>
        <w:tc>
          <w:tcPr>
            <w:tcW w:w="50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1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NEA 17 GP, LLC</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91"/>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w:t>
            </w: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8"/>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Anthony A. Florence, Jr.</w:t>
            </w: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tc>
      </w:tr>
      <w:tr>
        <w:trPr>
          <w:trHeight w:val="283"/>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4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Mohamad Makhzoumi</w:t>
            </w: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tc>
      </w:tr>
      <w:tr>
        <w:trPr>
          <w:trHeight w:val="864"/>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NEA PARTNERS 17, L.P.</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1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NEA 17 GP, LLC</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tcPr>
          <w:p>
            <w:pPr>
              <w:spacing w:after="0"/>
              <w:rPr>
                <w:sz w:val="20"/>
                <w:szCs w:val="20"/>
                <w:color w:val="auto"/>
              </w:rPr>
            </w:pPr>
          </w:p>
        </w:tc>
      </w:tr>
    </w:tbl>
    <w:p>
      <w:pPr>
        <w:spacing w:after="0" w:line="90"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p>
      <w:pPr>
        <w:spacing w:after="0" w:line="99"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Mohamad Makhzoumi</w:t>
      </w:r>
    </w:p>
    <w:p>
      <w:pPr>
        <w:spacing w:after="0" w:line="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type w:val="continuous"/>
        </w:sectPr>
      </w:pPr>
    </w:p>
    <w:bookmarkStart w:id="25" w:name="page26"/>
    <w:bookmarkEnd w:id="25"/>
    <w:p>
      <w:pPr>
        <w:ind w:left="80"/>
        <w:spacing w:after="0"/>
        <w:tabs>
          <w:tab w:leader="none" w:pos="5460" w:val="left"/>
          <w:tab w:leader="none" w:pos="9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380365</wp:posOffset>
            </wp:positionV>
            <wp:extent cx="2357120" cy="240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925050106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26 of 30 Pages</w:t>
      </w:r>
    </w:p>
    <w:p>
      <w:pPr>
        <w:sectPr>
          <w:pgSz w:w="11900" w:h="16838" w:orient="portrait"/>
          <w:cols w:equalWidth="0" w:num="1">
            <w:col w:w="10980"/>
          </w:cols>
          <w:pgMar w:left="320" w:top="644" w:right="599" w:bottom="717" w:gutter="0" w:footer="0" w:header="0"/>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17 GP, LLC</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p>
      <w:pPr>
        <w:spacing w:after="0" w:line="99"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-7620</wp:posOffset>
            </wp:positionV>
            <wp:extent cx="14852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85265" cy="8255"/>
                    </a:xfrm>
                    <a:prstGeom prst="rect">
                      <a:avLst/>
                    </a:prstGeom>
                    <a:noFill/>
                  </pic:spPr>
                </pic:pic>
              </a:graphicData>
            </a:graphic>
          </wp:anchor>
        </w:drawing>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Mohamad Makhzoumi</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EQUITY OPPORTUNITIES FUND IV, LLC</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NEW ENTERPRISE ASSOCIATES 15, L.P.</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Sole Member</w:t>
      </w:r>
    </w:p>
    <w:p>
      <w:pPr>
        <w:spacing w:after="0" w:line="315" w:lineRule="exact"/>
        <w:rPr>
          <w:sz w:val="20"/>
          <w:szCs w:val="20"/>
          <w:color w:val="auto"/>
        </w:rPr>
      </w:pPr>
    </w:p>
    <w:p>
      <w:pPr>
        <w:ind w:left="720"/>
        <w:spacing w:after="0"/>
        <w:tabs>
          <w:tab w:leader="none" w:pos="1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NEA PARTNERS 15, L.P.</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1440"/>
        <w:spacing w:after="0"/>
        <w:tabs>
          <w:tab w:leader="none" w:pos="2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NEA 15 GP, LLC</w:t>
      </w:r>
    </w:p>
    <w:p>
      <w:pPr>
        <w:spacing w:after="0" w:line="2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General Partner</w:t>
      </w:r>
    </w:p>
    <w:p>
      <w:pPr>
        <w:spacing w:after="0" w:line="315" w:lineRule="exact"/>
        <w:rPr>
          <w:sz w:val="20"/>
          <w:szCs w:val="20"/>
          <w:color w:val="auto"/>
        </w:rPr>
      </w:pPr>
    </w:p>
    <w:p>
      <w:pPr>
        <w:ind w:left="2140"/>
        <w:spacing w:after="0"/>
        <w:tabs>
          <w:tab w:leader="none" w:pos="2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7"/>
          <w:szCs w:val="17"/>
          <w:color w:val="auto"/>
        </w:rPr>
        <w:t>Managing Partner and Co-Chief Executive Officer</w:t>
      </w:r>
    </w:p>
    <w:p>
      <w:pPr>
        <w:spacing w:after="0" w:line="110" w:lineRule="exact"/>
        <w:rPr>
          <w:sz w:val="20"/>
          <w:szCs w:val="20"/>
          <w:color w:val="auto"/>
        </w:rPr>
      </w:pPr>
    </w:p>
    <w:p>
      <w:pPr>
        <w:ind w:left="2140"/>
        <w:spacing w:after="0"/>
        <w:tabs>
          <w:tab w:leader="none" w:pos="2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Mohamad Makhzoumi</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7"/>
          <w:szCs w:val="17"/>
          <w:color w:val="auto"/>
        </w:rPr>
        <w:t>Managing Partner and Co-Chief Executive Officer</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ENTERPRISE ASSOCIATES 15, L.P.</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NEA PARTNERS 15, L.P.</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315" w:lineRule="exact"/>
        <w:rPr>
          <w:sz w:val="20"/>
          <w:szCs w:val="20"/>
          <w:color w:val="auto"/>
        </w:rPr>
      </w:pPr>
    </w:p>
    <w:p>
      <w:pPr>
        <w:ind w:left="720"/>
        <w:spacing w:after="0"/>
        <w:tabs>
          <w:tab w:leader="none" w:pos="1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NEA 15 GP, LLC</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1440"/>
        <w:spacing w:after="0"/>
        <w:tabs>
          <w:tab w:leader="none" w:pos="2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p>
      <w:pPr>
        <w:spacing w:after="0" w:line="99" w:lineRule="exact"/>
        <w:rPr>
          <w:sz w:val="20"/>
          <w:szCs w:val="20"/>
          <w:color w:val="auto"/>
        </w:rPr>
      </w:pPr>
    </w:p>
    <w:p>
      <w:pPr>
        <w:ind w:left="1440"/>
        <w:spacing w:after="0"/>
        <w:tabs>
          <w:tab w:leader="none" w:pos="3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-7620</wp:posOffset>
            </wp:positionV>
            <wp:extent cx="14852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85265" cy="8890"/>
                    </a:xfrm>
                    <a:prstGeom prst="rect">
                      <a:avLst/>
                    </a:prstGeom>
                    <a:noFill/>
                  </pic:spPr>
                </pic:pic>
              </a:graphicData>
            </a:graphic>
          </wp:anchor>
        </w:drawing>
      </w:r>
    </w:p>
    <w:p>
      <w:pPr>
        <w:spacing w:after="0" w:line="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Mohamad Makhzoumi</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PARTNERS 15,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NEA 15 GP, LLC</w:t>
            </w:r>
          </w:p>
        </w:tc>
      </w:tr>
      <w:tr>
        <w:trPr>
          <w:trHeight w:val="234"/>
        </w:trPr>
        <w:tc>
          <w:tcPr>
            <w:tcW w:w="460" w:type="dxa"/>
            <w:vAlign w:val="bottom"/>
          </w:tcPr>
          <w:p>
            <w:pPr>
              <w:spacing w:after="0"/>
              <w:rPr>
                <w:sz w:val="20"/>
                <w:szCs w:val="20"/>
                <w:color w:val="auto"/>
              </w:rPr>
            </w:pPr>
          </w:p>
        </w:tc>
        <w:tc>
          <w:tcPr>
            <w:tcW w:w="48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284"/>
        </w:trPr>
        <w:tc>
          <w:tcPr>
            <w:tcW w:w="46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r>
      <w:tr>
        <w:trPr>
          <w:trHeight w:val="20"/>
        </w:trPr>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18"/>
        </w:trPr>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A. Florence, Jr.</w:t>
            </w:r>
          </w:p>
        </w:tc>
      </w:tr>
      <w:tr>
        <w:trPr>
          <w:trHeight w:val="234"/>
        </w:trPr>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Managing Partner and Co-Chief Executive Officer</w:t>
            </w:r>
          </w:p>
        </w:tc>
      </w:tr>
      <w:tr>
        <w:trPr>
          <w:trHeight w:val="284"/>
        </w:trPr>
        <w:tc>
          <w:tcPr>
            <w:tcW w:w="46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r>
      <w:tr>
        <w:trPr>
          <w:trHeight w:val="20"/>
        </w:trPr>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18"/>
        </w:trPr>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Mohamad Makhzoumi</w:t>
            </w:r>
          </w:p>
        </w:tc>
      </w:tr>
      <w:tr>
        <w:trPr>
          <w:trHeight w:val="234"/>
        </w:trPr>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Managing Partner and Co-Chief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644" w:right="599" w:bottom="717" w:gutter="0" w:footer="0" w:header="0"/>
          <w:type w:val="continuous"/>
        </w:sectPr>
      </w:pPr>
    </w:p>
    <w:bookmarkStart w:id="26" w:name="page27"/>
    <w:bookmarkEnd w:id="26"/>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925050106</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27 of 30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15 GP, LLC</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                        *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p>
      <w:pPr>
        <w:spacing w:after="0" w:line="99"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-7620</wp:posOffset>
            </wp:positionV>
            <wp:extent cx="14852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85265" cy="8255"/>
                    </a:xfrm>
                    <a:prstGeom prst="rect">
                      <a:avLst/>
                    </a:prstGeom>
                    <a:noFill/>
                  </pic:spPr>
                </pic:pic>
              </a:graphicData>
            </a:graphic>
          </wp:anchor>
        </w:drawing>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Mohamad Makhzoumi</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Managing Partner and Co-Chief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Forest Baskett</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 Behbahani</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Carmen Chang</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200" w:lineRule="exact"/>
        <w:rPr>
          <w:sz w:val="20"/>
          <w:szCs w:val="20"/>
          <w:color w:val="auto"/>
        </w:rPr>
      </w:pPr>
    </w:p>
    <w:p>
      <w:pPr>
        <w:spacing w:after="0" w:line="223"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jc w:val="right"/>
        <w:ind w:right="10120"/>
        <w:spacing w:after="0"/>
        <w:rPr>
          <w:sz w:val="20"/>
          <w:szCs w:val="20"/>
          <w:color w:val="auto"/>
        </w:rPr>
      </w:pPr>
      <w:r>
        <w:rPr>
          <w:rFonts w:ascii="Times New Roman" w:cs="Times New Roman" w:eastAsia="Times New Roman" w:hAnsi="Times New Roman"/>
          <w:sz w:val="18"/>
          <w:szCs w:val="18"/>
          <w:color w:val="auto"/>
        </w:rPr>
        <w:t>Liza Landsman</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Mohamad H. Makhzoumi</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T. Mathers</w:t>
      </w:r>
    </w:p>
    <w:p>
      <w:pPr>
        <w:spacing w:after="0" w:line="200" w:lineRule="exact"/>
        <w:rPr>
          <w:sz w:val="20"/>
          <w:szCs w:val="20"/>
          <w:color w:val="auto"/>
        </w:rPr>
      </w:pPr>
    </w:p>
    <w:p>
      <w:pPr>
        <w:spacing w:after="0" w:line="223"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Scott D. Sandell</w:t>
      </w:r>
    </w:p>
    <w:p>
      <w:pPr>
        <w:spacing w:after="0" w:line="200" w:lineRule="exact"/>
        <w:rPr>
          <w:sz w:val="20"/>
          <w:szCs w:val="20"/>
          <w:color w:val="auto"/>
        </w:rPr>
      </w:pPr>
    </w:p>
    <w:p>
      <w:pPr>
        <w:spacing w:after="0" w:line="223"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jc w:val="right"/>
        <w:ind w:right="10040"/>
        <w:spacing w:after="0"/>
        <w:rPr>
          <w:sz w:val="20"/>
          <w:szCs w:val="20"/>
          <w:color w:val="auto"/>
        </w:rPr>
      </w:pPr>
      <w:r>
        <w:rPr>
          <w:rFonts w:ascii="Times New Roman" w:cs="Times New Roman" w:eastAsia="Times New Roman" w:hAnsi="Times New Roman"/>
          <w:sz w:val="17"/>
          <w:szCs w:val="17"/>
          <w:color w:val="auto"/>
        </w:rPr>
        <w:t>Peter W. Sonsini</w:t>
      </w:r>
    </w:p>
    <w:p>
      <w:pPr>
        <w:spacing w:after="0" w:line="200" w:lineRule="exact"/>
        <w:rPr>
          <w:sz w:val="20"/>
          <w:szCs w:val="20"/>
          <w:color w:val="auto"/>
        </w:rPr>
      </w:pPr>
    </w:p>
    <w:p>
      <w:pPr>
        <w:spacing w:after="0" w:line="23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Walker</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Rick Yang</w:t>
      </w:r>
    </w:p>
    <w:p>
      <w:pPr>
        <w:spacing w:after="0" w:line="2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 Zachary Bambach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-7620</wp:posOffset>
            </wp:positionV>
            <wp:extent cx="17132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3230" cy="8890"/>
                    </a:xfrm>
                    <a:prstGeom prst="rect">
                      <a:avLst/>
                    </a:prstGeom>
                    <a:noFill/>
                  </pic:spPr>
                </pic:pic>
              </a:graphicData>
            </a:graphic>
          </wp:anchor>
        </w:drawing>
      </w:r>
    </w:p>
    <w:p>
      <w:pPr>
        <w:spacing w:after="0" w:line="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Zachary Bambach</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As attorney-in-fact</w:t>
      </w:r>
    </w:p>
    <w:p>
      <w:pPr>
        <w:spacing w:after="0" w:line="200" w:lineRule="exact"/>
        <w:rPr>
          <w:sz w:val="20"/>
          <w:szCs w:val="20"/>
          <w:color w:val="auto"/>
        </w:rPr>
      </w:pPr>
    </w:p>
    <w:p>
      <w:pPr>
        <w:spacing w:after="0" w:line="22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This Agreement relating to Schedule 13D was executed by Zachary Bambach on behalf of the individuals listed above pursuant to Powers of Attorney, copies of which are attached hereto as Exhibit 2 and 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8" w:right="339" w:bottom="1099" w:gutter="0" w:footer="0" w:header="0"/>
        </w:sectPr>
      </w:pPr>
    </w:p>
    <w:bookmarkStart w:id="27" w:name="page28"/>
    <w:bookmarkEnd w:id="27"/>
    <w:p>
      <w:pPr>
        <w:ind w:left="80"/>
        <w:spacing w:after="0"/>
        <w:tabs>
          <w:tab w:leader="none" w:pos="5460" w:val="left"/>
          <w:tab w:leader="none" w:pos="9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380365</wp:posOffset>
            </wp:positionV>
            <wp:extent cx="2357120" cy="2400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925050106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28 of 30 Pages</w:t>
      </w:r>
    </w:p>
    <w:p>
      <w:pPr>
        <w:sectPr>
          <w:pgSz w:w="11900" w:h="16838" w:orient="portrait"/>
          <w:cols w:equalWidth="0" w:num="1">
            <w:col w:w="11240"/>
          </w:cols>
          <w:pgMar w:left="320" w:top="644"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7"/>
          <w:szCs w:val="17"/>
          <w:b w:val="1"/>
          <w:bCs w:val="1"/>
          <w:u w:val="single" w:color="auto"/>
          <w:color w:val="auto"/>
        </w:rPr>
        <w:t>EXHIBIT 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the undersigned hereby constitutes and appoints Zachary Bambach, Nicole Hatcher and Stephanie Brecher, and each of them, with full power to act without the others, his or her true and lawful attorney-in-fact, with full power of substitution, to sign any and all instruments, certificates and documents that may be necessary, desirable or appropriate to be executed on behalf of himself as an individual or in his or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including, without limitation, Forms 3, 4 and 5 and Schedules 13D and 13G (and any amendments thereto), and to file the same, with all exhibits thereto, and any other documents in connection therewith, with the Securities and Exchange Commission (the “SEC”), including, but not limited to, signing a Form ID for and on behalf of the undersigned and filing such Form ID with the SEC,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or she might or could do in person, thereby ratifying and confirming all that said attorney-in-fact, or his or her substitutes, may lawfully do or cause to be done by virtue hereof. This power of attorney is perpetual, unless revoked by the undersigned in a signed writing delivered to each of the foregoing attorneys-in-fact.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as of the 29th day of February, 2024.</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Peter J. Barris</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Peter J. Barris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Forest Baskett</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Forest Baskett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Ali Behbahani</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Ali Behbahani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Ronald D. Bernal</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Ronald D. Bernal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Ann Bordetsky</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Ann Bordetsky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Carmen Chang</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Carmen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Philip Chopin</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Philip Chopin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Anthony A. Florence, Jr.</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Jonathan Golden</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Jonathan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Scott Gottlieb</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Scott Gottlieb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type w:val="continuous"/>
        </w:sectPr>
      </w:pPr>
    </w:p>
    <w:bookmarkStart w:id="28" w:name="page29"/>
    <w:bookmarkEnd w:id="28"/>
    <w:p>
      <w:pPr>
        <w:spacing w:after="0"/>
        <w:tabs>
          <w:tab w:leader="none" w:pos="5380" w:val="left"/>
          <w:tab w:leader="none" w:pos="93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380365</wp:posOffset>
            </wp:positionV>
            <wp:extent cx="2357120" cy="2400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925050106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29 of 30 Pages</w:t>
      </w:r>
    </w:p>
    <w:p>
      <w:pPr>
        <w:sectPr>
          <w:pgSz w:w="11900" w:h="16838" w:orient="portrait"/>
          <w:cols w:equalWidth="0" w:num="1">
            <w:col w:w="10900"/>
          </w:cols>
          <w:pgMar w:left="400" w:top="644"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Mark Hawkins</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Mark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Jeffrey R. Immelt</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Jeffrey R. Immelt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Aaron Jacobson</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Aaron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Patrick J. Kerins</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Patrick J. Kerins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Hilarie Koplow-McAdams</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Hilarie Koplow-McAdams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Vanessa Larco</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Vanessa Larco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Julio C. Lopez</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Julio C.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Tiffany Le</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Tiffany 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Mohamad H. Makhzoumi</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Mohamad H. Makhzoumi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Edward T. Mathers</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Edward T. 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Gregory Papadopoulos</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Gregory Papadopoulos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Kavita Patel</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Kavita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Scott D. Sandell</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Scott D. Sandell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A. Brooke Seawell</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A. Brooke Seawell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Peter Sonsini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17145</wp:posOffset>
            </wp:positionV>
            <wp:extent cx="21431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Peter Sonsini</w:t>
      </w:r>
    </w:p>
    <w:p>
      <w:pPr>
        <w:spacing w:after="0" w:line="2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Melissa Taunton</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Melissa Taunton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Paul E. Walker</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Paul E.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Rick Yang</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Rick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557530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-127635</wp:posOffset>
            </wp:positionV>
            <wp:extent cx="21431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ectPr>
          <w:pgSz w:w="11900" w:h="16838" w:orient="portrait"/>
          <w:cols w:equalWidth="0" w:num="1">
            <w:col w:w="10900"/>
          </w:cols>
          <w:pgMar w:left="400" w:top="644" w:right="599" w:bottom="1440" w:gutter="0" w:footer="0" w:header="0"/>
          <w:type w:val="continuous"/>
        </w:sectPr>
      </w:pPr>
    </w:p>
    <w:bookmarkStart w:id="29" w:name="page30"/>
    <w:bookmarkEnd w:id="29"/>
    <w:p>
      <w:pPr>
        <w:ind w:left="80"/>
        <w:spacing w:after="0"/>
        <w:tabs>
          <w:tab w:leader="none" w:pos="5460" w:val="left"/>
          <w:tab w:leader="none" w:pos="94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380365</wp:posOffset>
            </wp:positionV>
            <wp:extent cx="2357120" cy="2400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925050106</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30 of 30 Pages</w:t>
      </w:r>
    </w:p>
    <w:p>
      <w:pPr>
        <w:sectPr>
          <w:pgSz w:w="11900" w:h="16838" w:orient="portrait"/>
          <w:cols w:equalWidth="0" w:num="1">
            <w:col w:w="11240"/>
          </w:cols>
          <w:pgMar w:left="320" w:top="644"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7"/>
          <w:szCs w:val="17"/>
          <w:b w:val="1"/>
          <w:bCs w:val="1"/>
          <w:u w:val="single" w:color="auto"/>
          <w:color w:val="auto"/>
        </w:rPr>
        <w:t>EXHIBIT 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the undersigned hereby constitutes and appoints Zachary Bambach, Nicole Hatcher and Stephanie Brecher, and each of them, with full power to act without the others, his or her true and lawful attorney-in-fact, with full power of substitution, to sign any and all instruments, certificates and documents that may be necessary, desirable or appropriate to be executed on behalf of himself as an individual or in his or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including, without limitation, Forms 3, 4 and 5 and Schedules 13D and 13G (and any amendments thereto), and to file the same, with all exhibits thereto, and any other documents in connection therewith, with the Securities and Exchange Commission (the “SEC”), including, but not limited to, signing a Form ID for and on behalf of the undersigned and filing such Form ID with the SEC,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or she might or could do in person, thereby ratifying and confirming all that said attorney-in-fact, or his or her substitutes, may lawfully do or cause to be done by virtue hereof. This power of attorney is perpetual, unless revoked by the undersigned in a signed writing delivered to each of the foregoing attorneys-in-fact.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as of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of May, 2024.</w:t>
      </w:r>
    </w:p>
    <w:p>
      <w:pPr>
        <w:spacing w:after="0" w:line="200" w:lineRule="exact"/>
        <w:rPr>
          <w:sz w:val="20"/>
          <w:szCs w:val="20"/>
          <w:color w:val="auto"/>
        </w:rPr>
      </w:pPr>
    </w:p>
    <w:p>
      <w:pPr>
        <w:spacing w:after="0" w:line="36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Liza Landsman</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Liza Landsman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2632075</wp:posOffset>
            </wp:positionV>
            <wp:extent cx="71323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-127635</wp:posOffset>
            </wp:positionV>
            <wp:extent cx="21431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sectPr>
      <w:pgSz w:w="11900" w:h="16838" w:orient="portrait"/>
      <w:cols w:equalWidth="0" w:num="1">
        <w:col w:w="11240"/>
      </w:cols>
      <w:pgMar w:left="320" w:top="64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7"/>
    </w:lvl>
    <w:lvl w:ilvl="1">
      <w:lvlJc w:val="left"/>
      <w:lvlText w:val="0"/>
      <w:numFmt w:val="bullet"/>
      <w:start w:val="1"/>
    </w:lvl>
  </w:abstractNum>
  <w:abstractNum w:abstractNumId="2">
    <w:nsid w:val="1190CDE7"/>
    <w:multiLevelType w:val="hybridMultilevel"/>
    <w:lvl w:ilvl="0">
      <w:lvlJc w:val="left"/>
      <w:lvlText w:val="%1."/>
      <w:numFmt w:val="decimal"/>
      <w:start w:val="7"/>
    </w:lvl>
    <w:lvl w:ilvl="1">
      <w:lvlJc w:val="left"/>
      <w:lvlText w:val="0"/>
      <w:numFmt w:val="bullet"/>
      <w:start w:val="1"/>
    </w:lvl>
  </w:abstractNum>
  <w:abstractNum w:abstractNumId="3">
    <w:nsid w:val="66EF438D"/>
    <w:multiLevelType w:val="hybridMultilevel"/>
    <w:lvl w:ilvl="0">
      <w:lvlJc w:val="left"/>
      <w:lvlText w:val="%1."/>
      <w:numFmt w:val="decimal"/>
      <w:start w:val="7"/>
    </w:lvl>
    <w:lvl w:ilvl="1">
      <w:lvlJc w:val="left"/>
      <w:lvlText w:val="0"/>
      <w:numFmt w:val="bullet"/>
      <w:start w:val="1"/>
    </w:lvl>
  </w:abstractNum>
  <w:abstractNum w:abstractNumId="4">
    <w:nsid w:val="140E0F76"/>
    <w:multiLevelType w:val="hybridMultilevel"/>
    <w:lvl w:ilvl="0">
      <w:lvlJc w:val="left"/>
      <w:lvlText w:val="%1."/>
      <w:numFmt w:val="decimal"/>
      <w:start w:val="7"/>
    </w:lvl>
    <w:lvl w:ilvl="1">
      <w:lvlJc w:val="left"/>
      <w:lvlText w:val="0"/>
      <w:numFmt w:val="bullet"/>
      <w:start w:val="1"/>
    </w:lvl>
  </w:abstractNum>
  <w:abstractNum w:abstractNumId="5">
    <w:nsid w:val="3352255A"/>
    <w:multiLevelType w:val="hybridMultilevel"/>
    <w:lvl w:ilvl="0">
      <w:lvlJc w:val="left"/>
      <w:lvlText w:val="%1."/>
      <w:numFmt w:val="decimal"/>
      <w:start w:val="7"/>
    </w:lvl>
    <w:lvl w:ilvl="1">
      <w:lvlJc w:val="left"/>
      <w:lvlText w:val="0"/>
      <w:numFmt w:val="bullet"/>
      <w:start w:val="1"/>
    </w:lvl>
  </w:abstractNum>
  <w:abstractNum w:abstractNumId="6">
    <w:nsid w:val="109CF92E"/>
    <w:multiLevelType w:val="hybridMultilevel"/>
    <w:lvl w:ilvl="0">
      <w:lvlJc w:val="left"/>
      <w:lvlText w:val="%1."/>
      <w:numFmt w:val="decimal"/>
      <w:start w:val="7"/>
    </w:lvl>
    <w:lvl w:ilvl="1">
      <w:lvlJc w:val="left"/>
      <w:lvlText w:val="0"/>
      <w:numFmt w:val="bullet"/>
      <w:start w:val="1"/>
    </w:lvl>
  </w:abstractNum>
  <w:abstractNum w:abstractNumId="7">
    <w:nsid w:val="DED7263"/>
    <w:multiLevelType w:val="hybridMultilevel"/>
    <w:lvl w:ilvl="0">
      <w:lvlJc w:val="left"/>
      <w:lvlText w:val="%1."/>
      <w:numFmt w:val="decimal"/>
      <w:start w:val="7"/>
    </w:lvl>
    <w:lvl w:ilvl="1">
      <w:lvlJc w:val="left"/>
      <w:lvlText w:val="0"/>
      <w:numFmt w:val="bullet"/>
      <w:start w:val="1"/>
    </w:lvl>
  </w:abstractNum>
  <w:abstractNum w:abstractNumId="8">
    <w:nsid w:val="7FDCC233"/>
    <w:multiLevelType w:val="hybridMultilevel"/>
    <w:lvl w:ilvl="0">
      <w:lvlJc w:val="left"/>
      <w:lvlText w:val="%1."/>
      <w:numFmt w:val="decimal"/>
      <w:start w:val="7"/>
    </w:lvl>
    <w:lvl w:ilvl="1">
      <w:lvlJc w:val="left"/>
      <w:lvlText w:val="0"/>
      <w:numFmt w:val="bullet"/>
      <w:start w:val="1"/>
    </w:lvl>
  </w:abstractNum>
  <w:abstractNum w:abstractNumId="9">
    <w:nsid w:val="1BEFD79F"/>
    <w:multiLevelType w:val="hybridMultilevel"/>
    <w:lvl w:ilvl="0">
      <w:lvlJc w:val="left"/>
      <w:lvlText w:val="%1."/>
      <w:numFmt w:val="decimal"/>
      <w:start w:val="7"/>
    </w:lvl>
    <w:lvl w:ilvl="1">
      <w:lvlJc w:val="left"/>
      <w:lvlText w:val="0"/>
      <w:numFmt w:val="bullet"/>
      <w:start w:val="1"/>
    </w:lvl>
  </w:abstractNum>
  <w:abstractNum w:abstractNumId="10">
    <w:nsid w:val="41A7C4C9"/>
    <w:multiLevelType w:val="hybridMultilevel"/>
    <w:lvl w:ilvl="0">
      <w:lvlJc w:val="left"/>
      <w:lvlText w:val="%1."/>
      <w:numFmt w:val="decimal"/>
      <w:start w:val="7"/>
    </w:lvl>
    <w:lvl w:ilvl="1">
      <w:lvlJc w:val="left"/>
      <w:lvlText w:val="0"/>
      <w:numFmt w:val="bullet"/>
      <w:start w:val="1"/>
    </w:lvl>
  </w:abstractNum>
  <w:abstractNum w:abstractNumId="11">
    <w:nsid w:val="6B68079A"/>
    <w:multiLevelType w:val="hybridMultilevel"/>
    <w:lvl w:ilvl="0">
      <w:lvlJc w:val="left"/>
      <w:lvlText w:val="%1."/>
      <w:numFmt w:val="decimal"/>
      <w:start w:val="7"/>
    </w:lvl>
    <w:lvl w:ilvl="1">
      <w:lvlJc w:val="left"/>
      <w:lvlText w:val="0"/>
      <w:numFmt w:val="bullet"/>
      <w:start w:val="1"/>
    </w:lvl>
  </w:abstractNum>
  <w:abstractNum w:abstractNumId="12">
    <w:nsid w:val="4E6AFB66"/>
    <w:multiLevelType w:val="hybridMultilevel"/>
    <w:lvl w:ilvl="0">
      <w:lvlJc w:val="left"/>
      <w:lvlText w:val="%1."/>
      <w:numFmt w:val="decimal"/>
      <w:start w:val="7"/>
    </w:lvl>
    <w:lvl w:ilvl="1">
      <w:lvlJc w:val="left"/>
      <w:lvlText w:val="0"/>
      <w:numFmt w:val="bullet"/>
      <w:start w:val="1"/>
    </w:lvl>
  </w:abstractNum>
  <w:abstractNum w:abstractNumId="13">
    <w:nsid w:val="25E45D32"/>
    <w:multiLevelType w:val="hybridMultilevel"/>
    <w:lvl w:ilvl="0">
      <w:lvlJc w:val="left"/>
      <w:lvlText w:val="%1."/>
      <w:numFmt w:val="decimal"/>
      <w:start w:val="7"/>
    </w:lvl>
    <w:lvl w:ilvl="1">
      <w:lvlJc w:val="left"/>
      <w:lvlText w:val="0"/>
      <w:numFmt w:val="bullet"/>
      <w:start w:val="1"/>
    </w:lvl>
  </w:abstractNum>
  <w:abstractNum w:abstractNumId="14">
    <w:nsid w:val="519B500D"/>
    <w:multiLevelType w:val="hybridMultilevel"/>
    <w:lvl w:ilvl="0">
      <w:lvlJc w:val="left"/>
      <w:lvlText w:val="%1."/>
      <w:numFmt w:val="decimal"/>
      <w:start w:val="7"/>
    </w:lvl>
    <w:lvl w:ilvl="1">
      <w:lvlJc w:val="left"/>
      <w:lvlText w:val="0"/>
      <w:numFmt w:val="bullet"/>
      <w:start w:val="1"/>
    </w:lvl>
  </w:abstractNum>
  <w:abstractNum w:abstractNumId="15">
    <w:nsid w:val="431BD7B7"/>
    <w:multiLevelType w:val="hybridMultilevel"/>
    <w:lvl w:ilvl="0">
      <w:lvlJc w:val="left"/>
      <w:lvlText w:val="%1."/>
      <w:numFmt w:val="decimal"/>
      <w:start w:val="7"/>
    </w:lvl>
    <w:lvl w:ilvl="1">
      <w:lvlJc w:val="left"/>
      <w:lvlText w:val="0"/>
      <w:numFmt w:val="bullet"/>
      <w:start w:val="1"/>
    </w:lvl>
  </w:abstractNum>
  <w:abstractNum w:abstractNumId="16">
    <w:nsid w:val="3F2DBA31"/>
    <w:multiLevelType w:val="hybridMultilevel"/>
    <w:lvl w:ilvl="0">
      <w:lvlJc w:val="left"/>
      <w:lvlText w:val="%1."/>
      <w:numFmt w:val="decimal"/>
      <w:start w:val="7"/>
    </w:lvl>
    <w:lvl w:ilvl="1">
      <w:lvlJc w:val="left"/>
      <w:lvlText w:val="0"/>
      <w:numFmt w:val="bullet"/>
      <w:start w:val="1"/>
    </w:lvl>
  </w:abstractNum>
  <w:abstractNum w:abstractNumId="17">
    <w:nsid w:val="7C83E458"/>
    <w:multiLevelType w:val="hybridMultilevel"/>
    <w:lvl w:ilvl="0">
      <w:lvlJc w:val="left"/>
      <w:lvlText w:val="%1."/>
      <w:numFmt w:val="decimal"/>
      <w:start w:val="7"/>
    </w:lvl>
    <w:lvl w:ilvl="1">
      <w:lvlJc w:val="left"/>
      <w:lvlText w:val="0"/>
      <w:numFmt w:val="bullet"/>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2024-08-28T20:57:56Z</dcterms:created>
  <dcterms:modified xsi:type="dcterms:W3CDTF">2024-08-28T20:57:56Z</dcterms:modified>
</cp:coreProperties>
</file>