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8" w:lineRule="exact"/>
        <w:rPr>
          <w:sz w:val="24"/>
          <w:szCs w:val="24"/>
          <w:color w:val="auto"/>
        </w:rPr>
      </w:pPr>
    </w:p>
    <w:p>
      <w:pPr>
        <w:jc w:val="center"/>
        <w:ind w:left="5400" w:right="160" w:hanging="5225"/>
        <w:spacing w:after="0" w:line="243" w:lineRule="auto"/>
        <w:tabs>
          <w:tab w:leader="none" w:pos="572"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2024</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6" w:lineRule="exact"/>
        <w:rPr>
          <w:sz w:val="24"/>
          <w:szCs w:val="24"/>
          <w:color w:val="auto"/>
        </w:rPr>
      </w:pPr>
    </w:p>
    <w:p>
      <w:pPr>
        <w:jc w:val="center"/>
        <w:ind w:left="5400" w:right="160" w:hanging="5231"/>
        <w:spacing w:after="0" w:line="256" w:lineRule="auto"/>
        <w:tabs>
          <w:tab w:leader="none" w:pos="562"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90"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 TO __________</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001-38067</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Verona Pharma plc</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6"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5280" w:type="dxa"/>
            <w:vAlign w:val="bottom"/>
          </w:tcPr>
          <w:p>
            <w:pPr>
              <w:jc w:val="center"/>
              <w:ind w:right="1477"/>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3760" w:type="dxa"/>
            <w:vAlign w:val="bottom"/>
          </w:tcPr>
          <w:p>
            <w:pPr>
              <w:jc w:val="center"/>
              <w:ind w:left="1459"/>
              <w:spacing w:after="0"/>
              <w:rPr>
                <w:sz w:val="20"/>
                <w:szCs w:val="20"/>
                <w:color w:val="auto"/>
              </w:rPr>
            </w:pPr>
            <w:r>
              <w:rPr>
                <w:rFonts w:ascii="Times New Roman" w:cs="Times New Roman" w:eastAsia="Times New Roman" w:hAnsi="Times New Roman"/>
                <w:sz w:val="18"/>
                <w:szCs w:val="18"/>
                <w:b w:val="1"/>
                <w:bCs w:val="1"/>
                <w:color w:val="auto"/>
                <w:w w:val="98"/>
              </w:rPr>
              <w:t>98-1489389</w:t>
            </w:r>
          </w:p>
        </w:tc>
      </w:tr>
      <w:tr>
        <w:trPr>
          <w:trHeight w:val="193"/>
        </w:trPr>
        <w:tc>
          <w:tcPr>
            <w:tcW w:w="5280" w:type="dxa"/>
            <w:vAlign w:val="bottom"/>
          </w:tcPr>
          <w:p>
            <w:pPr>
              <w:jc w:val="center"/>
              <w:ind w:right="1477"/>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760" w:type="dxa"/>
            <w:vAlign w:val="bottom"/>
          </w:tcPr>
          <w:p>
            <w:pPr>
              <w:jc w:val="center"/>
              <w:ind w:left="147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514"/>
        </w:trPr>
        <w:tc>
          <w:tcPr>
            <w:tcW w:w="5280" w:type="dxa"/>
            <w:vAlign w:val="bottom"/>
          </w:tcPr>
          <w:p>
            <w:pPr>
              <w:jc w:val="center"/>
              <w:ind w:right="1477"/>
              <w:spacing w:after="0"/>
              <w:rPr>
                <w:sz w:val="20"/>
                <w:szCs w:val="20"/>
                <w:color w:val="auto"/>
              </w:rPr>
            </w:pPr>
            <w:r>
              <w:rPr>
                <w:rFonts w:ascii="Times New Roman" w:cs="Times New Roman" w:eastAsia="Times New Roman" w:hAnsi="Times New Roman"/>
                <w:sz w:val="18"/>
                <w:szCs w:val="18"/>
                <w:b w:val="1"/>
                <w:bCs w:val="1"/>
                <w:color w:val="auto"/>
                <w:w w:val="99"/>
              </w:rPr>
              <w:t>3 More London Riverside</w:t>
            </w:r>
          </w:p>
        </w:tc>
        <w:tc>
          <w:tcPr>
            <w:tcW w:w="3760" w:type="dxa"/>
            <w:vAlign w:val="bottom"/>
          </w:tcPr>
          <w:p>
            <w:pPr>
              <w:spacing w:after="0"/>
              <w:rPr>
                <w:sz w:val="24"/>
                <w:szCs w:val="24"/>
                <w:color w:val="auto"/>
              </w:rPr>
            </w:pPr>
          </w:p>
        </w:tc>
      </w:tr>
      <w:tr>
        <w:trPr>
          <w:trHeight w:val="238"/>
        </w:trPr>
        <w:tc>
          <w:tcPr>
            <w:tcW w:w="5280" w:type="dxa"/>
            <w:vAlign w:val="bottom"/>
          </w:tcPr>
          <w:p>
            <w:pPr>
              <w:jc w:val="center"/>
              <w:ind w:right="1477"/>
              <w:spacing w:after="0"/>
              <w:rPr>
                <w:sz w:val="20"/>
                <w:szCs w:val="20"/>
                <w:color w:val="auto"/>
              </w:rPr>
            </w:pPr>
            <w:r>
              <w:rPr>
                <w:rFonts w:ascii="Times New Roman" w:cs="Times New Roman" w:eastAsia="Times New Roman" w:hAnsi="Times New Roman"/>
                <w:sz w:val="18"/>
                <w:szCs w:val="18"/>
                <w:b w:val="1"/>
                <w:bCs w:val="1"/>
                <w:color w:val="auto"/>
              </w:rPr>
              <w:t>London SE1 2RE United Kingdom</w:t>
            </w:r>
          </w:p>
        </w:tc>
        <w:tc>
          <w:tcPr>
            <w:tcW w:w="3760" w:type="dxa"/>
            <w:vAlign w:val="bottom"/>
          </w:tcPr>
          <w:p>
            <w:pPr>
              <w:jc w:val="center"/>
              <w:ind w:left="1479"/>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20"/>
        </w:trPr>
        <w:tc>
          <w:tcPr>
            <w:tcW w:w="5280" w:type="dxa"/>
            <w:vAlign w:val="bottom"/>
          </w:tcPr>
          <w:p>
            <w:pPr>
              <w:jc w:val="center"/>
              <w:ind w:right="14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760" w:type="dxa"/>
            <w:vAlign w:val="bottom"/>
          </w:tcPr>
          <w:p>
            <w:pPr>
              <w:jc w:val="center"/>
              <w:ind w:left="145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+44 203 283 4200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540" w:type="dxa"/>
            <w:vAlign w:val="bottom"/>
            <w:vMerge w:val="restart"/>
          </w:tcPr>
          <w:p>
            <w:pPr>
              <w:jc w:val="center"/>
              <w:ind w:left="319"/>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00" w:type="dxa"/>
            <w:vAlign w:val="bottom"/>
          </w:tcPr>
          <w:p>
            <w:pPr>
              <w:jc w:val="center"/>
              <w:ind w:left="56"/>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680" w:type="dxa"/>
            <w:vAlign w:val="bottom"/>
            <w:vMerge w:val="restart"/>
          </w:tcPr>
          <w:p>
            <w:pPr>
              <w:jc w:val="center"/>
              <w:ind w:right="179"/>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540" w:type="dxa"/>
            <w:vAlign w:val="bottom"/>
            <w:tcBorders>
              <w:bottom w:val="single" w:sz="8" w:color="auto"/>
            </w:tcBorders>
            <w:vMerge w:val="continue"/>
          </w:tcPr>
          <w:p>
            <w:pPr>
              <w:spacing w:after="0"/>
              <w:rPr>
                <w:sz w:val="20"/>
                <w:szCs w:val="20"/>
                <w:color w:val="auto"/>
              </w:rPr>
            </w:pPr>
          </w:p>
        </w:tc>
        <w:tc>
          <w:tcPr>
            <w:tcW w:w="2000" w:type="dxa"/>
            <w:vAlign w:val="bottom"/>
            <w:tcBorders>
              <w:bottom w:val="single" w:sz="8" w:color="auto"/>
            </w:tcBorders>
          </w:tcPr>
          <w:p>
            <w:pPr>
              <w:jc w:val="center"/>
              <w:ind w:left="56"/>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6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540" w:type="dxa"/>
            <w:vAlign w:val="bottom"/>
          </w:tcPr>
          <w:p>
            <w:pPr>
              <w:jc w:val="center"/>
              <w:ind w:left="319"/>
              <w:spacing w:after="0"/>
              <w:rPr>
                <w:sz w:val="20"/>
                <w:szCs w:val="20"/>
                <w:color w:val="auto"/>
              </w:rPr>
            </w:pPr>
            <w:r>
              <w:rPr>
                <w:rFonts w:ascii="Times New Roman" w:cs="Times New Roman" w:eastAsia="Times New Roman" w:hAnsi="Times New Roman"/>
                <w:sz w:val="14"/>
                <w:szCs w:val="14"/>
                <w:color w:val="auto"/>
              </w:rPr>
              <w:t>Ordinary shares, nominal value £0.05 per share*</w:t>
            </w:r>
          </w:p>
        </w:tc>
        <w:tc>
          <w:tcPr>
            <w:tcW w:w="2000" w:type="dxa"/>
            <w:vAlign w:val="bottom"/>
          </w:tcPr>
          <w:p>
            <w:pPr>
              <w:jc w:val="center"/>
              <w:ind w:left="56"/>
              <w:spacing w:after="0"/>
              <w:rPr>
                <w:sz w:val="20"/>
                <w:szCs w:val="20"/>
                <w:color w:val="auto"/>
              </w:rPr>
            </w:pPr>
            <w:r>
              <w:rPr>
                <w:rFonts w:ascii="Times New Roman" w:cs="Times New Roman" w:eastAsia="Times New Roman" w:hAnsi="Times New Roman"/>
                <w:sz w:val="14"/>
                <w:szCs w:val="14"/>
                <w:color w:val="auto"/>
              </w:rPr>
              <w:t>VRNA</w:t>
            </w:r>
          </w:p>
        </w:tc>
        <w:tc>
          <w:tcPr>
            <w:tcW w:w="4680" w:type="dxa"/>
            <w:vAlign w:val="bottom"/>
          </w:tcPr>
          <w:p>
            <w:pPr>
              <w:jc w:val="center"/>
              <w:ind w:right="179"/>
              <w:spacing w:after="0"/>
              <w:rPr>
                <w:sz w:val="20"/>
                <w:szCs w:val="20"/>
                <w:color w:val="auto"/>
              </w:rPr>
            </w:pPr>
            <w:r>
              <w:rPr>
                <w:rFonts w:ascii="Times New Roman" w:cs="Times New Roman" w:eastAsia="Times New Roman" w:hAnsi="Times New Roman"/>
                <w:sz w:val="14"/>
                <w:szCs w:val="14"/>
                <w:color w:val="auto"/>
              </w:rPr>
              <w:t>The Nasdaq Stock Market LLC (Nasdaq Global Market)</w:t>
            </w:r>
          </w:p>
        </w:tc>
        <w:tc>
          <w:tcPr>
            <w:tcW w:w="0" w:type="dxa"/>
            <w:vAlign w:val="bottom"/>
          </w:tcPr>
          <w:p>
            <w:pPr>
              <w:spacing w:after="0"/>
              <w:rPr>
                <w:sz w:val="1"/>
                <w:szCs w:val="1"/>
                <w:color w:val="auto"/>
              </w:rPr>
            </w:pPr>
          </w:p>
        </w:tc>
      </w:tr>
    </w:tbl>
    <w:p>
      <w:pPr>
        <w:spacing w:after="0" w:line="203" w:lineRule="exact"/>
        <w:rPr>
          <w:sz w:val="24"/>
          <w:szCs w:val="24"/>
          <w:color w:val="auto"/>
        </w:rPr>
      </w:pPr>
    </w:p>
    <w:p>
      <w:pPr>
        <w:ind w:right="60" w:firstLine="8"/>
        <w:spacing w:after="0" w:line="302" w:lineRule="auto"/>
        <w:tabs>
          <w:tab w:leader="none" w:pos="10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193"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0" w:lineRule="exact"/>
        <w:rPr>
          <w:sz w:val="24"/>
          <w:szCs w:val="24"/>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4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Accelerated filer</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4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4"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October 28, 2024, the registrant had 654,649,358 ordinary shares, nominal value £0.05 per share, outstanding, which if all held in ADS form, would be represented by 81,831,170 American Depositary Shares, each representing eight (8)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933450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Page</w:t>
            </w:r>
          </w:p>
        </w:tc>
      </w:tr>
      <w:tr>
        <w:trPr>
          <w:trHeight w:val="209"/>
        </w:trPr>
        <w:tc>
          <w:tcPr>
            <w:tcW w:w="20" w:type="dxa"/>
            <w:vAlign w:val="bottom"/>
          </w:tcPr>
          <w:p>
            <w:pPr>
              <w:spacing w:after="0"/>
              <w:rPr>
                <w:sz w:val="18"/>
                <w:szCs w:val="18"/>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PART I - FINANCIAL INFORMATION</w:t>
            </w:r>
          </w:p>
        </w:tc>
        <w:tc>
          <w:tcPr>
            <w:tcW w:w="1080" w:type="dxa"/>
            <w:vAlign w:val="bottom"/>
          </w:tcPr>
          <w:p>
            <w:pPr>
              <w:spacing w:after="0"/>
              <w:rPr>
                <w:sz w:val="18"/>
                <w:szCs w:val="18"/>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1</w:t>
            </w:r>
          </w:p>
        </w:tc>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Financial Statements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9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16</w:t>
            </w:r>
          </w:p>
        </w:tc>
      </w:tr>
      <w:tr>
        <w:trPr>
          <w:trHeight w:val="128"/>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3</w:t>
            </w:r>
          </w:p>
        </w:tc>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29</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9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Controls and Procedures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29</w:t>
            </w:r>
          </w:p>
        </w:tc>
      </w:tr>
      <w:tr>
        <w:trPr>
          <w:trHeight w:val="128"/>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30"/>
        </w:trPr>
        <w:tc>
          <w:tcPr>
            <w:tcW w:w="20" w:type="dxa"/>
            <w:vAlign w:val="bottom"/>
            <w:shd w:val="clear" w:color="auto" w:fill="CCEEFF"/>
          </w:tcPr>
          <w:p>
            <w:pPr>
              <w:spacing w:after="0"/>
              <w:rPr>
                <w:sz w:val="19"/>
                <w:szCs w:val="19"/>
                <w:color w:val="auto"/>
              </w:rPr>
            </w:pPr>
          </w:p>
        </w:tc>
        <w:tc>
          <w:tcPr>
            <w:tcW w:w="10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1080" w:type="dxa"/>
            <w:vAlign w:val="bottom"/>
            <w:shd w:val="clear" w:color="auto" w:fill="CCEEFF"/>
          </w:tcPr>
          <w:p>
            <w:pPr>
              <w:spacing w:after="0"/>
              <w:rPr>
                <w:sz w:val="19"/>
                <w:szCs w:val="19"/>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9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Legal Proceedings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30</w:t>
            </w:r>
          </w:p>
        </w:tc>
      </w:tr>
      <w:tr>
        <w:trPr>
          <w:trHeight w:val="128"/>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1A.</w:t>
            </w:r>
          </w:p>
        </w:tc>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Risk Factors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30</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9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77</w:t>
            </w:r>
          </w:p>
        </w:tc>
      </w:tr>
      <w:tr>
        <w:trPr>
          <w:trHeight w:val="129"/>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3</w:t>
            </w:r>
          </w:p>
        </w:tc>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77</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9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Mine Safety Disclosure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77</w:t>
            </w:r>
          </w:p>
        </w:tc>
      </w:tr>
      <w:tr>
        <w:trPr>
          <w:trHeight w:val="129"/>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5</w:t>
            </w:r>
          </w:p>
        </w:tc>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Information</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78</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9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Exhibits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78</w:t>
            </w:r>
          </w:p>
        </w:tc>
      </w:tr>
      <w:tr>
        <w:trPr>
          <w:trHeight w:val="128"/>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04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79</w:t>
            </w: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II, Item 1A. “Risk Factors” in this Quarterly Report on Form 10-Q. You should carefully consider these risks and uncertainties when investing in our common shares. The principal risks and uncertainties affecting our business include the following:</w:t>
      </w:r>
    </w:p>
    <w:p>
      <w:pPr>
        <w:spacing w:after="0" w:line="55"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never generated any product revenue.</w:t>
      </w:r>
    </w:p>
    <w:p>
      <w:pPr>
        <w:spacing w:after="0" w:line="103" w:lineRule="exact"/>
        <w:rPr>
          <w:rFonts w:ascii="Times New Roman" w:cs="Times New Roman" w:eastAsia="Times New Roman" w:hAnsi="Times New Roman"/>
          <w:sz w:val="18"/>
          <w:szCs w:val="18"/>
          <w:color w:val="auto"/>
        </w:rPr>
      </w:pPr>
    </w:p>
    <w:p>
      <w:pPr>
        <w:jc w:val="both"/>
        <w:ind w:left="340" w:hanging="332"/>
        <w:spacing w:after="0"/>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funding to complete development and commercialization of any future product candidates and to commercialize Ohtuvayre. If we are unable to raise capital when needed, or if a failure of any financial institution where we maintain our cash and cash equivalents prevents or delays us from accessing uninsured funds, we could be forced to delay, reduce or eliminate our product development programs or commercialization efforts.</w:t>
      </w:r>
    </w:p>
    <w:p>
      <w:pPr>
        <w:spacing w:after="0" w:line="76" w:lineRule="exact"/>
        <w:rPr>
          <w:rFonts w:ascii="Times New Roman" w:cs="Times New Roman" w:eastAsia="Times New Roman" w:hAnsi="Times New Roman"/>
          <w:sz w:val="18"/>
          <w:szCs w:val="18"/>
          <w:color w:val="auto"/>
        </w:rPr>
      </w:pPr>
    </w:p>
    <w:p>
      <w:pPr>
        <w:jc w:val="both"/>
        <w:ind w:left="340" w:hanging="332"/>
        <w:spacing w:after="0" w:line="242"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solely on the success of ensifentrine, which was recently approved by the FDA as Ohtuvayre. If we are unable to commercialize Ohtuvayre, or successfully develop ensifentrine for other indications, our ability to generate revenue and our financial condition will be adversely affected.</w:t>
      </w:r>
    </w:p>
    <w:p>
      <w:pPr>
        <w:spacing w:after="0" w:line="75"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credit facility place restrictions on our operating and financial flexibility, and our existing and any future indebtedness could adversely affect our ability to operate our business.</w:t>
      </w:r>
    </w:p>
    <w:p>
      <w:pPr>
        <w:spacing w:after="0" w:line="68"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revenue interest purchase and sale agreement ("RIPSA”) place restrictions on our operating and financial flexibility, and if we fail to comply with certain covenants in the RIPSA, our results of operations and financial condition may be harmed.</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and regulatory approval involve a lengthy and expensive process, with uncertain outcomes.</w:t>
      </w:r>
    </w:p>
    <w:p>
      <w:pPr>
        <w:spacing w:after="0" w:line="103" w:lineRule="exact"/>
        <w:rPr>
          <w:rFonts w:ascii="Times New Roman" w:cs="Times New Roman" w:eastAsia="Times New Roman" w:hAnsi="Times New Roman"/>
          <w:sz w:val="18"/>
          <w:szCs w:val="18"/>
          <w:color w:val="auto"/>
        </w:rPr>
      </w:pPr>
    </w:p>
    <w:p>
      <w:pPr>
        <w:jc w:val="both"/>
        <w:ind w:left="340" w:hanging="332"/>
        <w:spacing w:after="0"/>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and product candidates may have serious adverse, undesirable or unacceptable side effects which may delay or prevent marketing approval. If such side effects are identified during product development or following approval, if any, we may need to abandon our development programs, the commercial profile of any approved label may be limited, or we may be subject to other significant negative consequences following marketing approval, if any.</w:t>
      </w:r>
    </w:p>
    <w:p>
      <w:pPr>
        <w:spacing w:after="0" w:line="6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enrollment of patients in our clinical trials. If we are unable to enroll patients in our clinical trials, or enrollment is slower than anticipated, our research and development efforts could be adversely affected.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 w:name="page3"/>
    <w:bookmarkEnd w:id="2"/>
    <w:p>
      <w:pPr>
        <w:spacing w:after="0" w:line="72" w:lineRule="exact"/>
        <w:rPr>
          <w:sz w:val="20"/>
          <w:szCs w:val="20"/>
          <w:color w:val="auto"/>
        </w:rPr>
      </w:pPr>
    </w:p>
    <w:p>
      <w:pPr>
        <w:ind w:left="340" w:right="20" w:hanging="332"/>
        <w:spacing w:after="0" w:line="266"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exposed to costly and damaging liability claims, either when testing product candidates in the clinic or at the commercial stage, and our product liability insurance may not cover all damages from such claims.</w:t>
      </w:r>
    </w:p>
    <w:p>
      <w:pPr>
        <w:spacing w:after="0" w:line="40"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the EMA and comparable foreign regulatory authorities are lengthy, time consuming and inherently unpredictable, and if we are ultimately unable to obtain regulatory approval for ensifentrine for the maintenance treatment of COPD in adult patients in jurisdictions outside the U.S. or for ensifentrine for additional targeted indications and formulations, our business will be substantially harmed.</w:t>
      </w:r>
    </w:p>
    <w:p>
      <w:pPr>
        <w:spacing w:after="0" w:line="55"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never obtain approval or commercialize ensifentrine in other major markets outside of the U.S., which would limit our ability to realize its full market potential.</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Enacted and future legislation and regulation may increase the difficulty and cost for us to commercialize our products and may affect the prices we may set.</w:t>
      </w:r>
    </w:p>
    <w:p>
      <w:pPr>
        <w:spacing w:after="0" w:line="68"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and rapidly changing industry, which may result in others discovering, developing or commercializing competing products before or more successfully than we do.</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including Ohtuvayre, do not gain market acceptance or if we fail to accurately forecast demand or manage our inventories, our business will suffer because we might not be able to fund future operations.</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capabilities and infrastructure, including sales, marketing, operations, distribution, and reimbursement infrastructure, may not be adequate to successfully commercialize Ohtuvayre.</w:t>
      </w:r>
    </w:p>
    <w:p>
      <w:pPr>
        <w:spacing w:after="0" w:line="6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including independent clinical investigators and CROs, to conduct our pre-clinical studies and clinical trials.</w:t>
      </w:r>
    </w:p>
    <w:p>
      <w:pPr>
        <w:spacing w:after="0" w:line="40" w:lineRule="exact"/>
        <w:rPr>
          <w:rFonts w:ascii="Times New Roman" w:cs="Times New Roman" w:eastAsia="Times New Roman" w:hAnsi="Times New Roman"/>
          <w:sz w:val="18"/>
          <w:szCs w:val="18"/>
          <w:color w:val="auto"/>
        </w:rPr>
      </w:pPr>
    </w:p>
    <w:p>
      <w:pPr>
        <w:jc w:val="both"/>
        <w:ind w:left="340" w:hanging="332"/>
        <w:spacing w:after="0" w:line="24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collaboration and license agreement with Nuance Pharma is important to our business. If Nuance Pharma is unable to develop and commercialize products containing ensifentrine in Greater China, if we or Nuance Pharma fail to adequately perform under the Nuance Agreement, or if we or Nuance Pharma terminate the Nuance Agreement, our business would be adversely affected.</w:t>
      </w:r>
    </w:p>
    <w:p>
      <w:pPr>
        <w:spacing w:after="0" w:line="75"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patents and other intellectual property rights to protect our products and product candidates, the enforcement, defense and maintenance of which may be challenging and costly. Failure to enforce or protect these rights adequately could harm our ability to compete and impair our business.</w:t>
      </w:r>
    </w:p>
    <w:p>
      <w:pPr>
        <w:spacing w:after="0" w:line="40"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information technology systems, and those of our manufacturers, suppliers and other third parties that we use to perform services for us or otherwise collaborate with, may fail or suffer security breaches, which could distract our operations and cause delays in our research and development and commercialization activities, and may adversely affect our business, operations and financial performance.</w:t>
      </w:r>
    </w:p>
    <w:p>
      <w:pPr>
        <w:spacing w:after="0" w:line="5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growth and ability to compete depends on our ability to retain our key personnel and recruit additional qualified personnel.</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shareholders, members of our board of directors, and senior management who own our ordinary shares (including ordinary shares represented by ADSs) may be able to exercise significant control over us.</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tax rates, unavailability of certain tax credits or reliefs or exposure to additional tax liabilities or assessments could affect our profitability, and audits by tax authorities could result in additional tax payments for prior periods.</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ADSs may be volatile and may fluctuate due to factors beyond our control.</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could adversely affect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right"/>
        <w:ind w:right="2639"/>
        <w:spacing w:after="0"/>
        <w:rPr>
          <w:sz w:val="20"/>
          <w:szCs w:val="20"/>
          <w:color w:val="auto"/>
        </w:rPr>
      </w:pPr>
      <w:r>
        <w:rPr>
          <w:rFonts w:ascii="Times New Roman" w:cs="Times New Roman" w:eastAsia="Times New Roman" w:hAnsi="Times New Roman"/>
          <w:sz w:val="22"/>
          <w:szCs w:val="22"/>
          <w:b w:val="1"/>
          <w:bCs w:val="1"/>
          <w:color w:val="auto"/>
        </w:rPr>
        <w:t>PART I - FINANCIAL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8"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2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7"/>
        </w:trPr>
        <w:tc>
          <w:tcPr>
            <w:tcW w:w="82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2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52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336,040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271,772</w:t>
            </w:r>
          </w:p>
        </w:tc>
        <w:tc>
          <w:tcPr>
            <w:tcW w:w="0" w:type="dxa"/>
            <w:vAlign w:val="bottom"/>
          </w:tcPr>
          <w:p>
            <w:pPr>
              <w:spacing w:after="0"/>
              <w:rPr>
                <w:sz w:val="1"/>
                <w:szCs w:val="1"/>
                <w:color w:val="auto"/>
              </w:rPr>
            </w:pPr>
          </w:p>
        </w:tc>
      </w:tr>
      <w:tr>
        <w:trPr>
          <w:trHeight w:val="229"/>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0" w:type="dxa"/>
            <w:vAlign w:val="bottom"/>
          </w:tcPr>
          <w:p>
            <w:pPr>
              <w:spacing w:after="0"/>
              <w:rPr>
                <w:sz w:val="1"/>
                <w:szCs w:val="1"/>
                <w:color w:val="auto"/>
              </w:rPr>
            </w:pPr>
          </w:p>
        </w:tc>
      </w:tr>
      <w:tr>
        <w:trPr>
          <w:trHeight w:val="229"/>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incentive receivable</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364,253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289,708</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Furniture and equipment, net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29"/>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interest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Right-of-use assets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17,565</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18,416</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381,818</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308,124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6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0" w:type="dxa"/>
            <w:vAlign w:val="bottom"/>
          </w:tcPr>
          <w:p>
            <w:pPr>
              <w:spacing w:after="0"/>
              <w:rPr>
                <w:sz w:val="1"/>
                <w:szCs w:val="1"/>
                <w:color w:val="auto"/>
              </w:rPr>
            </w:pPr>
          </w:p>
        </w:tc>
      </w:tr>
      <w:tr>
        <w:trPr>
          <w:trHeight w:val="230"/>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Royalties payable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Taxes payable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8,692</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 loan</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 interest purchase security agreement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223,377</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50,149</w:t>
            </w:r>
          </w:p>
        </w:tc>
        <w:tc>
          <w:tcPr>
            <w:tcW w:w="0" w:type="dxa"/>
            <w:vAlign w:val="bottom"/>
          </w:tcPr>
          <w:p>
            <w:pPr>
              <w:spacing w:after="0"/>
              <w:rPr>
                <w:sz w:val="1"/>
                <w:szCs w:val="1"/>
                <w:color w:val="auto"/>
              </w:rPr>
            </w:pPr>
          </w:p>
        </w:tc>
      </w:tr>
      <w:tr>
        <w:trPr>
          <w:trHeight w:val="223"/>
        </w:trPr>
        <w:tc>
          <w:tcPr>
            <w:tcW w:w="82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251,327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58,841</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Ordinary £0.05 par value shares; 667,659,630 and 667,659,630 issued, and 654,649,358 and 643,536,094</w:t>
            </w:r>
          </w:p>
        </w:tc>
        <w:tc>
          <w:tcPr>
            <w:tcW w:w="180" w:type="dxa"/>
            <w:vAlign w:val="bottom"/>
            <w:shd w:val="clear" w:color="auto" w:fill="CCEEFF"/>
          </w:tcPr>
          <w:p>
            <w:pPr>
              <w:spacing w:after="0"/>
              <w:rPr>
                <w:sz w:val="24"/>
                <w:szCs w:val="2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42,771</w:t>
            </w: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42,771</w:t>
            </w:r>
          </w:p>
        </w:tc>
        <w:tc>
          <w:tcPr>
            <w:tcW w:w="0" w:type="dxa"/>
            <w:vAlign w:val="bottom"/>
          </w:tcPr>
          <w:p>
            <w:pPr>
              <w:spacing w:after="0"/>
              <w:rPr>
                <w:sz w:val="1"/>
                <w:szCs w:val="1"/>
                <w:color w:val="auto"/>
              </w:rPr>
            </w:pPr>
          </w:p>
        </w:tc>
      </w:tr>
      <w:tr>
        <w:trPr>
          <w:trHeight w:val="148"/>
        </w:trPr>
        <w:tc>
          <w:tcPr>
            <w:tcW w:w="8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 and December 31, 2023, respectively</w:t>
            </w:r>
          </w:p>
        </w:tc>
        <w:tc>
          <w:tcPr>
            <w:tcW w:w="180" w:type="dxa"/>
            <w:vAlign w:val="bottom"/>
            <w:shd w:val="clear" w:color="auto" w:fill="CCEEFF"/>
          </w:tcPr>
          <w:p>
            <w:pPr>
              <w:spacing w:after="0"/>
              <w:rPr>
                <w:sz w:val="12"/>
                <w:szCs w:val="12"/>
                <w:color w:val="auto"/>
              </w:rPr>
            </w:pPr>
          </w:p>
        </w:tc>
        <w:tc>
          <w:tcPr>
            <w:tcW w:w="122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8260" w:type="dxa"/>
            <w:vAlign w:val="bottom"/>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8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621,628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601,063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Ordinary shares held in treasury</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30"/>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(528,479)</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(388,433)</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130,491</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249,283</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381,818</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308,124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520" w:type="dxa"/>
            <w:vAlign w:val="bottom"/>
            <w:gridSpan w:val="4"/>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57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7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13,094</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104,665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35,381</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141,912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48,475</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(48,475)</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w:t>
            </w:r>
          </w:p>
        </w:tc>
        <w:tc>
          <w:tcPr>
            <w:tcW w:w="0" w:type="dxa"/>
            <w:vAlign w:val="bottom"/>
          </w:tcPr>
          <w:p>
            <w:pPr>
              <w:spacing w:after="0"/>
              <w:rPr>
                <w:sz w:val="1"/>
                <w:szCs w:val="1"/>
                <w:color w:val="auto"/>
              </w:rPr>
            </w:pPr>
          </w:p>
        </w:tc>
      </w:tr>
      <w:tr>
        <w:trPr>
          <w:trHeight w:val="229"/>
        </w:trPr>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338"/>
        </w:trPr>
        <w:tc>
          <w:tcPr>
            <w:tcW w:w="5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exchange gain/(loss)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110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1100" w:type="dxa"/>
            <w:vAlign w:val="bottom"/>
            <w:tcBorders>
              <w:bottom w:val="single" w:sz="8" w:color="auto"/>
            </w:tcBorders>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100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(expense)/income, net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8,765</w:t>
            </w:r>
          </w:p>
        </w:tc>
        <w:tc>
          <w:tcPr>
            <w:tcW w:w="0" w:type="dxa"/>
            <w:vAlign w:val="bottom"/>
          </w:tcPr>
          <w:p>
            <w:pPr>
              <w:spacing w:after="0"/>
              <w:rPr>
                <w:sz w:val="1"/>
                <w:szCs w:val="1"/>
                <w:color w:val="auto"/>
              </w:rPr>
            </w:pPr>
          </w:p>
        </w:tc>
      </w:tr>
      <w:tr>
        <w:trPr>
          <w:trHeight w:val="108"/>
        </w:trPr>
        <w:tc>
          <w:tcPr>
            <w:tcW w:w="570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(39,710)</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21"/>
        </w:trPr>
        <w:tc>
          <w:tcPr>
            <w:tcW w:w="57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(42,962)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(14,687)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(139,591)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(40,237)</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Loss per ordinary share - basic and diluted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00" w:type="dxa"/>
            <w:vAlign w:val="bottom"/>
            <w:vMerge w:val="continue"/>
          </w:tcPr>
          <w:p>
            <w:pPr>
              <w:spacing w:after="0"/>
              <w:rPr>
                <w:sz w:val="15"/>
                <w:szCs w:val="15"/>
                <w:color w:val="auto"/>
              </w:rPr>
            </w:pPr>
          </w:p>
        </w:tc>
        <w:tc>
          <w:tcPr>
            <w:tcW w:w="2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Weighted-average shares outstanding - basic and diluted</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648,633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631,448</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2260" w:type="dxa"/>
            <w:vAlign w:val="bottom"/>
          </w:tcPr>
          <w:p>
            <w:pPr>
              <w:spacing w:after="0"/>
              <w:rPr>
                <w:sz w:val="16"/>
                <w:szCs w:val="16"/>
                <w:color w:val="auto"/>
              </w:rPr>
            </w:pPr>
          </w:p>
        </w:tc>
        <w:tc>
          <w:tcPr>
            <w:tcW w:w="252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0" w:type="dxa"/>
            <w:vAlign w:val="bottom"/>
          </w:tcPr>
          <w:p>
            <w:pPr>
              <w:spacing w:after="0"/>
              <w:rPr>
                <w:sz w:val="16"/>
                <w:szCs w:val="16"/>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6"/>
                <w:szCs w:val="16"/>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37"/>
        </w:trPr>
        <w:tc>
          <w:tcPr>
            <w:tcW w:w="226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46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3"/>
        </w:trPr>
        <w:tc>
          <w:tcPr>
            <w:tcW w:w="22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260" w:type="dxa"/>
            <w:vAlign w:val="bottom"/>
          </w:tcPr>
          <w:p>
            <w:pPr>
              <w:spacing w:after="0"/>
              <w:rPr>
                <w:sz w:val="16"/>
                <w:szCs w:val="16"/>
                <w:color w:val="auto"/>
              </w:rPr>
            </w:pPr>
          </w:p>
        </w:tc>
        <w:tc>
          <w:tcPr>
            <w:tcW w:w="14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held in treasury</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16"/>
                <w:szCs w:val="16"/>
                <w:color w:val="auto"/>
              </w:rPr>
            </w:pPr>
          </w:p>
        </w:tc>
        <w:tc>
          <w:tcPr>
            <w:tcW w:w="100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7"/>
        </w:trPr>
        <w:tc>
          <w:tcPr>
            <w:tcW w:w="226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667,659,630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42,771</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601,063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(4,601)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(388,433)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249,283</w:t>
            </w:r>
          </w:p>
        </w:tc>
        <w:tc>
          <w:tcPr>
            <w:tcW w:w="0" w:type="dxa"/>
            <w:vAlign w:val="bottom"/>
          </w:tcPr>
          <w:p>
            <w:pPr>
              <w:spacing w:after="0"/>
              <w:rPr>
                <w:sz w:val="1"/>
                <w:szCs w:val="1"/>
                <w:color w:val="auto"/>
              </w:rPr>
            </w:pPr>
          </w:p>
        </w:tc>
      </w:tr>
      <w:tr>
        <w:trPr>
          <w:trHeight w:val="114"/>
        </w:trPr>
        <w:tc>
          <w:tcPr>
            <w:tcW w:w="226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(25,794)</w:t>
            </w:r>
          </w:p>
        </w:tc>
        <w:tc>
          <w:tcPr>
            <w:tcW w:w="0" w:type="dxa"/>
            <w:vAlign w:val="bottom"/>
          </w:tcPr>
          <w:p>
            <w:pPr>
              <w:spacing w:after="0"/>
              <w:rPr>
                <w:sz w:val="1"/>
                <w:szCs w:val="1"/>
                <w:color w:val="auto"/>
              </w:rPr>
            </w:pPr>
          </w:p>
        </w:tc>
      </w:tr>
      <w:tr>
        <w:trPr>
          <w:trHeight w:val="219"/>
        </w:trPr>
        <w:tc>
          <w:tcPr>
            <w:tcW w:w="2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share units vested</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 options exercised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0" w:type="dxa"/>
            <w:vAlign w:val="bottom"/>
          </w:tcPr>
          <w:p>
            <w:pPr>
              <w:spacing w:after="0"/>
              <w:rPr>
                <w:sz w:val="1"/>
                <w:szCs w:val="1"/>
                <w:color w:val="auto"/>
              </w:rPr>
            </w:pPr>
          </w:p>
        </w:tc>
      </w:tr>
      <w:tr>
        <w:trPr>
          <w:trHeight w:val="165"/>
        </w:trPr>
        <w:tc>
          <w:tcPr>
            <w:tcW w:w="226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shares withheld for</w:t>
            </w: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w:t>
            </w:r>
          </w:p>
        </w:tc>
        <w:tc>
          <w:tcPr>
            <w:tcW w:w="0" w:type="dxa"/>
            <w:vAlign w:val="bottom"/>
          </w:tcPr>
          <w:p>
            <w:pPr>
              <w:spacing w:after="0"/>
              <w:rPr>
                <w:sz w:val="1"/>
                <w:szCs w:val="1"/>
                <w:color w:val="auto"/>
              </w:rPr>
            </w:pPr>
          </w:p>
        </w:tc>
      </w:tr>
      <w:tr>
        <w:trPr>
          <w:trHeight w:val="129"/>
        </w:trPr>
        <w:tc>
          <w:tcPr>
            <w:tcW w:w="226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taxes on vested stock awards</w:t>
            </w:r>
          </w:p>
        </w:tc>
        <w:tc>
          <w:tcPr>
            <w:tcW w:w="140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260" w:type="dxa"/>
            <w:vAlign w:val="bottom"/>
            <w:vMerge w:val="continue"/>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Equity settled share-based</w:t>
            </w: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4"/>
                <w:szCs w:val="14"/>
                <w:color w:val="auto"/>
              </w:rPr>
            </w:pPr>
          </w:p>
        </w:tc>
        <w:tc>
          <w:tcPr>
            <w:tcW w:w="9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60" w:type="dxa"/>
            <w:vAlign w:val="bottom"/>
            <w:gridSpan w:val="2"/>
            <w:vMerge w:val="restart"/>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162"/>
        </w:trPr>
        <w:tc>
          <w:tcPr>
            <w:tcW w:w="226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compensation reclassified as</w:t>
            </w:r>
          </w:p>
        </w:tc>
        <w:tc>
          <w:tcPr>
            <w:tcW w:w="14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cash-settled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w:t>
            </w:r>
          </w:p>
        </w:tc>
        <w:tc>
          <w:tcPr>
            <w:tcW w:w="0" w:type="dxa"/>
            <w:vAlign w:val="bottom"/>
          </w:tcPr>
          <w:p>
            <w:pPr>
              <w:spacing w:after="0"/>
              <w:rPr>
                <w:sz w:val="1"/>
                <w:szCs w:val="1"/>
                <w:color w:val="auto"/>
              </w:rPr>
            </w:pPr>
          </w:p>
        </w:tc>
      </w:tr>
      <w:tr>
        <w:trPr>
          <w:trHeight w:val="301"/>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667,659,630</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42,771</w:t>
            </w:r>
          </w:p>
        </w:tc>
        <w:tc>
          <w:tcPr>
            <w:tcW w:w="8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602,497</w:t>
            </w:r>
          </w:p>
        </w:tc>
        <w:tc>
          <w:tcPr>
            <w:tcW w:w="100" w:type="dxa"/>
            <w:vAlign w:val="bottom"/>
          </w:tcPr>
          <w:p>
            <w:pPr>
              <w:spacing w:after="0"/>
              <w:rPr>
                <w:sz w:val="24"/>
                <w:szCs w:val="24"/>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100" w:type="dxa"/>
            <w:vAlign w:val="bottom"/>
          </w:tcPr>
          <w:p>
            <w:pPr>
              <w:spacing w:after="0"/>
              <w:rPr>
                <w:sz w:val="24"/>
                <w:szCs w:val="24"/>
                <w:color w:val="auto"/>
              </w:rPr>
            </w:pPr>
          </w:p>
        </w:tc>
        <w:tc>
          <w:tcPr>
            <w:tcW w:w="480" w:type="dxa"/>
            <w:vAlign w:val="bottom"/>
            <w:tcBorders>
              <w:top w:val="single" w:sz="8" w:color="auto"/>
            </w:tcBorders>
          </w:tcPr>
          <w:p>
            <w:pPr>
              <w:jc w:val="right"/>
              <w:ind w:right="304"/>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(4,601)</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(414,397)</w:t>
            </w:r>
          </w:p>
        </w:tc>
        <w:tc>
          <w:tcPr>
            <w:tcW w:w="100" w:type="dxa"/>
            <w:vAlign w:val="bottom"/>
          </w:tcPr>
          <w:p>
            <w:pPr>
              <w:spacing w:after="0"/>
              <w:rPr>
                <w:sz w:val="24"/>
                <w:szCs w:val="24"/>
                <w:color w:val="auto"/>
              </w:rPr>
            </w:pPr>
          </w:p>
        </w:tc>
        <w:tc>
          <w:tcPr>
            <w:tcW w:w="280" w:type="dxa"/>
            <w:vAlign w:val="bottom"/>
            <w:tcBorders>
              <w:top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224,988</w:t>
            </w:r>
          </w:p>
        </w:tc>
        <w:tc>
          <w:tcPr>
            <w:tcW w:w="0" w:type="dxa"/>
            <w:vAlign w:val="bottom"/>
          </w:tcPr>
          <w:p>
            <w:pPr>
              <w:spacing w:after="0"/>
              <w:rPr>
                <w:sz w:val="1"/>
                <w:szCs w:val="1"/>
                <w:color w:val="auto"/>
              </w:rPr>
            </w:pPr>
          </w:p>
        </w:tc>
      </w:tr>
      <w:tr>
        <w:trPr>
          <w:trHeight w:val="87"/>
        </w:trPr>
        <w:tc>
          <w:tcPr>
            <w:tcW w:w="226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(70,835)</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80"/>
          </w:cols>
          <w:pgMar w:left="320" w:top="117" w:right="399" w:bottom="1440" w:gutter="0" w:footer="0" w:header="0"/>
        </w:sectPr>
      </w:pPr>
    </w:p>
    <w:p>
      <w:pPr>
        <w:ind w:left="300"/>
        <w:spacing w:after="0"/>
        <w:rPr>
          <w:sz w:val="20"/>
          <w:szCs w:val="20"/>
          <w:color w:val="auto"/>
        </w:rPr>
      </w:pPr>
      <w:r>
        <w:rPr>
          <w:rFonts w:ascii="Times New Roman" w:cs="Times New Roman" w:eastAsia="Times New Roman" w:hAnsi="Times New Roman"/>
          <w:sz w:val="16"/>
          <w:szCs w:val="16"/>
          <w:color w:val="auto"/>
        </w:rPr>
        <w:t>Restricted share units vested</w:t>
      </w:r>
    </w:p>
    <w:p>
      <w:pPr>
        <w:spacing w:after="0" w:line="32" w:lineRule="exact"/>
        <w:rPr>
          <w:sz w:val="20"/>
          <w:szCs w:val="20"/>
          <w:color w:val="auto"/>
        </w:rPr>
      </w:pPr>
    </w:p>
    <w:p>
      <w:pPr>
        <w:ind w:left="300" w:right="500"/>
        <w:spacing w:after="0" w:line="245" w:lineRule="auto"/>
        <w:rPr>
          <w:sz w:val="20"/>
          <w:szCs w:val="20"/>
          <w:color w:val="auto"/>
        </w:rPr>
      </w:pPr>
      <w:r>
        <w:rPr>
          <w:rFonts w:ascii="Times New Roman" w:cs="Times New Roman" w:eastAsia="Times New Roman" w:hAnsi="Times New Roman"/>
          <w:sz w:val="16"/>
          <w:szCs w:val="16"/>
          <w:color w:val="auto"/>
        </w:rPr>
        <w:t>Common shares withheld for taxes on vested stock awards</w:t>
      </w:r>
    </w:p>
    <w:p>
      <w:pPr>
        <w:spacing w:after="0" w:line="2" w:lineRule="exact"/>
        <w:rPr>
          <w:sz w:val="20"/>
          <w:szCs w:val="20"/>
          <w:color w:val="auto"/>
        </w:rPr>
      </w:pPr>
    </w:p>
    <w:p>
      <w:pPr>
        <w:ind w:left="300" w:right="540"/>
        <w:spacing w:after="0" w:line="232" w:lineRule="auto"/>
        <w:rPr>
          <w:sz w:val="20"/>
          <w:szCs w:val="20"/>
          <w:color w:val="auto"/>
        </w:rPr>
      </w:pPr>
      <w:r>
        <w:rPr>
          <w:rFonts w:ascii="Times New Roman" w:cs="Times New Roman" w:eastAsia="Times New Roman" w:hAnsi="Times New Roman"/>
          <w:sz w:val="16"/>
          <w:szCs w:val="16"/>
          <w:color w:val="auto"/>
        </w:rPr>
        <w:t>Equity settled share-based compensation reclassified as cash-settled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79</w:t>
            </w:r>
          </w:p>
        </w:tc>
        <w:tc>
          <w:tcPr>
            <w:tcW w:w="13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7"/>
              </w:rPr>
              <w:t>(79)</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97"/>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(1,273)</w:t>
            </w:r>
          </w:p>
        </w:tc>
        <w:tc>
          <w:tcPr>
            <w:tcW w:w="128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w:t>
            </w:r>
          </w:p>
        </w:tc>
      </w:tr>
      <w:tr>
        <w:trPr>
          <w:trHeight w:val="459"/>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(200)</w:t>
            </w:r>
          </w:p>
        </w:tc>
        <w:tc>
          <w:tcPr>
            <w:tcW w:w="128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-475615</wp:posOffset>
            </wp:positionV>
            <wp:extent cx="7046595" cy="240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46595" cy="240030"/>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2700" w:space="720"/>
            <w:col w:w="7760"/>
          </w:cols>
          <w:pgMar w:left="320" w:top="117" w:right="399" w:bottom="1440" w:gutter="0" w:footer="0" w:header="0"/>
          <w:type w:val="continuous"/>
        </w:sectPr>
      </w:pPr>
    </w:p>
    <w:tbl>
      <w:tblPr>
        <w:tblLayout w:type="fixed"/>
        <w:tblInd w:w="80" w:type="dxa"/>
        <w:tblCellMar>
          <w:top w:w="0" w:type="dxa"/>
          <w:left w:w="0" w:type="dxa"/>
          <w:bottom w:w="0" w:type="dxa"/>
          <w:right w:w="0" w:type="dxa"/>
        </w:tblCellMar>
      </w:tblPr>
      <w:tr>
        <w:trPr>
          <w:trHeight w:val="202"/>
        </w:trPr>
        <w:tc>
          <w:tcPr>
            <w:tcW w:w="2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15,594</w:t>
            </w:r>
          </w:p>
        </w:tc>
      </w:tr>
      <w:tr>
        <w:trPr>
          <w:trHeight w:val="298"/>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667,659,630</w:t>
            </w:r>
          </w:p>
        </w:tc>
        <w:tc>
          <w:tcPr>
            <w:tcW w:w="100" w:type="dxa"/>
            <w:vAlign w:val="bottom"/>
          </w:tcPr>
          <w:p>
            <w:pPr>
              <w:spacing w:after="0"/>
              <w:rPr>
                <w:sz w:val="24"/>
                <w:szCs w:val="24"/>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42,771</w:t>
            </w:r>
          </w:p>
        </w:tc>
        <w:tc>
          <w:tcPr>
            <w:tcW w:w="80" w:type="dxa"/>
            <w:vAlign w:val="bottom"/>
          </w:tcPr>
          <w:p>
            <w:pPr>
              <w:spacing w:after="0"/>
              <w:rPr>
                <w:sz w:val="24"/>
                <w:szCs w:val="24"/>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616,618</w:t>
            </w:r>
          </w:p>
        </w:tc>
        <w:tc>
          <w:tcPr>
            <w:tcW w:w="100" w:type="dxa"/>
            <w:vAlign w:val="bottom"/>
          </w:tcPr>
          <w:p>
            <w:pPr>
              <w:spacing w:after="0"/>
              <w:rPr>
                <w:sz w:val="24"/>
                <w:szCs w:val="24"/>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100" w:type="dxa"/>
            <w:vAlign w:val="bottom"/>
          </w:tcPr>
          <w:p>
            <w:pPr>
              <w:spacing w:after="0"/>
              <w:rPr>
                <w:sz w:val="24"/>
                <w:szCs w:val="24"/>
                <w:color w:val="auto"/>
              </w:rPr>
            </w:pPr>
          </w:p>
        </w:tc>
        <w:tc>
          <w:tcPr>
            <w:tcW w:w="48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(4,601)</w:t>
            </w:r>
          </w:p>
        </w:tc>
        <w:tc>
          <w:tcPr>
            <w:tcW w:w="100" w:type="dxa"/>
            <w:vAlign w:val="bottom"/>
          </w:tcPr>
          <w:p>
            <w:pPr>
              <w:spacing w:after="0"/>
              <w:rPr>
                <w:sz w:val="24"/>
                <w:szCs w:val="24"/>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(485,311)</w:t>
            </w:r>
          </w:p>
        </w:tc>
        <w:tc>
          <w:tcPr>
            <w:tcW w:w="100" w:type="dxa"/>
            <w:vAlign w:val="bottom"/>
          </w:tcPr>
          <w:p>
            <w:pPr>
              <w:spacing w:after="0"/>
              <w:rPr>
                <w:sz w:val="24"/>
                <w:szCs w:val="24"/>
                <w:color w:val="auto"/>
              </w:rPr>
            </w:pPr>
          </w:p>
        </w:tc>
        <w:tc>
          <w:tcPr>
            <w:tcW w:w="4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168,274</w:t>
            </w:r>
          </w:p>
        </w:tc>
      </w:tr>
      <w:tr>
        <w:trPr>
          <w:trHeight w:val="87"/>
        </w:trPr>
        <w:tc>
          <w:tcPr>
            <w:tcW w:w="226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r>
      <w:tr>
        <w:trPr>
          <w:trHeight w:val="20"/>
        </w:trPr>
        <w:tc>
          <w:tcPr>
            <w:tcW w:w="22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(42,962)</w:t>
            </w:r>
          </w:p>
        </w:tc>
      </w:tr>
    </w:tbl>
    <w:p>
      <w:pPr>
        <w:spacing w:after="0" w:line="1" w:lineRule="exact"/>
        <w:rPr>
          <w:sz w:val="20"/>
          <w:szCs w:val="20"/>
          <w:color w:val="auto"/>
        </w:rPr>
      </w:pPr>
    </w:p>
    <w:p>
      <w:pPr>
        <w:sectPr>
          <w:pgSz w:w="11900" w:h="16838" w:orient="portrait"/>
          <w:cols w:equalWidth="0" w:num="1">
            <w:col w:w="11180"/>
          </w:cols>
          <w:pgMar w:left="320" w:top="117" w:right="399" w:bottom="1440" w:gutter="0" w:footer="0" w:header="0"/>
          <w:type w:val="continuous"/>
        </w:sectPr>
      </w:pPr>
    </w:p>
    <w:p>
      <w:pPr>
        <w:ind w:left="300" w:right="540"/>
        <w:spacing w:after="0" w:line="281" w:lineRule="auto"/>
        <w:rPr>
          <w:sz w:val="20"/>
          <w:szCs w:val="20"/>
          <w:color w:val="auto"/>
        </w:rPr>
      </w:pPr>
      <w:r>
        <w:rPr>
          <w:rFonts w:ascii="Times New Roman" w:cs="Times New Roman" w:eastAsia="Times New Roman" w:hAnsi="Times New Roman"/>
          <w:sz w:val="16"/>
          <w:szCs w:val="16"/>
          <w:color w:val="auto"/>
        </w:rPr>
        <w:t>Restricted share units vested Share options exercised</w:t>
      </w:r>
    </w:p>
    <w:p>
      <w:pPr>
        <w:spacing w:after="0" w:line="1" w:lineRule="exact"/>
        <w:rPr>
          <w:sz w:val="20"/>
          <w:szCs w:val="20"/>
          <w:color w:val="auto"/>
        </w:rPr>
      </w:pPr>
    </w:p>
    <w:p>
      <w:pPr>
        <w:ind w:left="300" w:right="500"/>
        <w:spacing w:after="0" w:line="245" w:lineRule="auto"/>
        <w:rPr>
          <w:sz w:val="20"/>
          <w:szCs w:val="20"/>
          <w:color w:val="auto"/>
        </w:rPr>
      </w:pPr>
      <w:r>
        <w:rPr>
          <w:rFonts w:ascii="Times New Roman" w:cs="Times New Roman" w:eastAsia="Times New Roman" w:hAnsi="Times New Roman"/>
          <w:sz w:val="16"/>
          <w:szCs w:val="16"/>
          <w:color w:val="auto"/>
        </w:rPr>
        <w:t>Common shares withheld for taxes on vested stock awards</w:t>
      </w:r>
    </w:p>
    <w:p>
      <w:pPr>
        <w:spacing w:after="0" w:line="2" w:lineRule="exact"/>
        <w:rPr>
          <w:sz w:val="20"/>
          <w:szCs w:val="20"/>
          <w:color w:val="auto"/>
        </w:rPr>
      </w:pPr>
    </w:p>
    <w:p>
      <w:pPr>
        <w:ind w:left="300" w:right="540"/>
        <w:spacing w:after="0" w:line="232" w:lineRule="auto"/>
        <w:rPr>
          <w:sz w:val="20"/>
          <w:szCs w:val="20"/>
          <w:color w:val="auto"/>
        </w:rPr>
      </w:pPr>
      <w:r>
        <w:rPr>
          <w:rFonts w:ascii="Times New Roman" w:cs="Times New Roman" w:eastAsia="Times New Roman" w:hAnsi="Times New Roman"/>
          <w:sz w:val="16"/>
          <w:szCs w:val="16"/>
          <w:color w:val="auto"/>
        </w:rPr>
        <w:t>Equity settled share-based compensation reclassified as cash-settled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206</w:t>
            </w:r>
          </w:p>
        </w:tc>
        <w:tc>
          <w:tcPr>
            <w:tcW w:w="13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(206)</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3,499</w:t>
            </w:r>
          </w:p>
        </w:tc>
        <w:tc>
          <w:tcPr>
            <w:tcW w:w="13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169</w:t>
            </w:r>
          </w:p>
        </w:tc>
        <w:tc>
          <w:tcPr>
            <w:tcW w:w="13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3,668</w:t>
            </w:r>
          </w:p>
        </w:tc>
      </w:tr>
      <w:tr>
        <w:trPr>
          <w:trHeight w:val="297"/>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(5,600)</w:t>
            </w:r>
          </w:p>
        </w:tc>
        <w:tc>
          <w:tcPr>
            <w:tcW w:w="13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(5,600)</w:t>
            </w:r>
          </w:p>
        </w:tc>
      </w:tr>
      <w:tr>
        <w:trPr>
          <w:trHeight w:val="459"/>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(543)</w:t>
            </w:r>
          </w:p>
        </w:tc>
        <w:tc>
          <w:tcPr>
            <w:tcW w:w="13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-612775</wp:posOffset>
            </wp:positionV>
            <wp:extent cx="704659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46595" cy="137160"/>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-235585</wp:posOffset>
            </wp:positionV>
            <wp:extent cx="7046595" cy="342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46595" cy="342900"/>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2700" w:space="720"/>
            <w:col w:w="7760"/>
          </w:cols>
          <w:pgMar w:left="320" w:top="117" w:right="399" w:bottom="1440" w:gutter="0" w:footer="0" w:header="0"/>
          <w:type w:val="continuous"/>
        </w:sectPr>
      </w:pPr>
    </w:p>
    <w:tbl>
      <w:tblPr>
        <w:tblLayout w:type="fixed"/>
        <w:tblInd w:w="80" w:type="dxa"/>
        <w:tblCellMar>
          <w:top w:w="0" w:type="dxa"/>
          <w:left w:w="0" w:type="dxa"/>
          <w:bottom w:w="0" w:type="dxa"/>
          <w:right w:w="0" w:type="dxa"/>
        </w:tblCellMar>
      </w:tblPr>
      <w:tr>
        <w:trPr>
          <w:trHeight w:val="213"/>
        </w:trPr>
        <w:tc>
          <w:tcPr>
            <w:tcW w:w="2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7,654</w:t>
            </w:r>
          </w:p>
        </w:tc>
      </w:tr>
      <w:tr>
        <w:trPr>
          <w:trHeight w:val="301"/>
        </w:trPr>
        <w:tc>
          <w:tcPr>
            <w:tcW w:w="2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667,659,630</w:t>
            </w: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42,771</w:t>
            </w:r>
          </w:p>
        </w:tc>
        <w:tc>
          <w:tcPr>
            <w:tcW w:w="8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621,628</w:t>
            </w:r>
          </w:p>
        </w:tc>
        <w:tc>
          <w:tcPr>
            <w:tcW w:w="1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00" w:type="dxa"/>
            <w:vAlign w:val="bottom"/>
            <w:tcBorders>
              <w:top w:val="single" w:sz="8" w:color="CCEEFF"/>
            </w:tcBorders>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(4,601)</w:t>
            </w:r>
          </w:p>
        </w:tc>
        <w:tc>
          <w:tcPr>
            <w:tcW w:w="10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(528,479)</w:t>
            </w:r>
          </w:p>
        </w:tc>
        <w:tc>
          <w:tcPr>
            <w:tcW w:w="1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130,491</w:t>
            </w:r>
          </w:p>
        </w:tc>
      </w:tr>
      <w:tr>
        <w:trPr>
          <w:trHeight w:val="112"/>
        </w:trPr>
        <w:tc>
          <w:tcPr>
            <w:tcW w:w="226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68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spacing w:after="0"/>
              <w:rPr>
                <w:sz w:val="9"/>
                <w:szCs w:val="9"/>
                <w:color w:val="auto"/>
              </w:rPr>
            </w:pPr>
          </w:p>
        </w:tc>
        <w:tc>
          <w:tcPr>
            <w:tcW w:w="88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spacing w:after="0"/>
              <w:rPr>
                <w:sz w:val="9"/>
                <w:szCs w:val="9"/>
                <w:color w:val="auto"/>
              </w:rPr>
            </w:pPr>
          </w:p>
        </w:tc>
        <w:tc>
          <w:tcPr>
            <w:tcW w:w="88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spacing w:after="0"/>
              <w:rPr>
                <w:sz w:val="9"/>
                <w:szCs w:val="9"/>
                <w:color w:val="auto"/>
              </w:rPr>
            </w:pPr>
          </w:p>
        </w:tc>
        <w:tc>
          <w:tcPr>
            <w:tcW w:w="880" w:type="dxa"/>
            <w:vAlign w:val="bottom"/>
            <w:tcBorders>
              <w:bottom w:val="single" w:sz="8" w:color="auto"/>
            </w:tcBorders>
            <w:shd w:val="clear" w:color="auto" w:fill="CCEEFF"/>
          </w:tcPr>
          <w:p>
            <w:pPr>
              <w:spacing w:after="0"/>
              <w:rPr>
                <w:sz w:val="9"/>
                <w:szCs w:val="9"/>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180"/>
          </w:cols>
          <w:pgMar w:left="320" w:top="117" w:right="39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262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60" w:type="dxa"/>
            <w:vAlign w:val="bottom"/>
          </w:tcPr>
          <w:p>
            <w:pPr>
              <w:spacing w:after="0"/>
              <w:rPr>
                <w:sz w:val="16"/>
                <w:szCs w:val="16"/>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00" w:type="dxa"/>
            <w:vAlign w:val="bottom"/>
          </w:tcPr>
          <w:p>
            <w:pPr>
              <w:spacing w:after="0"/>
              <w:rPr>
                <w:sz w:val="16"/>
                <w:szCs w:val="16"/>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6"/>
                <w:szCs w:val="16"/>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37"/>
        </w:trPr>
        <w:tc>
          <w:tcPr>
            <w:tcW w:w="228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3"/>
        </w:trPr>
        <w:tc>
          <w:tcPr>
            <w:tcW w:w="22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280" w:type="dxa"/>
            <w:vAlign w:val="bottom"/>
          </w:tcPr>
          <w:p>
            <w:pPr>
              <w:spacing w:after="0"/>
              <w:rPr>
                <w:sz w:val="16"/>
                <w:szCs w:val="16"/>
                <w:color w:val="auto"/>
              </w:rPr>
            </w:pPr>
          </w:p>
        </w:tc>
        <w:tc>
          <w:tcPr>
            <w:tcW w:w="14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held in treasury</w:t>
            </w:r>
          </w:p>
        </w:tc>
        <w:tc>
          <w:tcPr>
            <w:tcW w:w="10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6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6"/>
                <w:szCs w:val="16"/>
                <w:color w:val="auto"/>
              </w:rPr>
            </w:pPr>
          </w:p>
        </w:tc>
        <w:tc>
          <w:tcPr>
            <w:tcW w:w="10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7"/>
        </w:trPr>
        <w:tc>
          <w:tcPr>
            <w:tcW w:w="228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631,338,246</w:t>
            </w:r>
          </w:p>
        </w:tc>
        <w:tc>
          <w:tcPr>
            <w:tcW w:w="100" w:type="dxa"/>
            <w:vAlign w:val="bottom"/>
            <w:shd w:val="clear" w:color="auto" w:fill="CCEEFF"/>
          </w:tcPr>
          <w:p>
            <w:pPr>
              <w:spacing w:after="0"/>
              <w:rPr>
                <w:sz w:val="22"/>
                <w:szCs w:val="22"/>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40,526</w:t>
            </w:r>
          </w:p>
        </w:tc>
        <w:tc>
          <w:tcPr>
            <w:tcW w:w="80" w:type="dxa"/>
            <w:vAlign w:val="bottom"/>
            <w:shd w:val="clear" w:color="auto" w:fill="CCEEFF"/>
          </w:tcPr>
          <w:p>
            <w:pPr>
              <w:spacing w:after="0"/>
              <w:rPr>
                <w:sz w:val="22"/>
                <w:szCs w:val="2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529,187</w:t>
            </w:r>
          </w:p>
        </w:tc>
        <w:tc>
          <w:tcPr>
            <w:tcW w:w="100" w:type="dxa"/>
            <w:vAlign w:val="bottom"/>
            <w:shd w:val="clear" w:color="auto" w:fill="CCEEFF"/>
          </w:tcPr>
          <w:p>
            <w:pPr>
              <w:spacing w:after="0"/>
              <w:rPr>
                <w:sz w:val="22"/>
                <w:szCs w:val="22"/>
                <w:color w:val="auto"/>
              </w:rPr>
            </w:pPr>
          </w:p>
        </w:tc>
        <w:tc>
          <w:tcPr>
            <w:tcW w:w="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shd w:val="clear" w:color="auto" w:fill="CCEEFF"/>
          </w:tcPr>
          <w:p>
            <w:pPr>
              <w:spacing w:after="0"/>
              <w:rPr>
                <w:sz w:val="22"/>
                <w:szCs w:val="2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8"/>
              </w:rPr>
              <w:t>(4,601)</w:t>
            </w:r>
          </w:p>
        </w:tc>
        <w:tc>
          <w:tcPr>
            <w:tcW w:w="100" w:type="dxa"/>
            <w:vAlign w:val="bottom"/>
            <w:shd w:val="clear" w:color="auto" w:fill="CCEEFF"/>
          </w:tcPr>
          <w:p>
            <w:pPr>
              <w:spacing w:after="0"/>
              <w:rPr>
                <w:sz w:val="22"/>
                <w:szCs w:val="2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(333,097)</w:t>
            </w:r>
          </w:p>
        </w:tc>
        <w:tc>
          <w:tcPr>
            <w:tcW w:w="100" w:type="dxa"/>
            <w:vAlign w:val="bottom"/>
            <w:shd w:val="clear" w:color="auto" w:fill="CCEEFF"/>
          </w:tcPr>
          <w:p>
            <w:pPr>
              <w:spacing w:after="0"/>
              <w:rPr>
                <w:sz w:val="22"/>
                <w:szCs w:val="22"/>
                <w:color w:val="auto"/>
              </w:rPr>
            </w:pPr>
          </w:p>
        </w:tc>
        <w:tc>
          <w:tcPr>
            <w:tcW w:w="26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230,466</w:t>
            </w:r>
          </w:p>
        </w:tc>
        <w:tc>
          <w:tcPr>
            <w:tcW w:w="0" w:type="dxa"/>
            <w:vAlign w:val="bottom"/>
          </w:tcPr>
          <w:p>
            <w:pPr>
              <w:spacing w:after="0"/>
              <w:rPr>
                <w:sz w:val="1"/>
                <w:szCs w:val="1"/>
                <w:color w:val="auto"/>
              </w:rPr>
            </w:pPr>
          </w:p>
        </w:tc>
      </w:tr>
      <w:tr>
        <w:trPr>
          <w:trHeight w:val="148"/>
        </w:trPr>
        <w:tc>
          <w:tcPr>
            <w:tcW w:w="2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2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280" w:type="dxa"/>
            <w:vAlign w:val="bottom"/>
            <w:vMerge w:val="continue"/>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2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Issuance of common</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20,321,384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56,909</w:t>
            </w:r>
          </w:p>
        </w:tc>
        <w:tc>
          <w:tcPr>
            <w:tcW w:w="0" w:type="dxa"/>
            <w:vAlign w:val="bottom"/>
          </w:tcPr>
          <w:p>
            <w:pPr>
              <w:spacing w:after="0"/>
              <w:rPr>
                <w:sz w:val="1"/>
                <w:szCs w:val="1"/>
                <w:color w:val="auto"/>
              </w:rPr>
            </w:pPr>
          </w:p>
        </w:tc>
      </w:tr>
      <w:tr>
        <w:trPr>
          <w:trHeight w:val="184"/>
        </w:trPr>
        <w:tc>
          <w:tcPr>
            <w:tcW w:w="228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shares under at-the-market</w:t>
            </w:r>
          </w:p>
        </w:tc>
        <w:tc>
          <w:tcPr>
            <w:tcW w:w="1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agreement</w:t>
            </w: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2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Restricted share units</w:t>
            </w: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22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28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 options exercised</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0" w:type="dxa"/>
            <w:vAlign w:val="bottom"/>
          </w:tcPr>
          <w:p>
            <w:pPr>
              <w:spacing w:after="0"/>
              <w:rPr>
                <w:sz w:val="1"/>
                <w:szCs w:val="1"/>
                <w:color w:val="auto"/>
              </w:rPr>
            </w:pPr>
          </w:p>
        </w:tc>
      </w:tr>
      <w:tr>
        <w:trPr>
          <w:trHeight w:val="175"/>
        </w:trPr>
        <w:tc>
          <w:tcPr>
            <w:tcW w:w="22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Share-based</w:t>
            </w: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38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1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0" w:type="dxa"/>
            <w:vAlign w:val="bottom"/>
          </w:tcPr>
          <w:p>
            <w:pPr>
              <w:spacing w:after="0"/>
              <w:rPr>
                <w:sz w:val="1"/>
                <w:szCs w:val="1"/>
                <w:color w:val="auto"/>
              </w:rPr>
            </w:pPr>
          </w:p>
        </w:tc>
      </w:tr>
      <w:tr>
        <w:trPr>
          <w:trHeight w:val="149"/>
        </w:trPr>
        <w:tc>
          <w:tcPr>
            <w:tcW w:w="22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compensation</w:t>
            </w: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280" w:type="dxa"/>
            <w:vAlign w:val="bottom"/>
            <w:tcBorders>
              <w:bottom w:val="single" w:sz="8" w:color="CCEEFF"/>
            </w:tcBorders>
            <w:vMerge w:val="continue"/>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2"/>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651,659,630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41,753</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590,915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8"/>
              </w:rPr>
              <w:t>(4,601)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(350,110)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276,749</w:t>
            </w:r>
          </w:p>
        </w:tc>
        <w:tc>
          <w:tcPr>
            <w:tcW w:w="0" w:type="dxa"/>
            <w:vAlign w:val="bottom"/>
          </w:tcPr>
          <w:p>
            <w:pPr>
              <w:spacing w:after="0"/>
              <w:rPr>
                <w:sz w:val="1"/>
                <w:szCs w:val="1"/>
                <w:color w:val="auto"/>
              </w:rPr>
            </w:pPr>
          </w:p>
        </w:tc>
      </w:tr>
      <w:tr>
        <w:trPr>
          <w:trHeight w:val="106"/>
        </w:trPr>
        <w:tc>
          <w:tcPr>
            <w:tcW w:w="2280" w:type="dxa"/>
            <w:vAlign w:val="bottom"/>
            <w:tcBorders>
              <w:bottom w:val="single" w:sz="8" w:color="CCEEFF"/>
            </w:tcBorders>
            <w:shd w:val="clear" w:color="auto" w:fill="CCEEFF"/>
          </w:tcPr>
          <w:p>
            <w:pPr>
              <w:spacing w:after="0"/>
              <w:rPr>
                <w:sz w:val="8"/>
                <w:szCs w:val="8"/>
                <w:color w:val="auto"/>
              </w:rPr>
            </w:pPr>
          </w:p>
        </w:tc>
        <w:tc>
          <w:tcPr>
            <w:tcW w:w="130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92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86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spacing w:after="0"/>
              <w:rPr>
                <w:sz w:val="8"/>
                <w:szCs w:val="8"/>
                <w:color w:val="auto"/>
              </w:rPr>
            </w:pPr>
          </w:p>
        </w:tc>
        <w:tc>
          <w:tcPr>
            <w:tcW w:w="76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28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106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100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80" w:type="dxa"/>
            <w:vAlign w:val="bottom"/>
            <w:tcBorders>
              <w:top w:val="single" w:sz="8" w:color="CCEEFF"/>
            </w:tcBorders>
            <w:vMerge w:val="continue"/>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ind w:left="10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(8,807)</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(8,807)</w:t>
            </w:r>
          </w:p>
        </w:tc>
        <w:tc>
          <w:tcPr>
            <w:tcW w:w="0" w:type="dxa"/>
            <w:vAlign w:val="bottom"/>
          </w:tcPr>
          <w:p>
            <w:pPr>
              <w:spacing w:after="0"/>
              <w:rPr>
                <w:sz w:val="1"/>
                <w:szCs w:val="1"/>
                <w:color w:val="auto"/>
              </w:rPr>
            </w:pPr>
          </w:p>
        </w:tc>
      </w:tr>
      <w:tr>
        <w:trPr>
          <w:trHeight w:val="176"/>
        </w:trPr>
        <w:tc>
          <w:tcPr>
            <w:tcW w:w="22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Restricted share units</w:t>
            </w: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22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vMerge w:val="continue"/>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280" w:type="dxa"/>
            <w:vAlign w:val="bottom"/>
            <w:vMerge w:val="continue"/>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 options exercised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Share-based</w:t>
            </w: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0" w:type="dxa"/>
            <w:vAlign w:val="bottom"/>
          </w:tcPr>
          <w:p>
            <w:pPr>
              <w:spacing w:after="0"/>
              <w:rPr>
                <w:sz w:val="1"/>
                <w:szCs w:val="1"/>
                <w:color w:val="auto"/>
              </w:rPr>
            </w:pPr>
          </w:p>
        </w:tc>
      </w:tr>
      <w:tr>
        <w:trPr>
          <w:trHeight w:val="149"/>
        </w:trPr>
        <w:tc>
          <w:tcPr>
            <w:tcW w:w="22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compensation</w:t>
            </w:r>
          </w:p>
        </w:tc>
        <w:tc>
          <w:tcPr>
            <w:tcW w:w="140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gridSpan w:val="2"/>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280" w:type="dxa"/>
            <w:vAlign w:val="bottom"/>
            <w:vMerge w:val="continue"/>
            <w:shd w:val="clear" w:color="auto" w:fill="CCEEFF"/>
          </w:tcPr>
          <w:p>
            <w:pPr>
              <w:spacing w:after="0"/>
              <w:rPr>
                <w:sz w:val="7"/>
                <w:szCs w:val="7"/>
                <w:color w:val="auto"/>
              </w:rPr>
            </w:pPr>
          </w:p>
        </w:tc>
        <w:tc>
          <w:tcPr>
            <w:tcW w:w="130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92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86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2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00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22"/>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651,659,630</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41,753</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596,059</w:t>
            </w:r>
          </w:p>
        </w:tc>
        <w:tc>
          <w:tcPr>
            <w:tcW w:w="10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8"/>
              </w:rPr>
              <w:t>(4,601)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(359,143)</w:t>
            </w:r>
          </w:p>
        </w:tc>
        <w:tc>
          <w:tcPr>
            <w:tcW w:w="100" w:type="dxa"/>
            <w:vAlign w:val="bottom"/>
          </w:tcPr>
          <w:p>
            <w:pPr>
              <w:spacing w:after="0"/>
              <w:rPr>
                <w:sz w:val="24"/>
                <w:szCs w:val="24"/>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273,093</w:t>
            </w:r>
          </w:p>
        </w:tc>
        <w:tc>
          <w:tcPr>
            <w:tcW w:w="0" w:type="dxa"/>
            <w:vAlign w:val="bottom"/>
          </w:tcPr>
          <w:p>
            <w:pPr>
              <w:spacing w:after="0"/>
              <w:rPr>
                <w:sz w:val="1"/>
                <w:szCs w:val="1"/>
                <w:color w:val="auto"/>
              </w:rPr>
            </w:pPr>
          </w:p>
        </w:tc>
      </w:tr>
      <w:tr>
        <w:trPr>
          <w:trHeight w:val="81"/>
        </w:trPr>
        <w:tc>
          <w:tcPr>
            <w:tcW w:w="228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(14,687)</w:t>
            </w:r>
          </w:p>
        </w:tc>
        <w:tc>
          <w:tcPr>
            <w:tcW w:w="0" w:type="dxa"/>
            <w:vAlign w:val="bottom"/>
          </w:tcPr>
          <w:p>
            <w:pPr>
              <w:spacing w:after="0"/>
              <w:rPr>
                <w:sz w:val="1"/>
                <w:szCs w:val="1"/>
                <w:color w:val="auto"/>
              </w:rPr>
            </w:pPr>
          </w:p>
        </w:tc>
      </w:tr>
      <w:tr>
        <w:trPr>
          <w:trHeight w:val="176"/>
        </w:trPr>
        <w:tc>
          <w:tcPr>
            <w:tcW w:w="22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Restricted share units</w:t>
            </w: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22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28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 options exercised</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75"/>
        </w:trPr>
        <w:tc>
          <w:tcPr>
            <w:tcW w:w="22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Share-based</w:t>
            </w: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38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1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0" w:type="dxa"/>
            <w:vAlign w:val="bottom"/>
          </w:tcPr>
          <w:p>
            <w:pPr>
              <w:spacing w:after="0"/>
              <w:rPr>
                <w:sz w:val="1"/>
                <w:szCs w:val="1"/>
                <w:color w:val="auto"/>
              </w:rPr>
            </w:pPr>
          </w:p>
        </w:tc>
      </w:tr>
      <w:tr>
        <w:trPr>
          <w:trHeight w:val="149"/>
        </w:trPr>
        <w:tc>
          <w:tcPr>
            <w:tcW w:w="22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compensation</w:t>
            </w: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280" w:type="dxa"/>
            <w:vAlign w:val="bottom"/>
            <w:tcBorders>
              <w:bottom w:val="single" w:sz="8" w:color="CCEEFF"/>
            </w:tcBorders>
            <w:vMerge w:val="continue"/>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651,659,630</w:t>
            </w:r>
          </w:p>
        </w:tc>
        <w:tc>
          <w:tcPr>
            <w:tcW w:w="100" w:type="dxa"/>
            <w:vAlign w:val="bottom"/>
            <w:shd w:val="clear" w:color="auto" w:fill="CCEEFF"/>
          </w:tcPr>
          <w:p>
            <w:pPr>
              <w:spacing w:after="0"/>
              <w:rPr>
                <w:sz w:val="23"/>
                <w:szCs w:val="23"/>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41,753</w:t>
            </w:r>
          </w:p>
        </w:tc>
        <w:tc>
          <w:tcPr>
            <w:tcW w:w="80" w:type="dxa"/>
            <w:vAlign w:val="bottom"/>
            <w:shd w:val="clear" w:color="auto" w:fill="CCEEFF"/>
          </w:tcPr>
          <w:p>
            <w:pPr>
              <w:spacing w:after="0"/>
              <w:rPr>
                <w:sz w:val="23"/>
                <w:szCs w:val="2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601,180</w:t>
            </w:r>
          </w:p>
        </w:tc>
        <w:tc>
          <w:tcPr>
            <w:tcW w:w="100" w:type="dxa"/>
            <w:vAlign w:val="bottom"/>
            <w:shd w:val="clear" w:color="auto" w:fill="CCEEFF"/>
          </w:tcPr>
          <w:p>
            <w:pPr>
              <w:spacing w:after="0"/>
              <w:rPr>
                <w:sz w:val="23"/>
                <w:szCs w:val="23"/>
                <w:color w:val="auto"/>
              </w:rPr>
            </w:pPr>
          </w:p>
        </w:tc>
        <w:tc>
          <w:tcPr>
            <w:tcW w:w="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CEEFF"/>
          </w:tcPr>
          <w:p>
            <w:pPr>
              <w:spacing w:after="0"/>
              <w:rPr>
                <w:sz w:val="23"/>
                <w:szCs w:val="2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8"/>
              </w:rPr>
              <w:t>(4,601)</w:t>
            </w:r>
          </w:p>
        </w:tc>
        <w:tc>
          <w:tcPr>
            <w:tcW w:w="100" w:type="dxa"/>
            <w:vAlign w:val="bottom"/>
            <w:shd w:val="clear" w:color="auto" w:fill="CCEEFF"/>
          </w:tcPr>
          <w:p>
            <w:pPr>
              <w:spacing w:after="0"/>
              <w:rPr>
                <w:sz w:val="23"/>
                <w:szCs w:val="2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(374,053)</w:t>
            </w:r>
          </w:p>
        </w:tc>
        <w:tc>
          <w:tcPr>
            <w:tcW w:w="100" w:type="dxa"/>
            <w:vAlign w:val="bottom"/>
            <w:shd w:val="clear" w:color="auto" w:fill="CCEEFF"/>
          </w:tcPr>
          <w:p>
            <w:pPr>
              <w:spacing w:after="0"/>
              <w:rPr>
                <w:sz w:val="23"/>
                <w:szCs w:val="23"/>
                <w:color w:val="auto"/>
              </w:rPr>
            </w:pPr>
          </w:p>
        </w:tc>
        <w:tc>
          <w:tcPr>
            <w:tcW w:w="26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263,533</w:t>
            </w:r>
          </w:p>
        </w:tc>
        <w:tc>
          <w:tcPr>
            <w:tcW w:w="0" w:type="dxa"/>
            <w:vAlign w:val="bottom"/>
          </w:tcPr>
          <w:p>
            <w:pPr>
              <w:spacing w:after="0"/>
              <w:rPr>
                <w:sz w:val="1"/>
                <w:szCs w:val="1"/>
                <w:color w:val="auto"/>
              </w:rPr>
            </w:pPr>
          </w:p>
        </w:tc>
      </w:tr>
      <w:tr>
        <w:trPr>
          <w:trHeight w:val="135"/>
        </w:trPr>
        <w:tc>
          <w:tcPr>
            <w:tcW w:w="2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12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280" w:type="dxa"/>
            <w:vAlign w:val="bottom"/>
            <w:vMerge w:val="continue"/>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28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86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128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106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spacing w:after="0"/>
              <w:rPr>
                <w:sz w:val="9"/>
                <w:szCs w:val="9"/>
                <w:color w:val="auto"/>
              </w:rPr>
            </w:pPr>
          </w:p>
        </w:tc>
        <w:tc>
          <w:tcPr>
            <w:tcW w:w="100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1"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4"/>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82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82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(40,237)</w:t>
            </w:r>
          </w:p>
        </w:tc>
        <w:tc>
          <w:tcPr>
            <w:tcW w:w="0" w:type="dxa"/>
            <w:vAlign w:val="bottom"/>
          </w:tcPr>
          <w:p>
            <w:pPr>
              <w:spacing w:after="0"/>
              <w:rPr>
                <w:sz w:val="1"/>
                <w:szCs w:val="1"/>
                <w:color w:val="auto"/>
              </w:rPr>
            </w:pPr>
          </w:p>
        </w:tc>
      </w:tr>
      <w:tr>
        <w:trPr>
          <w:trHeight w:val="214"/>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Adjustments to reconcile net income to net cash used in operating activities: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exchange gain</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0" w:type="dxa"/>
            <w:vAlign w:val="bottom"/>
          </w:tcPr>
          <w:p>
            <w:pPr>
              <w:spacing w:after="0"/>
              <w:rPr>
                <w:sz w:val="1"/>
                <w:szCs w:val="1"/>
                <w:color w:val="auto"/>
              </w:rPr>
            </w:pPr>
          </w:p>
        </w:tc>
      </w:tr>
      <w:tr>
        <w:trPr>
          <w:trHeight w:val="213"/>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debt issue costs</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Accretion of RIPSA</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Accretion of redemption premium on debt</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Share-based compensation</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14,443</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0" w:type="dxa"/>
            <w:vAlign w:val="bottom"/>
          </w:tcPr>
          <w:p>
            <w:pPr>
              <w:spacing w:after="0"/>
              <w:rPr>
                <w:sz w:val="1"/>
                <w:szCs w:val="1"/>
                <w:color w:val="auto"/>
              </w:rPr>
            </w:pPr>
          </w:p>
        </w:tc>
      </w:tr>
      <w:tr>
        <w:trPr>
          <w:trHeight w:val="214"/>
        </w:trPr>
        <w:tc>
          <w:tcPr>
            <w:tcW w:w="8200" w:type="dxa"/>
            <w:vAlign w:val="bottom"/>
          </w:tcPr>
          <w:p>
            <w:pPr>
              <w:ind w:left="340"/>
              <w:spacing w:after="0"/>
              <w:rPr>
                <w:sz w:val="20"/>
                <w:szCs w:val="20"/>
                <w:color w:val="auto"/>
              </w:rPr>
            </w:pPr>
            <w:r>
              <w:rPr>
                <w:rFonts w:ascii="Times New Roman" w:cs="Times New Roman" w:eastAsia="Times New Roman" w:hAnsi="Times New Roman"/>
                <w:sz w:val="16"/>
                <w:szCs w:val="16"/>
                <w:i w:val="1"/>
                <w:iCs w:val="1"/>
                <w:color w:val="auto"/>
              </w:rPr>
              <w:t>Changes in operating assets and liabilities: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Tax incentive receivable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3"/>
        </w:trPr>
        <w:tc>
          <w:tcPr>
            <w:tcW w:w="8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Inventory</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assets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(2,260)</w:t>
            </w:r>
          </w:p>
        </w:tc>
        <w:tc>
          <w:tcPr>
            <w:tcW w:w="0" w:type="dxa"/>
            <w:vAlign w:val="bottom"/>
          </w:tcPr>
          <w:p>
            <w:pPr>
              <w:spacing w:after="0"/>
              <w:rPr>
                <w:sz w:val="1"/>
                <w:szCs w:val="1"/>
                <w:color w:val="auto"/>
              </w:rPr>
            </w:pPr>
          </w:p>
        </w:tc>
      </w:tr>
      <w:tr>
        <w:trPr>
          <w:trHeight w:val="213"/>
        </w:trPr>
        <w:tc>
          <w:tcPr>
            <w:tcW w:w="8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expenses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(6,355)</w:t>
            </w:r>
          </w:p>
        </w:tc>
        <w:tc>
          <w:tcPr>
            <w:tcW w:w="0" w:type="dxa"/>
            <w:vAlign w:val="bottom"/>
          </w:tcPr>
          <w:p>
            <w:pPr>
              <w:spacing w:after="0"/>
              <w:rPr>
                <w:sz w:val="1"/>
                <w:szCs w:val="1"/>
                <w:color w:val="auto"/>
              </w:rPr>
            </w:pPr>
          </w:p>
        </w:tc>
      </w:tr>
      <w:tr>
        <w:trPr>
          <w:trHeight w:val="213"/>
        </w:trPr>
        <w:tc>
          <w:tcPr>
            <w:tcW w:w="8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Royalties payable</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0" w:type="dxa"/>
            <w:vAlign w:val="bottom"/>
          </w:tcPr>
          <w:p>
            <w:pPr>
              <w:spacing w:after="0"/>
              <w:rPr>
                <w:sz w:val="1"/>
                <w:szCs w:val="1"/>
                <w:color w:val="auto"/>
              </w:rPr>
            </w:pPr>
          </w:p>
        </w:tc>
      </w:tr>
      <w:tr>
        <w:trPr>
          <w:trHeight w:val="213"/>
        </w:trPr>
        <w:tc>
          <w:tcPr>
            <w:tcW w:w="8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0" w:type="dxa"/>
            <w:vAlign w:val="bottom"/>
          </w:tcPr>
          <w:p>
            <w:pPr>
              <w:spacing w:after="0"/>
              <w:rPr>
                <w:sz w:val="1"/>
                <w:szCs w:val="1"/>
                <w:color w:val="auto"/>
              </w:rPr>
            </w:pPr>
          </w:p>
        </w:tc>
      </w:tr>
      <w:tr>
        <w:trPr>
          <w:trHeight w:val="207"/>
        </w:trPr>
        <w:tc>
          <w:tcPr>
            <w:tcW w:w="82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(39,820)</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Purchases of furniture and equipment</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issuance of ordinary shares</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56,909</w:t>
            </w:r>
          </w:p>
        </w:tc>
        <w:tc>
          <w:tcPr>
            <w:tcW w:w="0" w:type="dxa"/>
            <w:vAlign w:val="bottom"/>
          </w:tcPr>
          <w:p>
            <w:pPr>
              <w:spacing w:after="0"/>
              <w:rPr>
                <w:sz w:val="1"/>
                <w:szCs w:val="1"/>
                <w:color w:val="auto"/>
              </w:rPr>
            </w:pPr>
          </w:p>
        </w:tc>
      </w:tr>
      <w:tr>
        <w:trPr>
          <w:trHeight w:val="213"/>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Term Loans</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9,996</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RIPSA</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Repayment of 2023 Term Loans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Payments of withholding taxes from share-based awards</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exercise of share options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0" w:type="dxa"/>
            <w:vAlign w:val="bottom"/>
          </w:tcPr>
          <w:p>
            <w:pPr>
              <w:spacing w:after="0"/>
              <w:rPr>
                <w:sz w:val="1"/>
                <w:szCs w:val="1"/>
                <w:color w:val="auto"/>
              </w:rPr>
            </w:pPr>
          </w:p>
        </w:tc>
      </w:tr>
      <w:tr>
        <w:trPr>
          <w:trHeight w:val="207"/>
        </w:trPr>
        <w:tc>
          <w:tcPr>
            <w:tcW w:w="82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156,622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68,857</w:t>
            </w:r>
          </w:p>
        </w:tc>
        <w:tc>
          <w:tcPr>
            <w:tcW w:w="0" w:type="dxa"/>
            <w:vAlign w:val="bottom"/>
          </w:tcPr>
          <w:p>
            <w:pPr>
              <w:spacing w:after="0"/>
              <w:rPr>
                <w:sz w:val="1"/>
                <w:szCs w:val="1"/>
                <w:color w:val="auto"/>
              </w:rPr>
            </w:pPr>
          </w:p>
        </w:tc>
      </w:tr>
      <w:tr>
        <w:trPr>
          <w:trHeight w:val="21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0" w:type="dxa"/>
            <w:vAlign w:val="bottom"/>
          </w:tcPr>
          <w:p>
            <w:pPr>
              <w:spacing w:after="0"/>
              <w:rPr>
                <w:sz w:val="1"/>
                <w:szCs w:val="1"/>
                <w:color w:val="auto"/>
              </w:rPr>
            </w:pPr>
          </w:p>
        </w:tc>
      </w:tr>
      <w:tr>
        <w:trPr>
          <w:trHeight w:val="207"/>
        </w:trPr>
        <w:tc>
          <w:tcPr>
            <w:tcW w:w="82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64,268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29,539</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the period</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271,772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227,827</w:t>
            </w:r>
          </w:p>
        </w:tc>
        <w:tc>
          <w:tcPr>
            <w:tcW w:w="0" w:type="dxa"/>
            <w:vAlign w:val="bottom"/>
          </w:tcPr>
          <w:p>
            <w:pPr>
              <w:spacing w:after="0"/>
              <w:rPr>
                <w:sz w:val="1"/>
                <w:szCs w:val="1"/>
                <w:color w:val="auto"/>
              </w:rPr>
            </w:pPr>
          </w:p>
        </w:tc>
      </w:tr>
      <w:tr>
        <w:trPr>
          <w:trHeight w:val="207"/>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the period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336,040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257,366</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taxes paid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0" w:type="dxa"/>
            <w:vAlign w:val="bottom"/>
          </w:tcPr>
          <w:p>
            <w:pPr>
              <w:spacing w:after="0"/>
              <w:rPr>
                <w:sz w:val="1"/>
                <w:szCs w:val="1"/>
                <w:color w:val="auto"/>
              </w:rPr>
            </w:pPr>
          </w:p>
        </w:tc>
      </w:tr>
      <w:tr>
        <w:trPr>
          <w:trHeight w:val="244"/>
        </w:trPr>
        <w:tc>
          <w:tcPr>
            <w:tcW w:w="8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paid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description of business operations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Verona Pharma plc is incorporated and domiciled in the United Kingdom. Verona Pharma plc has one wholly-owned subsidiary, Verona Pharma, Inc., a Delaware corporation (together with Verona Pharma plc, the “Company”). The address of the registered office is 1 Central Square, Cardiff, CF10 1FS, United Kingdom.</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is a biopharmaceutical group focused on developing and commercializing innovative therapeutics for the treatment of respiratory diseases with significant unmet medical needs. The Company’s American Depositary Shares (“ADSs”) are listed on the Nasdaq Global Market (“Nasdaq”) and trade under the symbol “VRNA”.</w:t>
      </w:r>
    </w:p>
    <w:p>
      <w:pPr>
        <w:spacing w:after="0" w:line="7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June 26, 2024, the FDA approved Ohtuvayre (ensifentrine) for the maintenance treatment of chronic obstructive pulmonary disease (“COPD”) in adult patients and the Company launched Ohtuvayre in the U.S. through an exclusive network of accredited specialty pharmacies in August 2024. Ohtuvayre is the Company’s first commercial product and the first inhaled therapy with a novel mechanism of action available for the maintenance treatment of COPD in more than 20 years.</w:t>
      </w:r>
    </w:p>
    <w:p>
      <w:pPr>
        <w:spacing w:after="0" w:line="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Ohtuvayre is a first-in-class selective dual inhibitor of the enzymes phosphodiesterase 3 and phosphodiesterase 4 that combines bronchodilator and non-steroidal anti-inflammatory effects in one molecule. Ohtuvayre is delivered directly to the lungs through a standard jet nebulizer without the need for high inspiratory flow rates or complex hand-breath coordination.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108"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The Company is developing a fixed-dose combination formulation with ensifentrine and glycopyrrolate, a Long-Acting Muscarinic Antagonist (“LAMA”), for the maintenance treatment of patients with COPD via delivery in a nebulizer. The Company has filed patent applications in multiple jurisdictions including the U.S. In the third quarter of 2024, the Company initiated a Phase 2 dose-ranging trial.</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Additionally, based on the clinical results of ensifentrine observed in patients with COPD, including improvements in lung function and symptoms of cough and sputum, the Company believes ensifentrine could potentially be an effective treatment for non-cystic fibrosis bronchiectasis (“NCFBE”). In the third quarter of 2024, the Company commenced a Phase 2 clinical trial to assess the efficacy and safety of nebulized ensifentrine in patients with NCFBE.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has incurred recurring losses and negative cash flows from operations since inception, and has an accumulated deficit of $528.5 million as of September 30, 2024. The Company expects to incur additional losses and negative cash flows from operations until its products reach commercial profitability, if at all.</w:t>
      </w:r>
    </w:p>
    <w:p>
      <w:pPr>
        <w:spacing w:after="0" w:line="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that its cash and cash equivalents as of September 30, 2024 will be sufficient to fund its operating expenses and capital expenditure requirements for at least the next 12 months from the date of issuance.</w:t>
      </w:r>
    </w:p>
    <w:p>
      <w:pPr>
        <w:spacing w:after="0" w:line="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Additionally, the Company may enter into out-licensing transactions from time to time but there can be no assurance that the Company can secure such transactions in the future. Accordingly, the Company may need to obtain substantial additional funds to achieve its business objectives including to further advance clinical and regulatory activities, to fund launch related costs and to create an effective sales and marketing organization to commercialize Ohtuvayre. Any such funding will need to be obtained through public or private financings, debt financing, collaboration or licensing arrangements or other arrangements. However, there is no guarantee the Company will be successful in securing additional capital on acceptable terms, or at all.</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consolidation</w:t>
      </w:r>
    </w:p>
    <w:p>
      <w:pPr>
        <w:spacing w:after="0" w:line="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Verona Pharma plc and its wholly-owned subsidiary Verona Pharma, Inc. All inter-company balances and transactions have been eliminated.</w:t>
      </w:r>
    </w:p>
    <w:p>
      <w:pPr>
        <w:spacing w:after="0" w:line="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included in this Quarterly Report on Form 10-Q have been prepared in conformity with accounting principles generally accepted in the U.S. (“U.S. GAAP”) and should be read in conjunction with the consolidated financial statements and accompanying notes included in the Company’s Annual Report on Form 10-K filed on February 29, 2024 (the “2023 Form 10-K”). The Consolidated Balance Sheet as of December 31, 2023, was derived from audited consolidated financial statements included in the 2023 Form 10-K but does not include all disclosures required by U.S. GAAP for complete financial statements. The Company’s significant accounting policies are described in Note 2 to those consolidated financial statements.</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U.S. GAAP have been condensed or omitted from these interim financial statements. The unaudited condensed consolidated financial statements reflect all adjustments which in the opinion of management are necessary for a fair statement of results of operations, comprehensive income, financial condition, cash flows and shareholders' equity for the periods presented. Except as otherwise disclosed, all such adjustments are of a normal recurring nature. Operating results for the interim periods are not necessarily indicative of the results that may be expected for the full year.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has one operating and reportable segment, the development and commercialization of ensifentrine.</w:t>
      </w:r>
    </w:p>
    <w:p>
      <w:pPr>
        <w:spacing w:after="0" w:line="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For the three and nine months ended September 30, 2024 the Company relied on four specialty pharmacies to purchase and supply Ohtuvayre to patients. These four specialty pharmacies accounted for 100% of all Ohtuvayre net product sales in the three and nine months ended September 30, 2024 and accounted for all of the Company's outstanding accounts receivable from product sales as of September 30, 2024. The loss, or a significant change in the buying patterns, of any one of these specialty pharmacies as a customer could negatively impact the sales of Ohtuvayre.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preparation of interim unaudited condensed consolidated financial statements in conformity with U.S. GAAP requires management to make estimates and assumptions that affect the reported amounts of assets, liabilities, the disclosure of contingent assets and liabilities at the date of the financial statements and the reported amounts of expenses during the reporting periods. Significant estimates and assumptions reflected in these unaudited condensed consolidated financial statements include, but are not limited to, the accrual and prepayment of research and development expenses, gross-to-net revenue adjustments, amortization and carrying value of the revenue interest purchase and sale agreement (“RIPSA”), and the fair value of share-based</w:t>
      </w:r>
    </w:p>
    <w:p>
      <w:pPr>
        <w:sectPr>
          <w:pgSz w:w="11900" w:h="16860" w:orient="portrait"/>
          <w:cols w:equalWidth="0" w:num="1">
            <w:col w:w="11240"/>
          </w:cols>
          <w:pgMar w:left="320" w:top="117" w:right="339" w:bottom="0" w:gutter="0" w:footer="0" w:header="0"/>
        </w:sectPr>
      </w:pPr>
    </w:p>
    <w:bookmarkStart w:id="10" w:name="page11"/>
    <w:bookmarkEnd w:id="10"/>
    <w:p>
      <w:pPr>
        <w:spacing w:after="0" w:line="266" w:lineRule="auto"/>
        <w:rPr>
          <w:sz w:val="20"/>
          <w:szCs w:val="20"/>
          <w:color w:val="auto"/>
        </w:rPr>
      </w:pPr>
      <w:r>
        <w:rPr>
          <w:rFonts w:ascii="Times New Roman" w:cs="Times New Roman" w:eastAsia="Times New Roman" w:hAnsi="Times New Roman"/>
          <w:sz w:val="18"/>
          <w:szCs w:val="18"/>
          <w:color w:val="auto"/>
        </w:rPr>
        <w:t>compensation. Estimates are periodically reviewed in light of changes in circumstances, facts and experience. Changes in estimates are recorded in the period in which they become known, and actual results could differ from the Company’s estimates.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including Pre-Launch Inventory</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values its inventories at the lower of actual cost or net realizable value. The Company determines the cost of its inventories, which includes amounts related to materials and manufacturing overhead, on a first-in, first-out basis. When the Company expects to utilize the inventory beyond one year we record it in inventories, long-term on its consolidated balance sheets.</w:t>
      </w:r>
    </w:p>
    <w:p>
      <w:pPr>
        <w:spacing w:after="0" w:line="7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Prior to obtaining initial regulatory approval for Ohtuvayre, the Company expensed costs relating to production of pre-launch inventory as research and development (“R&amp;D”) expense in its consolidated statements of operations and comprehensive loss in the period incurred. Inventory acquired and the related costs after June 26, 2024, the date of the FDA’s approval of Ohtuvayre, are capitalized. Products used in clinical trials are expensed as research and development expense in the statement of operations and comprehensive loss.</w:t>
      </w:r>
    </w:p>
    <w:p>
      <w:pPr>
        <w:spacing w:after="0" w:line="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performs an assessment of the recoverability of capitalized inventory during each reporting period, and writes down any excess or obsolete inventory to its net realizable value in the period in which the impairment is identified through cost of product and other revenue in the consolidated statements of operations and comprehensive loss.</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Additionally, the Company’s product is subject to strict quality control and monitoring that is performed throughout the manufacturing process, including release of work-in-process to finished goods. In the event that certain batches or units of product do not meet quality specifications, the Company will record a write-down of any potential unmarketable inventory to its estimated net realizable value and record the expense as cost of sales in the consolidated statements of operations and comprehensive loss. No inventory was written down as a result of excess, obsolescence, scrap, or other reasons during the three or nine months ended September 30, 2024.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37"/>
        </w:trPr>
        <w:tc>
          <w:tcPr>
            <w:tcW w:w="98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6"/>
        </w:trPr>
        <w:tc>
          <w:tcPr>
            <w:tcW w:w="9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98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3"/>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r>
      <w:tr>
        <w:trPr>
          <w:trHeight w:val="223"/>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w:t>
            </w:r>
          </w:p>
        </w:tc>
      </w:tr>
      <w:tr>
        <w:trPr>
          <w:trHeight w:val="20"/>
        </w:trPr>
        <w:tc>
          <w:tcPr>
            <w:tcW w:w="9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Interest Purchase and Sale Agreement</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RIPSA is eligible to be repaid based on royalties from net sales of Ohtuvayre (ensifentrine) and any other future products. Interest expense is calculated using the effective interest method over the estimated period the related liability will be paid. This requires the Company to estimate the total amount of future royalty payments to be generated from product sales over the life of the agreement. The Company imputes interest on the carrying value of the RIPSA and records interest expense using an imputed effective interest rate. The Company reassesses the expected royalty payments each reporting period and accounts for any changes through an adjustment to the effective interest rate on a prospective basis. The assumptions used in determining the expected repayment term of the debt and amortization period of the issuance costs require that the Company make estimates that could impact the carrying value of the liability, as well as the periods over which associated issuance costs will be amortized. A significant increase or decrease in forecasted net sales could materially impact each of the liability balances, interest expense and the time periods for repayment.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Company’s revenues consist of product sales of Ohtuvayre. The Company accounts for contracts with its customers in accordance with ASC Topic 606, Revenue from Contracts with Customers (“ASC 606”). Pursuant to ASC 606, for arrangements or transactions between participants determined to be within the scope of the contracts with customers guidance, the Company performs the following five steps to determine the appropriate amount of revenue to be recognized as the Company fulfills its obligations: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(or as) the Company satisfies each performance obligation.</w:t>
      </w:r>
    </w:p>
    <w:p>
      <w:pPr>
        <w:spacing w:after="0" w:line="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Revenue is recognized when, or as, the Company satisfies a performance obligation by transferring a promised good or service to a customer. An asset is transferred when, or as, the customer obtains control of that asset.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Company’s revenue from net product sales was generated in the United States following the FDA’s approval for marketing of Ohtuvayre for the treatment of COPD in June 2024. The Company sells Ohtuvayre principally through arrangements with specialty pharmacies (“SPs”), who are the Company’s customers. The customers subsequently resell the product to patients and health care providers. The Company applies the ASC 606 five step process discussed above to the contracts with SPs. The Company provides limited right of return to the customers in cases of shipment errors or expiring or defective products. Product revenues are recognized when the customers take control of the product, which occurs upon delivery to the customers.</w:t>
      </w:r>
    </w:p>
    <w:p>
      <w:pPr>
        <w:spacing w:after="0" w:line="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 recognizes revenue from product sales at the net sales price which includes estimates of variable consideration for which reserves are established and reflects each of these as a reduction to revenue. Overall, these reserves reflect the Company’s best estimates of the amount of consideration to which the Company is entitled based on the terms of the contract. The amount of variable consideration that is included in the transaction price may be constrained. Actual amounts of consideration ultimately received may differ from the Company’s estimates. If actual</w:t>
      </w:r>
    </w:p>
    <w:p>
      <w:pPr>
        <w:spacing w:after="0" w:line="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results in the future vary from estimates, the Company may need to adjust its estimates, which would affect net revenue in the period of adjustment. The following are the Company’s significant categories of variable consideration:</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Distribution Fees: The Company pays distribution fees to SPs in connection with the sales of its product. These distributor fees are based on a contractually determined fixed percentage of sales.</w:t>
      </w:r>
    </w:p>
    <w:p>
      <w:pPr>
        <w:spacing w:after="0" w:line="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Government rebates and chargebacks: The Company contracts with Medicaid, Medicare, and other government agencies (“Government Payors”) so that Ohtuvayre will be eligible for purchase by, or partial or full reimbursement from, such Government Payors. The Company estimates the rebates, chargebacks and discounts it will provide to Government Payors and deducts these estimated amounts from its gross product revenue at the time the revenue is recognized. The Company estimates these reserves based upon its contracts with government agencies and other organizations, statutorily defined discounts and estimated payor mix, resulting in a reduction of product revenue and the establishment of a current liability.</w:t>
      </w:r>
    </w:p>
    <w:p>
      <w:pPr>
        <w:spacing w:after="0" w:line="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Commercial Chargebacks: Chargebacks are discounts and fees related to contracts with various third-party payers and programs that purchase from SPs at a discounted price. SPs charge back to the Company the difference between the price initially paid by SPs and the discounted price paid to SPs by these entities.</w:t>
      </w:r>
    </w:p>
    <w:p>
      <w:pPr>
        <w:spacing w:after="0" w:line="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Product Returns: Consistent with industry practice, the Company offers SPs limited product return rights for shipment errors or expiring or defective products. The Company makes a reasonable estimate of future potential product returns based on inventory reports from SPs, visibility into the inventory distribution channel, the underlying product demand, and industry data specific to the specialty pharmaceutical distribution industry.</w:t>
      </w:r>
    </w:p>
    <w:p>
      <w:pPr>
        <w:spacing w:after="0" w:line="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Co-pay assistance: Other incentives which the Company offers include voluntary patient assistance and assurance programs, such as a co-pay assistance program, which are intended to provide financial assistance to qualified commercially-insured patients with prescription drug co-payments required by payers.</w:t>
      </w:r>
    </w:p>
    <w:p>
      <w:pPr>
        <w:sectPr>
          <w:pgSz w:w="11900" w:h="16838" w:orient="portrait"/>
          <w:cols w:equalWidth="0" w:num="1">
            <w:col w:w="11240"/>
          </w:cols>
          <w:pgMar w:left="320" w:top="108" w:right="339" w:bottom="0" w:gutter="0" w:footer="0" w:header="0"/>
        </w:sectPr>
      </w:pPr>
    </w:p>
    <w:bookmarkStart w:id="11" w:name="page12"/>
    <w:bookmarkEnd w:id="11"/>
    <w:p>
      <w:pPr>
        <w:spacing w:after="0" w:line="266" w:lineRule="auto"/>
        <w:rPr>
          <w:sz w:val="20"/>
          <w:szCs w:val="20"/>
          <w:color w:val="auto"/>
        </w:rPr>
      </w:pPr>
      <w:r>
        <w:rPr>
          <w:rFonts w:ascii="Times New Roman" w:cs="Times New Roman" w:eastAsia="Times New Roman" w:hAnsi="Times New Roman"/>
          <w:sz w:val="18"/>
          <w:szCs w:val="18"/>
          <w:color w:val="auto"/>
        </w:rPr>
        <w:t>Other fees: Fees payable to third party payers and healthcare providers, along with fees to our direct customers that are settled via cash payments, including certain patient assistance programs.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1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Company’s revenue may also at times consist of revenue from the Company’s strategic agreements for the development and commercialization of ensifentrine. The terms of the agreements may include non-refundable upfront fees, payments based upon achievement of milestones and eventually revenue from the commercialized product. These agreements usually have both fixed and variable consideration. Non-refundable upfront fees are considered fixed, while milestone payments and revenue from the commercialized product are identified as variable consideration.</w:t>
      </w:r>
    </w:p>
    <w:p>
      <w:pPr>
        <w:spacing w:after="0" w:line="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For arrangements with licenses of intellectual property that include sales-based royalties, including milestone payments based on the level of sales, and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 If the right to the Company’s intellectual property is determined to be distinct from the other performance obligations identified in the arrangement, the Company recognizes revenue from non-refundable, upfront fees allocated to the right when the right is transferred to the customer, and the customer can use and benefit from the right.</w:t>
      </w:r>
    </w:p>
    <w:p>
      <w:pPr>
        <w:spacing w:after="0" w:line="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At the inception of the arrangement, the Company evaluates whether the development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such as approvals from regulators, are not considered probable of being achieved until those approvals are received.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not yet adopted</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December 2023, the FASB issued ASU No. 2023-09, Improvements to Income Tax Disclosures, which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The amendments in this ASU are effective for annual periods beginning on December 15, 2024, and should be applied on a prospective basis with the option to apply the standard retrospectively. Early adoption is permitted. This ASU will have no impact on the Company's Consolidated Balance Sheets or Consolidated Statements of Operations and Comprehensive Loss. The Company is currently evaluating the impact to its income tax disclosures.</w:t>
      </w:r>
    </w:p>
    <w:p>
      <w:pPr>
        <w:spacing w:after="0" w:line="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 November 2023, the FASB issued ASU No. 2023-07, Improvements to Reportable Segment Disclosures, which improves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purpose of the amendments is to enable investors to better understand an entity's overall performance and assess potential future cash flows. The amendments in this ASU are effective for annual periods beginning on December 15, 2023 and interim periods beginning on December 15, 2024 and should be applied on a retrospective basis for all periods presented. This ASU will have no impact on the Company's Consolidated Balance Sheets or Consolidated Statements of Operations and Comprehensive Loss. The Company is currently evaluating the impact to its segment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Equity interest</w:t>
      </w:r>
    </w:p>
    <w:p>
      <w:pPr>
        <w:spacing w:after="0" w:line="2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 entered into a collaboration and license agreement (the “Nuance Agreement”) with Nuance Pharma Limited (“Nuance Pharma”) effective June 9, 2021 (the “Effective Date”), under which the Company granted Nuance Pharma the exclusive rights to develop and commercialize ensifentrine in Greater China (China, Taiwan, Hong Kong and Macau). In return, the Company received an unconditional right to consideration aggregating $40.0 million consisting of $25.0 million in cash and an equity interest, valued at $15.0 million as of the Effective Date, in Nuance Biotech, the parent company of Nuance Pharma.</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equity interest is recorded at cost as the Company has elected to use the measurement alternative for equity investments without readily determinable fair values. The Company evaluates this investment for indicators of impairment quarterly. The Company did not identify events or changes in circumstances that may have a significant effect on the fair value of the investment during the nine months ended September 30,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Accrued expenses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2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37"/>
        </w:trPr>
        <w:tc>
          <w:tcPr>
            <w:tcW w:w="83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6"/>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3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trial and other development costs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 and general corporate costs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People related costs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accrued expenses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Ligand license agreement obligations</w:t>
      </w:r>
    </w:p>
    <w:p>
      <w:pPr>
        <w:spacing w:after="0" w:line="21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 2006, the Company acquired Rhinopharma and assumed contingent liabilities owed to Ligand UK Development Limited (“Ligand”) (formerly Vernalis Development Limited). The Company refers to the assignment and license agreement as the Ligand Agreement.</w:t>
      </w:r>
    </w:p>
    <w:p>
      <w:pPr>
        <w:spacing w:after="0" w:line="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Ligand assigned to the Company all of its rights to certain patents and patent applications relating to ensifentrine and related compounds (the “Ligand Patents”) and an exclusive, worldwide, royalty-bearing license under certain Ligand know-how to develop, manufacture and commercialize products (the “Ligand Licensed Products”) developed using Ligand Patents, Ligand know-how and the physical stock of certain compounds.</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contingent liability assumed included a milestone payment on obtaining the first approval of any regulatory authority for the commercialization of a Ligand Licensed Product, low single digit royalties based on the future sales performance of all Ligand Licensed Products and a portion equal to a mid-twenty percent of any consideration received from any sub-licensees for the Ligand Patents and for Ligand know-how.</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time of the acquisition the contingent liability was not recognized as part of the acquisition accounting as it was immaterial.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FDA approval of Ohtuvayre on June 26, 2024, the Company has recognized the following in the nine months ended September 30, 2024:</w:t>
      </w:r>
    </w:p>
    <w:p>
      <w:pPr>
        <w:spacing w:after="0" w:line="104"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million in research and development costs related to a milestone payment for first regulatory approval of ensifentrine; and</w:t>
      </w:r>
    </w:p>
    <w:p>
      <w:pPr>
        <w:spacing w:after="0" w:line="103"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million related to a milestone payment for first commercial sale of ensifentrine. The Company has classified this as selling, general and administrative expense as it relates to the resolution of the 2021 dispute with Ligand.</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is obligated to pay low single digit royalties based on the net sales of all Ligand Licensed Products and expenses all costs related to royalty amounts as a cost of sales within the income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Debt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Term Loan</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December 27, 2023 (the “2023 Effective Date”), Verona Pharma, Inc. entered into a term loan facility of up to $400.0 million (the “2023 Term Loan” or “Loan Agreement”), consisting of a term loan advance in an aggregate amount of $50.0 million funded on the 2023 Effective Date (the “Term A Loan”) and four additional term loan advances subject to certain terms and conditions. The 2023 Term Loan was repaid in full as of May 9, 2024. Verona Pharma, Inc. and the Company did not incur any penalties, but did incur a prepayment fee and final payment fee in the aggregate amount of $2.3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Term Loans</w:t>
      </w:r>
    </w:p>
    <w:p>
      <w:pPr>
        <w:spacing w:after="0" w:line="21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On May 9, 2024 (the “2024 Effective Date”), Verona Pharma, Inc. (the “Borrower”) entered into a term loan facility of up to $400.0 million (the “2024 Term Loans” or “2024 Loan Agreement”), consisting of a term loan advance in an aggregate amount of $55.0 million funded on the 2024 Effective Date (the “Tranche A Term Loan”) and four additional term loan advances subject to certain terms and conditions, as discussed below, in the amounts of $70.0 million (the “Tranche B Term Loan”), $75.0 million (the “Tranche C Term Loan”), $100.0 million (the “Tranche D Term Loan”) and $100.0 million (the “Tranche E Term Loan”) with each tranche issued subject to an original issue discount of 2.0%. The 2024 Loan Agreement was entered into with Oaktree Fund Administration, LLC, a Delaware limited liability company, as administrative agent (in such capacity, the “Agent”), and certain funds managed by each of Oaktree Capital Management, L.P. (“Oaktree”) and OCM Life Sciences Portfolio LP (“OMERS”) party thereto (collectively, the “2024 Lenders”). The net proceeds of the 2024 Term Loans will be used for general corporate and working capital purposes and a portion of the proceeds from the Tranche A Term Loan was used by the Borrower on the 2024 Effective Date to repay, in full, the existing outstanding indebtedness owed under the 2023 Term Loan.</w:t>
      </w:r>
    </w:p>
    <w:p>
      <w:pPr>
        <w:spacing w:after="0" w:line="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Tranche B Term Loan was available, subject to customary terms and conditions, during the period commencing on the date the Company received approval from the FDA for its new drug application for ensifentrine through and including the earliest of (i) the date that is 30 days immediately following the date the Company receives such approval and (ii) September 30, 2024. The Tranche C Term Loan will be available, subject to customary terms and conditions (including the prior borrowing of the Tranche B Term Loan), during the period commencing on the first business day following the achievement of a specified net sales milestone for ensifentrine and ending on December 31, 2025. The Tranche D Term Loan will be available, subject to customary terms and conditions (including the prior borrowing of the Tranche C Term Loan), during the period commencing on the first business day following the achievement of a specified net sales milestone for ensifentrine and ending on June 30, 2026. The Tranche E Term Loan will be available, subject to customary terms and conditions (including the prior borrowing of the Tranche D Term Loan) at the 2024 Lenders sole discretion and upon the Company’s request.</w:t>
      </w:r>
    </w:p>
    <w:p>
      <w:pPr>
        <w:spacing w:after="0" w:line="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 received $52.8 million in net proceeds at closing of the 2024 Loan Agreement and draw of the Tranche A Term Loan, which consisted of the Tranche A Term Loan face value of $55.0 million less the original issue discount of $1.1 million and lender and third-party fees related to the 2024 Loan Agreement and RIPSA, as defined and discussed below, of $1.1 million. $52.4 million of the net cash proceeds from the Tranche A Term Loan were used for the repayment in full of the existing outstanding indebtedness owed by the Company under the 2023 Term Loan of $52.3 million and interest amounts related to the 2023 Term Loan of $0.1 million.</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28, 2024, the Company received $68.6 million in net proceeds related to the Tranche B Term Loan, which was available upon FDA approval for Ohtuvayre. The amount received consisted of the Tranche B Term Loan face value of $70.0 million less the original issue discount of $1.4 million.</w:t>
      </w:r>
    </w:p>
    <w:p>
      <w:pPr>
        <w:spacing w:after="0" w:line="5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2024 Term Loans will mature on May 9, 2029 and each advance under the 2024 Loan Agreement accrues interest at a fixed per annum rate of 11.00%. The 2024 Loan Agreement provides for interest-only payments on a quarterly basis until maturity. Upon repayment (whether at maturity, upon acceleration or by prepayment or otherwise), the Borrower shall pay an exit fee to the 2024 Lenders in the amount of 2.50% of the aggregate principal amount of the 2024 Term Loans to be paid (the “Exit Fee”). The Borrower may prepay the 2024 Term Loans in full or in part provided that the Borrower (i) provides at least two (2) business days’ prior written notice to the Agent, (ii) pays on the date of such prepayment (A) all outstanding principal to be prepaid plus accrued and unpaid interest, (B) a prepayment fee of 7.00% of the 2024 Term Loans so prepaid if paid on or before the first anniversary of the 2024 Effective Date; 5.00% of the 2024 Term Loans so prepaid if paid after the first anniversary of the 2024 Effective Date and on or before the second anniversary of the 2024 Effective Date; 2.00% of the 2024 Term Loans so prepaid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if paid after the second anniversary of the 2024 Effective Date and on or before the third anniversary of the 2024 Effective Date or 1.00% of the 2024 Term Loans so prepaid if paid after the third anniversary of the 2024 Effective Date and on or before the fourth anniversary of the 2024 Effective Date, (C) the Exit Fee and (D) all other sums, if any, that shall become due and payable under the 2024 Loan Agreement, including interest at the default rate with respect to any past due amounts. Amounts outstanding during an event of default are due upon the Majority Lenders’ (as defined in the 2024 Loan Agreement) demand (except during a payment or bankruptcy event of default, whereupon such default interest is automatically imposed) and shall accrue interest at an additional rate of 2.00% per annum, which interest shall be payable on demand in cash and (iii) any partial prepayment of the 2024 Term Loans shall be an aggregate amount at least equal to $5.0 million in a denomination that is a whole number multiple of $1.0 million in excess thereof.</w:t>
      </w:r>
    </w:p>
    <w:p>
      <w:pPr>
        <w:spacing w:after="0" w:line="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2024 Term Loans are secured by a lien on substantially all of the assets of the Borrower and the Company, including intellectual property, subject to customary exclusions and exceptions.</w:t>
      </w:r>
    </w:p>
    <w:p>
      <w:pPr>
        <w:spacing w:after="0" w:line="6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2024 Loan Agreement contains customary representations and warranties, covenants and events of default, including two financial covenants: (i) commencing on the 2024 Effective Date, the Borrower is required to maintain certain levels of cash, and, after the Account Control Agreement Completion Date (as defined in the Loan Agreement) subject to control agreements in favor of the Agent, and (ii) commencing on the fiscal quarter of Company ending on September 30, 2025, the Borrower and the Company are required to maintain quarterly trailing twelve-month net sales from the sale of ensifentrine in the United States; provided that such revenue covenant will be waived at any time (x) the Borrower and the Company’s unrestricted cash balance subject to control agreements in favor of the Agent on the last business day of the applicable fiscal quarter is equal to or greater than the product of 1.25 multiplied by the aggregate principal amount of outstanding 2024 Term Loans on such date or (y) the average daily closing price of the Company’s American Depositary Shares for each of the thirty (30) trading days preceding the last trading day of such fiscal quarter multiplied by the total number of issued and outstanding American Depositary Shares of the Company is at least $1.0 billion. The 2024 Loan Agreement also contains other customary provisions, such as expense reimbursement, as well as indemnification rights for the benefit of the Agent and the 2024 Lenders.</w:t>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the effective interest rate was approximately 13% per annum and there was no material difference between the carrying value and the estimated fair value of the 2024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Interest Purchase and Sale Agreement</w:t>
      </w:r>
    </w:p>
    <w:p>
      <w:pPr>
        <w:spacing w:after="0" w:line="21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On May 9, 2024, the Company and Verona Pharma, Inc. (collectively the “Sellers”) entered into the RIPSA with Oaktree Fund Administration, LLC, a Delaware limited liability company, as administrative agent and certain funds managed by each of Oaktree and OMERS (collectively, the “Purchasers”). Under the terms of the RIPSA, in exchange for each of the Purchaser’s payment to the Sellers of a purchase price of $100 million, in the aggregate, upon approval of ensifentrine by the FDA by a specified date and subject to certain labeling conditions (the “Tranche A Purchase Price”), the Sellers agreed to a true sale of assigned interests to the Purchasers, including a right for the Purchasers to receive 6.50% on the global net sales of ensifentrine by the Sellers (the “Royalty Interest Payments”) and 5% on certain proceeds the Sellers receive from licensees engaged during the term of the RIPSA outside of the U.S. (the “Ex-U.S. Payments”). The Sellers will begin payment of the Royalty Interest Payments and Ex-U.S. Payments in the first fiscal quarter after receipt of the Tranche A Purchase Price. The Sellers will also have a right to receive an additional funding tranche equal to $150 million (the “Tranche B Purchase Price”) upon achievement of a specified net sales milestone in any trailing six-month period after receipt of the Tranche A Purchase Price and subject to certain terms and conditions. The Royalty Interest Payments and Ex-U.S. Payments will cease upon reaching a multiple of 1.75 times the amounts actually funded by the Purchasers. The RIPSA includes a buy-out option, which provides the Sellers with the right to settle all outstanding liabilities at any time by paying a buy-out amount under various terms and conditions. As of any date of determination, the aggregate amount of payments received by the Purchasers under the RIPSA, divided by the amount funded as of such date (the “MOIC”) equals 1.20x, if such date is on or before the one-year anniversary of the funding of the first tranche of the RIPSA, the MOIC equals 1.40x if such date is after the one-year anniversary of the Tranche A Funding Date and on or before the two-year anniversary of the Tranche A Funding Date, the MOIC equals 1.55x if such date is after the two-year anniversary of the Tranche A Funding Date and on or before the three-year anniversary of the Tranche A Funding Date, and the MOIC equals 1.75x if such date is after the three-year anniversary of the Tranche A Funding Date. The Purchasers have the right to terminate the RIPSA under certain conditions, including the Company’s insolvency, and the Company’s divestment of ensifentrine, in which case the Sellers must pay the Purchasers up to 1.75 times the amounts actually funded by the Purchasers as of such default determination date. Pursuant to a security agreement signed in connection with the RIPSA, the Sellers granted to the Purchasers a security interest in certain assets to secure obligations under the RIPSA.</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28, 2024, the Company received the Tranche A Purchase Price of $100.0 million.</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the effective interest rate was approximately 25% per annum and there was no material difference between the carrying value and the estimated fair value of the RIPSA.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Share-based compensation</w:t>
      </w:r>
    </w:p>
    <w:p>
      <w:pPr>
        <w:spacing w:after="0" w:line="21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following table shows the allocation of share-based compensation between research and development and selling, general and administrative costs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00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20" w:type="dxa"/>
            <w:vAlign w:val="bottom"/>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53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5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36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11,107</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14,443</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tables show the activity of each type of share-based compensation and are presented in ordinary shares. The Company’s ADSs that are listed on Nasdaq each represent eight ordinary shares.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options activity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w:t>
            </w:r>
          </w:p>
        </w:tc>
        <w:tc>
          <w:tcPr>
            <w:tcW w:w="0" w:type="dxa"/>
            <w:vAlign w:val="bottom"/>
          </w:tcPr>
          <w:p>
            <w:pPr>
              <w:spacing w:after="0"/>
              <w:rPr>
                <w:sz w:val="1"/>
                <w:szCs w:val="1"/>
                <w:color w:val="auto"/>
              </w:rPr>
            </w:pPr>
          </w:p>
        </w:tc>
      </w:tr>
      <w:tr>
        <w:trPr>
          <w:trHeight w:val="190"/>
        </w:trPr>
        <w:tc>
          <w:tcPr>
            <w:tcW w:w="984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0" w:type="dxa"/>
            <w:vAlign w:val="bottom"/>
          </w:tcPr>
          <w:p>
            <w:pPr>
              <w:spacing w:after="0"/>
              <w:rPr>
                <w:sz w:val="1"/>
                <w:szCs w:val="1"/>
                <w:color w:val="auto"/>
              </w:rPr>
            </w:pPr>
          </w:p>
        </w:tc>
      </w:tr>
      <w:tr>
        <w:trPr>
          <w:trHeight w:val="50"/>
        </w:trPr>
        <w:tc>
          <w:tcPr>
            <w:tcW w:w="984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24,689,624</w:t>
            </w:r>
          </w:p>
        </w:tc>
        <w:tc>
          <w:tcPr>
            <w:tcW w:w="0" w:type="dxa"/>
            <w:vAlign w:val="bottom"/>
          </w:tcPr>
          <w:p>
            <w:pPr>
              <w:spacing w:after="0"/>
              <w:rPr>
                <w:sz w:val="1"/>
                <w:szCs w:val="1"/>
                <w:color w:val="auto"/>
              </w:rPr>
            </w:pPr>
          </w:p>
        </w:tc>
      </w:tr>
      <w:tr>
        <w:trPr>
          <w:trHeight w:val="229"/>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2,432,000</w:t>
            </w:r>
          </w:p>
        </w:tc>
        <w:tc>
          <w:tcPr>
            <w:tcW w:w="0" w:type="dxa"/>
            <w:vAlign w:val="bottom"/>
          </w:tcPr>
          <w:p>
            <w:pPr>
              <w:spacing w:after="0"/>
              <w:rPr>
                <w:sz w:val="1"/>
                <w:szCs w:val="1"/>
                <w:color w:val="auto"/>
              </w:rPr>
            </w:pPr>
          </w:p>
        </w:tc>
      </w:tr>
      <w:tr>
        <w:trPr>
          <w:trHeight w:val="23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0" w:type="dxa"/>
            <w:vAlign w:val="bottom"/>
          </w:tcPr>
          <w:p>
            <w:pPr>
              <w:spacing w:after="0"/>
              <w:rPr>
                <w:sz w:val="1"/>
                <w:szCs w:val="1"/>
                <w:color w:val="auto"/>
              </w:rPr>
            </w:pPr>
          </w:p>
        </w:tc>
      </w:tr>
      <w:tr>
        <w:trPr>
          <w:trHeight w:val="229"/>
        </w:trPr>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(1,037,424)</w:t>
            </w:r>
          </w:p>
        </w:tc>
        <w:tc>
          <w:tcPr>
            <w:tcW w:w="0" w:type="dxa"/>
            <w:vAlign w:val="bottom"/>
          </w:tcPr>
          <w:p>
            <w:pPr>
              <w:spacing w:after="0"/>
              <w:rPr>
                <w:sz w:val="1"/>
                <w:szCs w:val="1"/>
                <w:color w:val="auto"/>
              </w:rPr>
            </w:pP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26,020,200</w:t>
            </w:r>
          </w:p>
        </w:tc>
        <w:tc>
          <w:tcPr>
            <w:tcW w:w="0" w:type="dxa"/>
            <w:vAlign w:val="bottom"/>
          </w:tcPr>
          <w:p>
            <w:pPr>
              <w:spacing w:after="0"/>
              <w:rPr>
                <w:sz w:val="1"/>
                <w:szCs w:val="1"/>
                <w:color w:val="auto"/>
              </w:rPr>
            </w:pPr>
          </w:p>
        </w:tc>
      </w:tr>
      <w:tr>
        <w:trPr>
          <w:trHeight w:val="20"/>
        </w:trPr>
        <w:tc>
          <w:tcPr>
            <w:tcW w:w="9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40" w:type="dxa"/>
            <w:vAlign w:val="bottom"/>
            <w:vMerge w:val="continue"/>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7,924,000</w:t>
            </w:r>
          </w:p>
        </w:tc>
        <w:tc>
          <w:tcPr>
            <w:tcW w:w="0" w:type="dxa"/>
            <w:vAlign w:val="bottom"/>
          </w:tcPr>
          <w:p>
            <w:pPr>
              <w:spacing w:after="0"/>
              <w:rPr>
                <w:sz w:val="1"/>
                <w:szCs w:val="1"/>
                <w:color w:val="auto"/>
              </w:rPr>
            </w:pPr>
          </w:p>
        </w:tc>
      </w:t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(72,000)</w:t>
            </w:r>
          </w:p>
        </w:tc>
        <w:tc>
          <w:tcPr>
            <w:tcW w:w="0" w:type="dxa"/>
            <w:vAlign w:val="bottom"/>
          </w:tcPr>
          <w:p>
            <w:pPr>
              <w:spacing w:after="0"/>
              <w:rPr>
                <w:sz w:val="1"/>
                <w:szCs w:val="1"/>
                <w:color w:val="auto"/>
              </w:rPr>
            </w:pPr>
          </w:p>
        </w:tc>
      </w:tr>
      <w:tr>
        <w:trPr>
          <w:trHeight w:val="230"/>
        </w:trPr>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0" w:type="dxa"/>
            <w:vAlign w:val="bottom"/>
          </w:tcPr>
          <w:p>
            <w:pPr>
              <w:spacing w:after="0"/>
              <w:rPr>
                <w:sz w:val="1"/>
                <w:szCs w:val="1"/>
                <w:color w:val="auto"/>
              </w:rPr>
            </w:pP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33,712,200</w:t>
            </w:r>
          </w:p>
        </w:tc>
        <w:tc>
          <w:tcPr>
            <w:tcW w:w="0" w:type="dxa"/>
            <w:vAlign w:val="bottom"/>
          </w:tcPr>
          <w:p>
            <w:pPr>
              <w:spacing w:after="0"/>
              <w:rPr>
                <w:sz w:val="1"/>
                <w:szCs w:val="1"/>
                <w:color w:val="auto"/>
              </w:rPr>
            </w:pPr>
          </w:p>
        </w:tc>
      </w:tr>
      <w:tr>
        <w:trPr>
          <w:trHeight w:val="20"/>
        </w:trPr>
        <w:tc>
          <w:tcPr>
            <w:tcW w:w="9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840" w:type="dxa"/>
            <w:vAlign w:val="bottom"/>
            <w:vMerge w:val="continue"/>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2,056,000</w:t>
            </w:r>
          </w:p>
        </w:tc>
        <w:tc>
          <w:tcPr>
            <w:tcW w:w="0" w:type="dxa"/>
            <w:vAlign w:val="bottom"/>
          </w:tcPr>
          <w:p>
            <w:pPr>
              <w:spacing w:after="0"/>
              <w:rPr>
                <w:sz w:val="1"/>
                <w:szCs w:val="1"/>
                <w:color w:val="auto"/>
              </w:rPr>
            </w:pPr>
          </w:p>
        </w:tc>
      </w:t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(107,632)</w:t>
            </w:r>
          </w:p>
        </w:tc>
        <w:tc>
          <w:tcPr>
            <w:tcW w:w="0" w:type="dxa"/>
            <w:vAlign w:val="bottom"/>
          </w:tcPr>
          <w:p>
            <w:pPr>
              <w:spacing w:after="0"/>
              <w:rPr>
                <w:sz w:val="1"/>
                <w:szCs w:val="1"/>
                <w:color w:val="auto"/>
              </w:rPr>
            </w:pPr>
          </w:p>
        </w:tc>
      </w:tr>
      <w:tr>
        <w:trPr>
          <w:trHeight w:val="230"/>
        </w:trPr>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(2,654,960)</w:t>
            </w:r>
          </w:p>
        </w:tc>
        <w:tc>
          <w:tcPr>
            <w:tcW w:w="0" w:type="dxa"/>
            <w:vAlign w:val="bottom"/>
          </w:tcPr>
          <w:p>
            <w:pPr>
              <w:spacing w:after="0"/>
              <w:rPr>
                <w:sz w:val="1"/>
                <w:szCs w:val="1"/>
                <w:color w:val="auto"/>
              </w:rPr>
            </w:pP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33,005,608</w:t>
            </w:r>
          </w:p>
        </w:tc>
        <w:tc>
          <w:tcPr>
            <w:tcW w:w="0" w:type="dxa"/>
            <w:vAlign w:val="bottom"/>
          </w:tcPr>
          <w:p>
            <w:pPr>
              <w:spacing w:after="0"/>
              <w:rPr>
                <w:sz w:val="1"/>
                <w:szCs w:val="1"/>
                <w:color w:val="auto"/>
              </w:rPr>
            </w:pPr>
          </w:p>
        </w:tc>
      </w:tr>
      <w:tr>
        <w:trPr>
          <w:trHeight w:val="20"/>
        </w:trPr>
        <w:tc>
          <w:tcPr>
            <w:tcW w:w="9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Restricted stock units (“RSU”) activity</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984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984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0" w:type="dxa"/>
            <w:vAlign w:val="bottom"/>
          </w:tcPr>
          <w:p>
            <w:pPr>
              <w:spacing w:after="0"/>
              <w:rPr>
                <w:sz w:val="1"/>
                <w:szCs w:val="1"/>
                <w:color w:val="auto"/>
              </w:rPr>
            </w:pPr>
          </w:p>
        </w:tc>
      </w:tr>
      <w:tr>
        <w:trPr>
          <w:trHeight w:val="190"/>
        </w:trPr>
        <w:tc>
          <w:tcPr>
            <w:tcW w:w="984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37"/>
        </w:trPr>
        <w:tc>
          <w:tcPr>
            <w:tcW w:w="984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19,502,624</w:t>
            </w:r>
          </w:p>
        </w:tc>
        <w:tc>
          <w:tcPr>
            <w:tcW w:w="0" w:type="dxa"/>
            <w:vAlign w:val="bottom"/>
          </w:tcPr>
          <w:p>
            <w:pPr>
              <w:spacing w:after="0"/>
              <w:rPr>
                <w:sz w:val="1"/>
                <w:szCs w:val="1"/>
                <w:color w:val="auto"/>
              </w:rPr>
            </w:pPr>
          </w:p>
        </w:tc>
      </w:tr>
      <w:tr>
        <w:trPr>
          <w:trHeight w:val="230"/>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0" w:type="dxa"/>
            <w:vAlign w:val="bottom"/>
          </w:tcPr>
          <w:p>
            <w:pPr>
              <w:spacing w:after="0"/>
              <w:rPr>
                <w:sz w:val="1"/>
                <w:szCs w:val="1"/>
                <w:color w:val="auto"/>
              </w:rPr>
            </w:pPr>
          </w:p>
        </w:tc>
      </w:tr>
      <w:tr>
        <w:trPr>
          <w:trHeight w:val="23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(4,357,208)</w:t>
            </w:r>
          </w:p>
        </w:tc>
        <w:tc>
          <w:tcPr>
            <w:tcW w:w="0" w:type="dxa"/>
            <w:vAlign w:val="bottom"/>
          </w:tcPr>
          <w:p>
            <w:pPr>
              <w:spacing w:after="0"/>
              <w:rPr>
                <w:sz w:val="1"/>
                <w:szCs w:val="1"/>
                <w:color w:val="auto"/>
              </w:rPr>
            </w:pPr>
          </w:p>
        </w:tc>
      </w:tr>
      <w:tr>
        <w:trPr>
          <w:trHeight w:val="196"/>
        </w:trPr>
        <w:tc>
          <w:tcPr>
            <w:tcW w:w="98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15,143,664</w:t>
            </w:r>
          </w:p>
        </w:tc>
        <w:tc>
          <w:tcPr>
            <w:tcW w:w="0" w:type="dxa"/>
            <w:vAlign w:val="bottom"/>
          </w:tcPr>
          <w:p>
            <w:pPr>
              <w:spacing w:after="0"/>
              <w:rPr>
                <w:sz w:val="1"/>
                <w:szCs w:val="1"/>
                <w:color w:val="auto"/>
              </w:rPr>
            </w:pPr>
          </w:p>
        </w:tc>
      </w:tr>
      <w:tr>
        <w:trPr>
          <w:trHeight w:val="20"/>
        </w:trPr>
        <w:tc>
          <w:tcPr>
            <w:tcW w:w="98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(2,045,384)</w:t>
            </w:r>
          </w:p>
        </w:tc>
        <w:tc>
          <w:tcPr>
            <w:tcW w:w="0" w:type="dxa"/>
            <w:vAlign w:val="bottom"/>
          </w:tcPr>
          <w:p>
            <w:pPr>
              <w:spacing w:after="0"/>
              <w:rPr>
                <w:sz w:val="1"/>
                <w:szCs w:val="1"/>
                <w:color w:val="auto"/>
              </w:rPr>
            </w:pPr>
          </w:p>
        </w:tc>
      </w:tr>
      <w:tr>
        <w:trPr>
          <w:trHeight w:val="196"/>
        </w:trPr>
        <w:tc>
          <w:tcPr>
            <w:tcW w:w="98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13,098,280</w:t>
            </w:r>
          </w:p>
        </w:tc>
        <w:tc>
          <w:tcPr>
            <w:tcW w:w="0" w:type="dxa"/>
            <w:vAlign w:val="bottom"/>
          </w:tcPr>
          <w:p>
            <w:pPr>
              <w:spacing w:after="0"/>
              <w:rPr>
                <w:sz w:val="1"/>
                <w:szCs w:val="1"/>
                <w:color w:val="auto"/>
              </w:rPr>
            </w:pPr>
          </w:p>
        </w:tc>
      </w:tr>
      <w:tr>
        <w:trPr>
          <w:trHeight w:val="20"/>
        </w:trPr>
        <w:tc>
          <w:tcPr>
            <w:tcW w:w="98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(566,824)</w:t>
            </w:r>
          </w:p>
        </w:tc>
        <w:tc>
          <w:tcPr>
            <w:tcW w:w="0" w:type="dxa"/>
            <w:vAlign w:val="bottom"/>
          </w:tcPr>
          <w:p>
            <w:pPr>
              <w:spacing w:after="0"/>
              <w:rPr>
                <w:sz w:val="1"/>
                <w:szCs w:val="1"/>
                <w:color w:val="auto"/>
              </w:rPr>
            </w:pPr>
          </w:p>
        </w:tc>
      </w:tr>
      <w:tr>
        <w:trPr>
          <w:trHeight w:val="230"/>
        </w:trPr>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(2,045,376)</w:t>
            </w:r>
          </w:p>
        </w:tc>
        <w:tc>
          <w:tcPr>
            <w:tcW w:w="0" w:type="dxa"/>
            <w:vAlign w:val="bottom"/>
          </w:tcPr>
          <w:p>
            <w:pPr>
              <w:spacing w:after="0"/>
              <w:rPr>
                <w:sz w:val="1"/>
                <w:szCs w:val="1"/>
                <w:color w:val="auto"/>
              </w:rPr>
            </w:pP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10,486,080</w:t>
            </w:r>
          </w:p>
        </w:tc>
        <w:tc>
          <w:tcPr>
            <w:tcW w:w="0" w:type="dxa"/>
            <w:vAlign w:val="bottom"/>
          </w:tcPr>
          <w:p>
            <w:pPr>
              <w:spacing w:after="0"/>
              <w:rPr>
                <w:sz w:val="1"/>
                <w:szCs w:val="1"/>
                <w:color w:val="auto"/>
              </w:rPr>
            </w:pP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 (“PRSU”) activity</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PRSUs will begin to vest upon achievement of certain performance conditions and are subject to continued service. The fair value of PRSUs will be recognized over the remaining service period using the graded-vesting method once the performance conditions are determined to be probable of occurring. As of June 30, 2024, the performance conditions were assessed by the Company and considered probable of being met under the applicable accounting framework, and accordingly the Company recognized $2.2 million and $12.1 million in share-based compensation expense related to the PRSUs in the three and nine months ended September 30, 2024. The total compensation cost not yet recognized as of September 30, 2024 related to PRSUs was $5.0 million, which will be recognized over a weighted-average period of approximately one year.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PRSU activity for the period ended September 30, 2024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840" w:type="dxa"/>
            <w:vAlign w:val="bottom"/>
          </w:tcPr>
          <w:p>
            <w:pPr>
              <w:spacing w:after="0"/>
              <w:rPr>
                <w:sz w:val="15"/>
                <w:szCs w:val="15"/>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Number of PRSUs</w:t>
            </w:r>
          </w:p>
        </w:tc>
      </w:tr>
      <w:tr>
        <w:trPr>
          <w:trHeight w:val="190"/>
        </w:trPr>
        <w:tc>
          <w:tcPr>
            <w:tcW w:w="9840" w:type="dxa"/>
            <w:vAlign w:val="bottom"/>
          </w:tcPr>
          <w:p>
            <w:pPr>
              <w:spacing w:after="0"/>
              <w:rPr>
                <w:sz w:val="16"/>
                <w:szCs w:val="16"/>
                <w:color w:val="auto"/>
              </w:rPr>
            </w:pPr>
          </w:p>
        </w:tc>
        <w:tc>
          <w:tcPr>
            <w:tcW w:w="14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37"/>
        </w:trPr>
        <w:tc>
          <w:tcPr>
            <w:tcW w:w="984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23"/>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10,730,144</w:t>
            </w:r>
          </w:p>
        </w:tc>
      </w:tr>
      <w:tr>
        <w:trPr>
          <w:trHeight w:val="230"/>
        </w:trPr>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(5,248)</w:t>
            </w:r>
          </w:p>
        </w:tc>
      </w:tr>
      <w:tr>
        <w:trPr>
          <w:trHeight w:val="223"/>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10,724,896</w:t>
            </w:r>
          </w:p>
        </w:tc>
      </w:tr>
      <w:tr>
        <w:trPr>
          <w:trHeight w:val="223"/>
        </w:trPr>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10,724,896</w:t>
            </w:r>
          </w:p>
        </w:tc>
      </w:tr>
      <w:tr>
        <w:trPr>
          <w:trHeight w:val="223"/>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(420,864)</w:t>
            </w:r>
          </w:p>
        </w:tc>
      </w:tr>
      <w:tr>
        <w:trPr>
          <w:trHeight w:val="230"/>
        </w:trPr>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(3,569,696)</w:t>
            </w: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6,734,336</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Net loss per share</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Net loss per share is calculated on an ordinary share basis. The Company’s ADSs that are listed on Nasdaq each represent eight ordinary shares. The following table shows the computation of basic and diluted net loss per share for the three and nine months ended September 30, 2024 and 2023 (in thousands except per share amounts):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20" w:type="dxa"/>
            <w:vAlign w:val="bottom"/>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55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5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5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0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(139,591)</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(40,237)</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 and diluted</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651,944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638,239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648,633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631,448</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and 2023, outstanding share options, RSUs and PRSUs over 50.2 million and 45.9 million ordinary shares, respectively, were not included in the computation of diluted earnings per ordinary share, because to do so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line="2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as well as our audited consolidated financial statements and related notes as disclosed in our Annual Report on Form 10-K for the year ended December 31, 2023 filed with the Securities and Exchange Commission on February 29, 2024 (the “2023 Form 10-K”).</w:t>
      </w:r>
    </w:p>
    <w:p>
      <w:pPr>
        <w:spacing w:after="0" w:line="6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In addition to historical information, this Quarterly Report on Form 10-Q contains statements that constitute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w:t>
      </w:r>
    </w:p>
    <w:p>
      <w:pPr>
        <w:spacing w:after="0" w:line="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i w:val="1"/>
          <w:iCs w:val="1"/>
          <w:color w:val="auto"/>
        </w:rPr>
        <w:t>All statements other than statements of historical facts contained in this Quarterly Report on Form 10-Q, including without limitation statements regarding our future results of operations and financial position, business strategy and plans and objectives of management for future operations, the commercialization of Ohtuvayre and the increased costs related thereto, the development of our product candidates, including statements regarding the expected initiation, timing, progress and availability of data from our clinical trials, including our recently initiated Phase 2 clinical trials, and potential regulatory approvals, research and development costs, timing and likelihood of success, potential collaborations, the duration of our patent portfolio, our estimates regarding expenses, future revenues, capital requirements, debt service obligations and our need for additional financing, the funding we expect to become available under our various financing agreements and from cash receipts from U.K. tax credits, and the sufficiency of our cash and cash equivalents to fund operations, are forward-looking statements.</w:t>
      </w:r>
    </w:p>
    <w:p>
      <w:pPr>
        <w:spacing w:after="0" w:line="6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i w:val="1"/>
          <w:iCs w:val="1"/>
          <w:color w:val="auto"/>
        </w:rPr>
        <w:t>The forward-looking statements in this Quarterly Report on Form 10-Q are only predictions and are based largely on our management’s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assumptions, and other important factors including, but not limited to, those set forth under Part II, Item 1A of this Quarterly Report on Form 10-Q under the heading “Risk Factors” and Part I, Item 1A of the 2023 Form 10-K under the heading “Risk Factors”. Because forward-looking statements are inherently subject to risks and uncertainties, some of which cannot be predicted or quantified and some of which are beyond our control, you should not rely on these forward-looking statements as predictions of future events.</w:t>
      </w:r>
    </w:p>
    <w:p>
      <w:pPr>
        <w:spacing w:after="0" w:line="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Except as required by applicable law, we do not plan to publicly update or revise any forward-looking statements contained herein, whether as a result of any new information, future events, changed circumstances or otherwise. We intend the forward-looking statements contained in this Quarterly Report on Form 10-Q to be covered by the safe harbor provisions for forward-looking statements contained in Section 27A of the Securities Act and Section 21E of the Securities Exchange Act of 1934, as amended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a biopharmaceutical company focused on developing and commercializing innovative therapeutics for the treatment of respiratory diseases with significant unmet medical needs. Our product candidate, ensifentrine, is a novel, inhaled, selective, small molecule and dual inhibitor of the enzymes phosphodiesterase 3 and 4 (“PDE3” and “PDE4”), combining bronchodilator and non-steroidal anti-inflammatory activities in one molecule.</w:t>
      </w:r>
    </w:p>
    <w:p>
      <w:pPr>
        <w:spacing w:after="0" w:line="7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June 26, 2024, the FDA approved Ohtuvayre (ensifentrine) for the maintenance treatment of chronic obstructive pulmonary disease (“COPD”) in adult patients. Ohtuvayre is our first commercial product and the first inhaled therapy with a novel mechanism of action available for the maintenance treatment of COPD in more than 20 years. We believe Ohtuvayre is an important advancement in the treatment of COPD and will redefine the treatment paradigm for COPD.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launched Ohtuvayre in the U.S. through an exclusive network of accredited specialty pharmacies in August 2024.</w:t>
      </w:r>
    </w:p>
    <w:p>
      <w:pPr>
        <w:spacing w:after="0" w:line="1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approval of Ohtuvayre in the United States (“U.S.”) was based on extensive data including the Phase 3 ENHANCE (“Ensifentrine as a Novel inHAled Nebulized COPD thErapy”) trials, the results of which were published in the American Journal of Respiratory and Critical Care Medicine. Ensifentrine met the primary endpoint in both the ENHANCE-1 and ENHANCE-2 trials demonstrating statistically significant and clinically meaningful improvements in measures of lung function. In addition, other endpoint data demonstrated that ensifentrine substantially reduced the rate and risk of COPD exacerbations in ENHANCE-1 and ENHANCE-2. Ensifentrine was well tolerated in both trials.</w:t>
      </w:r>
    </w:p>
    <w:p>
      <w:pPr>
        <w:spacing w:after="0" w:line="6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are commercializing Ohtuvayre for the maintenance treatment of COPD in the U.S. Ohtuvayre is not considered a drug device combination because patients use a readily available standard jet nebulizer to take Ohtuvayre. Outside the U.S., we intend to license Ohtuvayre to companies with expertise and experience in developing and commercializing products in those regions. To that end, we have entered into a strategic collaboration with Nuance Pharma Limited, a Shanghai-based specialty pharmaceutical company (“Nuance Pharma”), to develop and commercialize ensifentrine, including Ohtuvayre, in Greater China.</w:t>
      </w:r>
    </w:p>
    <w:p>
      <w:pPr>
        <w:spacing w:after="0" w:line="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Phase 2 clinical trials, ensifentrine has demonstrated positive results in patients with COPD, asthma and cystic fibrosis (“CF”). Two additional formulations of ensifentrine have been evaluated in Phase 2 trials for the treatment of COPD: dry powder inhaler (“DPI”) and pressurized metered-dose inhaler (“pMDI”).</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in the third quarter of 2024, we initiated two Phase 2 clinical trials:</w:t>
      </w:r>
    </w:p>
    <w:p>
      <w:pPr>
        <w:spacing w:after="0" w:line="104" w:lineRule="exact"/>
        <w:rPr>
          <w:sz w:val="20"/>
          <w:szCs w:val="20"/>
          <w:color w:val="auto"/>
        </w:rPr>
      </w:pPr>
    </w:p>
    <w:p>
      <w:pPr>
        <w:ind w:left="340" w:hanging="332"/>
        <w:spacing w:after="0" w:line="266"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dose-ranging trial with a glycopyrrolate, a Long-Acting Muscarinic Antagonist (“LAMA”), supporting a fixed-dose combination program with ensifentrine for the maintenance treatment of COPD, and</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assessing the efficacy and safety of nebulized ensifentrine in patients with non-cystic fibrosis bronchiectasis (“NCFBE”).</w:t>
      </w:r>
    </w:p>
    <w:p>
      <w:pPr>
        <w:spacing w:after="0" w:line="1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incurred recurring losses and negative cash flows from operations since inception, and have an accumulated deficit of $528.5 million as of September 30, 2024. We expect to incur additional losses and negative cash flows from operations until our product or product candidates potentially reach commercial profitability, if at all.</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significant expenses in connection with our ongoing activities, if and as we:</w:t>
      </w:r>
    </w:p>
    <w:p>
      <w:pPr>
        <w:spacing w:after="0" w:line="104" w:lineRule="exact"/>
        <w:rPr>
          <w:sz w:val="20"/>
          <w:szCs w:val="20"/>
          <w:color w:val="auto"/>
        </w:rPr>
      </w:pPr>
    </w:p>
    <w:p>
      <w:pPr>
        <w:jc w:val="both"/>
        <w:ind w:left="340" w:right="20" w:hanging="332"/>
        <w:spacing w:after="0" w:line="242"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 sales, marketing and distribution infrastructure, continue to increase production to commercial scale with our manufacturing and other Chemistry, Manufacturing and Controls activities to commercialize Ohtuvayre as well as any additional products for which we may obtain regulatory approval;</w:t>
      </w:r>
    </w:p>
    <w:p>
      <w:pPr>
        <w:spacing w:after="0" w:line="75"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clinical development of a fixed-dose combination of ensifentrine and a LAMA as well as our DPI and pMDI formulations of ensifentrine and research and development of other formulations of ensifentrine;</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further clinical trials for ensifentrine for the treatment of NCFBE, acute COPD, CF or any other indication;</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progress pre-clinical studies relating to other potential indications of ensifentrine;</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of our product candidates that successfully complete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80"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03"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clinical, scientific, operational, financial and management information systems and personnel, including personnel to support our product development and commercialization efforts and to support our continuing operations as a U.S. public company; and</w:t>
      </w:r>
    </w:p>
    <w:p>
      <w:pPr>
        <w:spacing w:after="0" w:line="68"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from any of the above, including but not limited to failed studies, complex results, safety issues or other regulatory challenges.</w:t>
      </w:r>
    </w:p>
    <w:p>
      <w:pPr>
        <w:spacing w:after="0" w:line="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May 9, 2024, we entered into a term loan facility (the “2024 Term Loans”) of up to $400.0 million with Oaktree Fund Administration, LLC, a Delaware limited liability company, as administrative agent, and certain funds managed by each of Oaktree Capital Management, L.P. and OCM Life Sciences Portfolio LP party thereto (collectively, the “2024 Lenders”). At closing, we received net proceeds of $52.8 million and up to four additional advances of an aggregate $345.0 million were available subject to meeting certain commercial milestones and other specified conditions. On June 28, 2024, we received net proceeds of $68.6 million related to the second tranche of the 2024 Term Loans, which was available upon FDA approval for Ohtuvayre, as well as proceeds from the $100.0 million first tranche of our revenue interest purchase and sale agreement (the “RIPSA”). Refer to Note 6 - Debt in our unaudited condensed consolidated financial statements and related notes included elsewhere in this Quarterly Report on Form 10-Q for additional information regarding the 2024 Term Loans and the RIPSA.</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believe that our cash and cash equivalents as of September 30, 2024, our product sales and funding expected to become available under the 2024 Term Loans and the RIPSA will enable us to fund our planned operating expenses and capital expenditure requirements through at least the end of 2026. The remaining advances under the 2024 Term Loans and the RIPSA are contingent upon the achievement of commercial milestones and other specified conditions, and in the case of the Tranche E Term Loan under the 2024 Term Loans, at the sole discretion of the 2024 Lenders. No additional advances are available under the 2023 Term Loan following our termination and repayment in full of the 2023 Term Loan on May 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update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3 ENHANCE program</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U.S. approval of Ohtuvayre was based on extensive data including the Phase 3 ENHANCE trials, the results of which were published in the American Journal of Respiratory and Critical Care Medicine.</w:t>
      </w:r>
    </w:p>
    <w:p>
      <w:pPr>
        <w:spacing w:after="0" w:line="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reported positive top-line results from ENHANCE-2 and ENHANCE-1 in August and December 2022, respectively. Ohtuvayre successfully met the primary endpoints in both trials, demonstrating statistically significant and clinically meaningful improvements in measures of lung function in moderate to severe COPD patients. Improvements in symptoms and quality of life measures were shown in both trials, which reached statistical significance in ENHANCE-1. Other endpoint data showed Ohtuvayre substantially reduced the rate and risk of moderate to severe COPD exacerbations and was well tolerated in both trials.</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ENHANCE trials were designed to evaluate Ohtuvayre as monotherapy and added onto a single bronchodilator. Each trial enrolled approximately 800 subjects, for a total of approximately 1,600 subjects, at sites primarily in the U.S. and Europe. The two trials provided replicate evidence of efficacy and safety data over 24 weeks and ENHANCE-1 also evaluated longer-term safety in approximately 400 subjects over 48 weeks.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demographics and disease characteristics were well balanced between treatment groups in both trials.</w:t>
      </w:r>
    </w:p>
    <w:p>
      <w:pPr>
        <w:spacing w:after="0" w:line="104" w:lineRule="exact"/>
        <w:rPr>
          <w:sz w:val="20"/>
          <w:szCs w:val="20"/>
          <w:color w:val="auto"/>
        </w:rPr>
      </w:pPr>
    </w:p>
    <w:p>
      <w:pPr>
        <w:ind w:left="340" w:hanging="332"/>
        <w:spacing w:after="0" w:line="266"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ENHANCE-1 approximately 69% of subjects received background COPD therapy, either a LAMA or a long-acting beta-antagonist (“LABA”). Additionally, approximately 20% of all subjects received inhaled corticosteroids (“ICS”) with concomitant LAMA or LABA.</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ENHANCE-2 approximately 55% of subjects received background COPD therapy, either a LAMA or a LABA. Additionally, approximately 15% of all subjects received ICS with concomitant LAMA or LABA.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277495</wp:posOffset>
            </wp:positionV>
            <wp:extent cx="6583680" cy="3549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83680" cy="354901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3" w:name="page24"/>
    <w:bookmarkEnd w:id="23"/>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Activities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Ensifentrine / Long-Acting Muscarinic Antagonist fixed-dose combination</w:t>
      </w:r>
    </w:p>
    <w:p>
      <w:pPr>
        <w:spacing w:after="0" w:line="9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Fixed-dose combination therapies such as LABA / LAMA, LABA / ICS and LABA / LAMA / ICS are commonly used in the treatment of COPD and, based on our market research, an unmet need exists for a nebulized fixed-dose combination therapy. We believe the combination of ensifentrine with a LAMA could provide COPD patients with the first nebulized fixed-dosed combination with the potential to provide bronchodilation through a dual mechanism and also non-steroidal anti-inflammatory effects via PDE inhibition.</w:t>
      </w:r>
    </w:p>
    <w:p>
      <w:pPr>
        <w:spacing w:after="0" w:line="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developing a fixed-dose combination formulation with ensifentrine and glycopyrrolate, a LAMA, for the maintenance treatment of patients with COPD via delivery in a nebulizer. We have filed patent applications in multiple jurisdictions including the U.S. In the third quarter of 2024, we initiated a Phase 2 dose-ranging trial.</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Non-cystic fibrosis bronchiectasis</w:t>
      </w:r>
    </w:p>
    <w:p>
      <w:pPr>
        <w:spacing w:after="0" w:line="106"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NCFBE is a chronic lung disease characterized by persistent cough, excess sputum production and frequent respiratory infections with more severe patients suffering exacerbations. The condition affects up to 500,000 adults in the U.S. and no therapies are specifically approved to treat it. Physicians currently use bronchodilators, antibiotics, steroids, mucus thinners and surgery.</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Based on the clinical results of ensifentrine observed in patients with COPD, including improvements in lung function and symptoms of cough and sputum, we believe that ensifentrine could potentially be an effective treatment for NCFBE. In the third quarter of 2024, we commenced a Phase 2 clinical trial to assess the efficacy and safety of nebulized ensifentrine in patients with NCFBE.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Nuance Pharma</w:t>
      </w:r>
    </w:p>
    <w:p>
      <w:pPr>
        <w:spacing w:after="0" w:line="2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2021, we entered into an agreement with Nuance Pharma for exclusive rights to develop and commercialize ensifentrine in Greater China, with future potential milestone payments up to $179 million plus royalties. In August 2022, Nuance Pharma received clearance from the Center of Drug Evaluation for its IND application to conduct both Phase 1 and Phase 3 studies with ensifentrine for the maintenance treatment of COPD in mainland China. Nuance Pharma initiated a Phase 1 trial with ensifentrine in healthy volunteers in March 2023. In April 2023, Nuance Pharma dosed the first subject in its pivotal Phase 3 clinical trial evaluating ensifentrine for the maintenance treatment of COPD in mainland China and, in September 2024, the Company reported that enrollment had completed. Results from the trial are expected in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1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Other than as described below, there were no material changes to the Company’s critical accounting estimates described in the Company’s 2023 Form 10-K during the nine months ended September 30,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0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generate revenue from the sale of Ohtuvayre. Revenue is recognized when we transfer control of Ohtuvayre to the specialty pharmacies, our customers, as our contracts have a single performance obligation which is the delivery of Ohtuvayre. These product sales are subject to various gross-to-net adjustments, which are deducted from our product sales to determine net product sales. For a description of our related accounting policies, see Note 2 - Basis of presentation and summary of significant accounting policies in our unaudited condensed consolidated financial statements included elsewhere in this Quarterly Report on Form 10-Q.</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Gross-to-net adjustments</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Product sales are recorded at the estimated net sales price, which includes estimates of variable consideration for which reserves are established. Components of variable consideration include rebates and chargebacks, product returns and other allowances that are offered within contracts with our customer, payors, and other indirect customers relating to the sale of our product. These reserves are based on the amounts earned, or to be claimed on the related sales, and are classified as reductions of accounts receivable (if the amount is payable to the customer) or a current liability (if the amount is payable to a party other than a customer). These estimates take into consideration a range of possible outcomes which are probability-weighted in accordance with the expected value method in Topic 606 for relevant factors such as current contractual and statutory requirements, specific known market events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trends as well as industry data and other third party information. Overall, these reserves reflect our best estimates of the amount of consideration to which we are entitled based on the terms of the respective underlying contracts.</w:t>
      </w:r>
    </w:p>
    <w:p>
      <w:pPr>
        <w:spacing w:after="0" w:line="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Estimates associated with our gross-to-net adjustments are particularly susceptible to adjustment given the extensive time lag that may occur between our recording of an accrual and its ultimate invoicing by the government or commercial entity, which can occur up to several years after the sale of our product. Because of the time lag for these rebates and chargebacks, in any particular quarter, our adjustments may incorporate revisions of accruals related to prior periods.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royalty interest purchase and sale agreement</w:t>
      </w:r>
    </w:p>
    <w:p>
      <w:pPr>
        <w:spacing w:after="0" w:line="10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RIPSA timing of repayment is based on royalties from net sales of Ohtuvayre as well as any future sales or monetization of ensifentrine prior to the repayment of the RIPSA. Interest expense is accrued using the effective interest method over the estimated period the RIPSA will be repaid. This requires us to estimate the total amount of future royalty payments to be made from product sales as well as the timing of those repayments. We impute interest on the carrying value of each of the royalty financing obligations and record interest expense using an imputed effective interest rate. We reassess the amount and timing of these payments each reporting period and account for any changes through an adjustment to the effective interest rate on a prospective basis. The assumptions used in determining the expected repayment term of the debt and amortization period of the issuance costs requires that we make estimates that could impact the carrying value of each of the liabilities, as well as the periods over which associated issuance costs will be amortized. A significant increase or decrease in forecasted net sales could materially impact the RIPSA balance and interest expense.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FDA approval of Ohtuvayre and our commercial launch in the third quarter of 2024, we began to recognize product sales. We record product sales net of estimated distribution fees, government rebates and chargebacks, commercial chargebacks, product returns, co-pay assistance costs and other fees.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began to recognize cost of sales after the commercial launch of Ohtuvayre in the third quarter of 2024. Cost of sales includes the cost of producing inventory related to Ohtuvayre including manufacturing, freight and overhead as well as sales-based royalties due to Ligand.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1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Research and development costs consist of salary and personnel related costs and third party costs for our research and development activities for ensifentrine. Personnel related costs include a share-based compensation charge relating to our share-based compensation. The largest component of third party costs is for clinical trials, as well as manufacturing for clinical supplies and associated development, and pre-clinical studies. Prior to obtaining regulatory approval for Ohtuvayre, we expensed costs relating to production of pre-launch inventory as research and development expense in its condensed consolidated statements of operations and comprehensive loss in the period incurred. All other research and development costs are expensed as incurred.</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research and development costs to increase in future years related to our additional trials for a fixed-dose combination formulation for COPD patients and nebulized ensifentrine in patients with NCFBE.</w:t>
      </w:r>
    </w:p>
    <w:p>
      <w:pPr>
        <w:spacing w:after="0" w:line="54" w:lineRule="exact"/>
        <w:rPr>
          <w:sz w:val="20"/>
          <w:szCs w:val="20"/>
          <w:color w:val="auto"/>
        </w:rPr>
      </w:pPr>
    </w:p>
    <w:p>
      <w:pPr>
        <w:ind w:right="520"/>
        <w:spacing w:after="0" w:line="352" w:lineRule="auto"/>
        <w:rPr>
          <w:sz w:val="20"/>
          <w:szCs w:val="20"/>
          <w:color w:val="auto"/>
        </w:rPr>
      </w:pPr>
      <w:r>
        <w:rPr>
          <w:rFonts w:ascii="Times New Roman" w:cs="Times New Roman" w:eastAsia="Times New Roman" w:hAnsi="Times New Roman"/>
          <w:sz w:val="18"/>
          <w:szCs w:val="18"/>
          <w:color w:val="auto"/>
        </w:rPr>
        <w:t xml:space="preserve">Due to the nature of research and development, the expected costs are inherently uncertain and may vary significantly from our current expectations. </w:t>
      </w:r>
      <w:r>
        <w:rPr>
          <w:rFonts w:ascii="Times New Roman" w:cs="Times New Roman" w:eastAsia="Times New Roman" w:hAnsi="Times New Roman"/>
          <w:sz w:val="18"/>
          <w:szCs w:val="18"/>
          <w:i w:val="1"/>
          <w:iCs w:val="1"/>
          <w:color w:val="auto"/>
        </w:rPr>
        <w:t>Selling, general and administrative costs</w:t>
      </w:r>
    </w:p>
    <w:p>
      <w:pPr>
        <w:jc w:val="both"/>
        <w:spacing w:after="0" w:line="242" w:lineRule="auto"/>
        <w:rPr>
          <w:sz w:val="20"/>
          <w:szCs w:val="20"/>
          <w:color w:val="auto"/>
        </w:rPr>
      </w:pPr>
      <w:r>
        <w:rPr>
          <w:rFonts w:ascii="Times New Roman" w:cs="Times New Roman" w:eastAsia="Times New Roman" w:hAnsi="Times New Roman"/>
          <w:sz w:val="18"/>
          <w:szCs w:val="18"/>
          <w:color w:val="auto"/>
        </w:rPr>
        <w:t>Selling, general and administrative costs consist of salary and personnel related costs, including share-based compensation, expenses relating to the launch of Ohtuvayre and other commercial activities, expenses relating to operating as a public company, including professional fees, insurance and commercial related costs, as well as other operating expenses.</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expect commercial costs to continue to increase due to the commercial launch of Ohtuvayre including costs related to our sales force, marketing and other commercial related costs. As we continue to develop our knowledge of the market and refine our commercial operations, expected costs may vary significantly from our current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income/(expense)</w:t>
      </w:r>
    </w:p>
    <w:p>
      <w:pPr>
        <w:spacing w:after="0" w:line="10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Other income/(expense) are driven by interest income and expense, foreign exchange movements on cash and cash equivalents and taxes receivable, and the U.K. research and development tax credits (the “R&amp;D tax credit”).</w:t>
      </w:r>
    </w:p>
    <w:p>
      <w:pPr>
        <w:spacing w:after="0" w:line="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participate in the U.K. Small and Medium Enterprises research and development tax relief program. The tax credits are calculated as a percentage of qualifying research and development expenditure and are payable in cash by the U.K. government to us. The credit recorded related to the 2022 financial year was received in the three months ended June 30, 2024, and the credit recorded in the 2023 financial year is expected to be received in 2025.</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subject to corporate taxation in the U.S. and the U.K. We have generated losses since inception and have therefore not paid U.K. corporation tax. The income taxes presented in our Condensed Consolidated Statements of Operations and Comprehensive Loss represent the tax impact from our financing and operating activities in the U.S.</w:t>
      </w:r>
    </w:p>
    <w:p>
      <w:pPr>
        <w:spacing w:after="0" w:line="7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U.K. losses may be carried forward indefinitely to be offset against future taxable profits, subject to various utilization criteria and restrictions. The amount that can be offset each year is limited to £5.0 million plus an incremental 50% of U.K. taxable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September 30, 2024 and 2023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statements of operations for the three months ended September 30, 2024 and 2023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8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7"/>
        </w:trPr>
        <w:tc>
          <w:tcPr>
            <w:tcW w:w="68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338"/>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10,552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0" w:type="dxa"/>
            <w:vAlign w:val="bottom"/>
          </w:tcPr>
          <w:p>
            <w:pPr>
              <w:spacing w:after="0"/>
              <w:rPr>
                <w:sz w:val="1"/>
                <w:szCs w:val="1"/>
                <w:color w:val="auto"/>
              </w:rPr>
            </w:pPr>
          </w:p>
        </w:tc>
      </w:tr>
      <w:tr>
        <w:trPr>
          <w:trHeight w:val="108"/>
        </w:trPr>
        <w:tc>
          <w:tcPr>
            <w:tcW w:w="6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21,843</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46,291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29,980</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(24,356)</w:t>
            </w:r>
          </w:p>
        </w:tc>
        <w:tc>
          <w:tcPr>
            <w:tcW w:w="0" w:type="dxa"/>
            <w:vAlign w:val="bottom"/>
          </w:tcPr>
          <w:p>
            <w:pPr>
              <w:spacing w:after="0"/>
              <w:rPr>
                <w:sz w:val="1"/>
                <w:szCs w:val="1"/>
                <w:color w:val="auto"/>
              </w:rPr>
            </w:pP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0" w:type="dxa"/>
            <w:vAlign w:val="bottom"/>
          </w:tcPr>
          <w:p>
            <w:pPr>
              <w:spacing w:after="0"/>
              <w:rPr>
                <w:sz w:val="1"/>
                <w:szCs w:val="1"/>
                <w:color w:val="auto"/>
              </w:rPr>
            </w:pP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(9,481)</w:t>
            </w:r>
          </w:p>
        </w:tc>
        <w:tc>
          <w:tcPr>
            <w:tcW w:w="0" w:type="dxa"/>
            <w:vAlign w:val="bottom"/>
          </w:tcPr>
          <w:p>
            <w:pPr>
              <w:spacing w:after="0"/>
              <w:rPr>
                <w:sz w:val="1"/>
                <w:szCs w:val="1"/>
                <w:color w:val="auto"/>
              </w:rPr>
            </w:pPr>
          </w:p>
        </w:tc>
      </w:tr>
      <w:tr>
        <w:trPr>
          <w:trHeight w:val="229"/>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exchange gain/(loss)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(expense)/income, net</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(28,069)</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(28,275)</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0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Ohtuvayre received FDA approval on June 26, 2024 and the product was commercially available on August 6, 2024. Product sales, net for Ohtuvayre was $5.6 million for the three months ended September 30,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Cost of sales was $0.5 million for the three months ended September 30, 2024 which includes Ohtuvayre manufacturing costs incurred after FDA approval, inventory overhead costs and sales-based royalties due to Ligand. Prior to obtaining initial regulatory approval for Ohtuvayre, we expensed costs relating to production of pre-launch inventory as R&amp;D expense in the period incurred.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9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Research and development costs were $10.6 million for the three months ended September 30, 2024, compared to $3.0 million for the three months ended September 30, 2023, an increase of $7.6 million. This increase was primarily due to an $7.8 million increase in clinical trial and other development costs as we incurred costs related to the two Phase 2 studies which were initiated in the third quarter of 2024 related to the combination of ensifentrine and glycopyrrolate and nebulized ensifentrine in patients with NCFBE as well as a $0.9 million increase in people-related costs. The prior period clinical trial and other development costs also included the impact of $2.2 million of credits received related to the final financial reconciliation of a Phase 3 ENHANCE program supplier.</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Selling, general and administrative costs were $35.2 million for the three months ended September 30, 2024, compared to $13.4 million for the three months ended September 30, 2023, an increase of $21.8 million. This increase was driven primarily by a $9.7 million increase in people-related costs and $2.8 million in share-based compensation, each of which are primarily related to our field sales team which was hired in the lead up to the launch of Ohtuvayre. Additionally, as we launched Ohtuvayre, marketing and other commercial related activities, including travel, increased by $7.5 million. We also had an increase of $1.6 million related to professional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80" w:lineRule="exact"/>
        <w:rPr>
          <w:sz w:val="20"/>
          <w:szCs w:val="20"/>
          <w:color w:val="auto"/>
        </w:rPr>
      </w:pPr>
    </w:p>
    <w:p>
      <w:pPr>
        <w:ind w:right="1740"/>
        <w:spacing w:after="0" w:line="352" w:lineRule="auto"/>
        <w:rPr>
          <w:sz w:val="20"/>
          <w:szCs w:val="20"/>
          <w:color w:val="auto"/>
        </w:rPr>
      </w:pPr>
      <w:r>
        <w:rPr>
          <w:rFonts w:ascii="Times New Roman" w:cs="Times New Roman" w:eastAsia="Times New Roman" w:hAnsi="Times New Roman"/>
          <w:sz w:val="18"/>
          <w:szCs w:val="18"/>
          <w:color w:val="auto"/>
        </w:rPr>
        <w:t xml:space="preserve">consulting fees, information technology costs and other support costs due to the continued buildout of our commercial organization. </w:t>
      </w:r>
      <w:r>
        <w:rPr>
          <w:rFonts w:ascii="Times New Roman" w:cs="Times New Roman" w:eastAsia="Times New Roman" w:hAnsi="Times New Roman"/>
          <w:sz w:val="18"/>
          <w:szCs w:val="18"/>
          <w:i w:val="1"/>
          <w:iCs w:val="1"/>
          <w:color w:val="auto"/>
        </w:rPr>
        <w:t>Other income/(expense)</w:t>
      </w:r>
    </w:p>
    <w:p>
      <w:pPr>
        <w:jc w:val="both"/>
        <w:spacing w:after="0" w:line="235" w:lineRule="auto"/>
        <w:rPr>
          <w:sz w:val="20"/>
          <w:szCs w:val="20"/>
          <w:color w:val="auto"/>
        </w:rPr>
      </w:pPr>
      <w:r>
        <w:rPr>
          <w:rFonts w:ascii="Times New Roman" w:cs="Times New Roman" w:eastAsia="Times New Roman" w:hAnsi="Times New Roman"/>
          <w:sz w:val="18"/>
          <w:szCs w:val="18"/>
          <w:color w:val="auto"/>
        </w:rPr>
        <w:t>Other income/(expense), net for the three months ended September 30, 2024 was expense of $2.0 million compared to income of $1.7 million for the three months ended September 30, 2023, a change of $3.7 million. This increase in net expense was primarily due to an increase in interest expense of $9.5 million related to our higher average debt balance and increase in our effective interest rate. This was partially offset by an increase in our research and development tax credit of $1.9 million primarily relating to the current period having higher qualifying clinical trial and other development costs while the prior year period included the impact of the Phase 3 ENHANCE program supplier final reconciliation credits discussed above as well as a $2.5 million increase in foreign exchange impacts relating to the strengthening of the pound against the dollar and a $1.4 million increase in interest income due to our higher average cash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nine months ended September 30, 2024 and 2023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statements of operations for the nine months ended September 30, 2024 and 2023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68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68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23,610</w:t>
            </w: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104,665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69,284</w:t>
            </w:r>
          </w:p>
        </w:tc>
      </w:tr>
      <w:tr>
        <w:trPr>
          <w:trHeight w:val="22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141,912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93,437</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(87,813)</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w:t>
            </w: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230"/>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(11,791)</w:t>
            </w: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exchange gain</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2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(expense)/income, net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(10,050)</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(97,863)</w:t>
            </w:r>
          </w:p>
        </w:tc>
      </w:tr>
      <w:tr>
        <w:trPr>
          <w:trHeight w:val="230"/>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(99,354)</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0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Ohtuvayre received FDA approval on June 26, 2024 and the product was commercially available on August 6, 2024. Product sales, net for Ohtuvayre was $5.6 million for the nine months ended September 30,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Cost of sales was $0.5 million for the nine months ended September 30, 2024, which includes Ohtuvayre manufacturing costs incurred after FDA approval, inventory overhead costs, and sales-based royalties due to Ligand. Prior to obtaining initial regulatory approval for Ohtuvayre, we expensed costs relating to production of pre-launch inventory as R&amp;D expense in the period incurred.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9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Research and development costs were $36.7 million for the nine months ended September 30, 2024, compared to $13.1 million for the nine months ended September 30, 2023, an increase of $23.6 million. This increase was primarily due to a $11.9 million increase in clinical trial and other development costs as in the current period we incurred costs related to the two Phase 2 studies which were initiated in the quarter related to the combination of ensifentrine and glycopyrrolate and nebulized ensifentrine in patients with NCFBE, the accrual of the $6.3 million approval milestone due to Ligand, $2.1 million in share-based compensation largely driven by the recognition of PRSU expense, $2.1 million for people-related costs and $1.1 million related to pre-launch manufacturing costs for commercial supply. The increase in clinical trial and other development costs from the prior year also includes the impact on the prior year period of a reversal of $1.5 million of costs which were expensed in the year ended December 31, 2022 related to the resolution of the matter with the Phase 3 ENHANCE program supplier.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Selling, general and administrative costs were $104.7 million for the nine months ended September 30, 2024 compared to $35.4 million for the nine months ended September 30, 2023, an increase of $69.3 million. This increase was driven primarily by an increase of $19.9 million in marketing and other commercial related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including travel related to the launch of Ohtuvayre, a charge of $15.0 million first sale milestone payment due to Ligand, and an increase of $5.1 million in professional and consulting fees, information technology costs and other support costs due to the continued buildout of our commercial organization. Additionally, we had an increase of $18.0 million in people-related costs as we built out our commercial organization including much of the field sales team as well as an increase of $10.8 million related to share-based compensation largely driven by the recognition of PRSU expense and the increase in our headcount due to the field sales team and other support staff.</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(expense)/income, net</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Other (expense)/income, net for the nine months ended September 30, 2024 was expense of $1.3 million compared to income of $8.8 million for the nine months ended September 30, 2023, a change of $10.1 million. This change was primarily due to the recognition of a loss on the extinguishment of our 2023 Term Loan of $3.7 million as well as an increase in interest expense of $11.8 million related to our higher average debt balance and increase in our effective interest rate. This was partially offset by an increase in our research and development tax credit of $3.0 million primarily relating to the current period having higher qualifying clinical trial and other development costs while the prior year period included the impact of the Phase 3 ENHANCE program supplier final reconciliation credits discussed above and a $1.8 million increase in interest income due to our higher average cash balance.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2024 and 2023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68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68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the period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43,945</w:t>
            </w: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(53,547)</w:t>
            </w: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87,765</w:t>
            </w: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period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336,040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257,366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78,674</w:t>
            </w:r>
          </w:p>
        </w:tc>
      </w:tr>
      <w:tr>
        <w:trPr>
          <w:trHeight w:val="21"/>
        </w:trPr>
        <w:tc>
          <w:tcPr>
            <w:tcW w:w="6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Net cash used in operating activities was $93.4 million in the nine months ended September 30, 2024, compared to $39.8 million during the nine months ended September 30, 2023, an increase of $53.5 million. The increase in cash used in operating activities was primarily due to the increase of costs incurred for the commercial launch of Ohtuvayre and the related increase in people-related costs for the field sales team and commercial and corporate support functions as well as the milestone payments of $21.3 million to Ligand for regulatory approval and the first sale of Ohtuvayre. This was partially offset by the receipt of $8.7 million related to the 2022 R&amp;D tax credit from HMRC.</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9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Net cash provided by financing activities was $156.6 million in the nine months ended September 30, 2024, compared to $68.9 million in the nine months ended September 30, 2023, an increase of $87.8 million. The increase in cash provided by financing activities was primarily due to net proceeds received of $163.4 million in the nine months ended September 30, 2024 from the 2024 Term Loans and the RIPSA, partially offset by the repayment of the 2023 Term Loans and debt issuance costs and the payment of withholding taxes from share-based awards of $11.2 million. In the nine months ended September 30, 2023, we received $56.9 million related to the issuance of ordinary shares as well as $10.0 million of proceeds from our prior term loan with Oxford Finance Luxembourg S.À 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To date, we have financed our operations primarily through the issuances of our equity securities, including warrants, from borrowings under term loan facilities, from payments under the RIPSA and from a collaboration and license agreement (the “Nuance Agreement”) with Nuance Pharma effective June 9, 2021.</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have incurred recurring losses since inception, including net losses of $139.6 million for the nine months ended September 30, 2024, and $54.4 million for the year ended December 31, 2023. As of September 30, 2024, we had an accumulated deficit of $528.5 million. We expect to incur additional losses and negative cash flows from operations until we reach profitability, if at all, and we may continue to incur significant operating losses for the foreseeable future as we have increased our headcount significantly in 2024 and have experienced increasing expenses to support our commercial launch of Ohtuvayre as well as our costs to expand our research and development efforts, advance our clinical development of ensifentrine in other formulations or for other indications, and seek to obtain regulatory approval for and commercialize ensifentrine in various formulations or indications.</w:t>
      </w:r>
    </w:p>
    <w:p>
      <w:pPr>
        <w:spacing w:after="0" w:line="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no ongoing material financing commitments, such as lines of credit or guarantees, that are expected to affect our liquidity over the next five years, other than leases, the 2024 Term Loans and the RIPSA.</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Financing and Capital Transactions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2024, we had the following financing transactions:</w:t>
      </w:r>
    </w:p>
    <w:p>
      <w:pPr>
        <w:spacing w:after="0" w:line="198"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the 2024 Term Loans and RIPSA and drew on tranches of $225 million;</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Repaid the 2023 Term Loans in full.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also to Note 6 - Debt to the unaudited condensed consolidated financial statements for additional information on the 2024 Term Loans.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21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believe that our cash and cash equivalents as of September 30, 2024, together with additional funding expected to become available under the 2024 Term Loans and the RIPSA, will enable us to fund planned operating expenses and capital expenditure requirements, including the commercial launch of Ohtuvayre, through at least the end of 2026. Future advances under the 2024 Term Loans and the RIPSA are contingent upon achievement of certain commercial milestones and other specified conditions, and in the case of the Tranche E Term Loan, at the sole discretion of the 2024 Lenders. We have based this estimate on assumptions that may prove to be incorrect, and we could use our available capital resources sooner than we currently expect. In addition, our operating plan may change as a result of many factors unknown to us. These factors, among others, may necessitate that we seek additional capital sooner than currently planned. In addition, we may seek additional capital due to favorable market conditions or strategic considerations, even if we believe we have sufficient funds for our current or future operating plans. We maintain the majority of our cash and cash equivalents in accounts with major U.S. and multi-national financial institutions, and our deposits at these institutions may exceed insured limits.</w:t>
      </w:r>
    </w:p>
    <w:p>
      <w:pPr>
        <w:spacing w:after="0" w:line="18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may require additional capital to commercialize Ohtuvayre or to research and develop additional indications or additional formulations of or with ensifentrine. In addition, we may seek to initiate or conduct preclinical or clinical studies with ensifentrine in additional indications or to discover or in-license and develop additional product candidates. We may need to seek additional funding through public or private financings, debt financings, collaboration or licensing agreements and other arrangements. However, there is no guarantee that we will be successful in securing additional capital on acceptable terms, or at all.</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securities offerings, debt financings, license and collaboration agreements and research grants. If we raise capital through equity securities offerings, the ownership interest of our ADS holders and shareholders will be diluted, and the terms of these securities may include liquidation or other preferences that adversely affect these holders’ rights as holders of our ADSs.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to declare dividends, or other operating restrictions.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ADS holders and shareholders, and may cause the market price of our ADSs to decline.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90" w:lineRule="exact"/>
        <w:rPr>
          <w:sz w:val="20"/>
          <w:szCs w:val="20"/>
          <w:color w:val="auto"/>
        </w:rPr>
      </w:pPr>
    </w:p>
    <w:p>
      <w:pPr>
        <w:ind w:left="340" w:hanging="332"/>
        <w:spacing w:after="0" w:line="26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progress and results of any studies required to support the commercial positioning of Ohtuvayre for the maintenance treatment of COPD in adult patients and any future product candidates;</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potential new product candidates we decide to in-license and develop;</w:t>
      </w:r>
    </w:p>
    <w:p>
      <w:pPr>
        <w:spacing w:after="0" w:line="9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progress and results of any clinical trials evaluating ensifentrine for the treatment of NCFBE, CF, asthma or other targeted indications, or for other formulations of ensifentrine, including fixed-dose combination products;</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and commercial supplies of the ensifentrine active ingredient and derived formulated drug products and for other formulations of ensifentrine in development;</w:t>
      </w:r>
    </w:p>
    <w:p>
      <w:pPr>
        <w:spacing w:after="0" w:line="68" w:lineRule="exact"/>
        <w:rPr>
          <w:rFonts w:ascii="Times New Roman" w:cs="Times New Roman" w:eastAsia="Times New Roman" w:hAnsi="Times New Roman"/>
          <w:sz w:val="18"/>
          <w:szCs w:val="18"/>
          <w:color w:val="auto"/>
        </w:rPr>
      </w:pPr>
    </w:p>
    <w:p>
      <w:pPr>
        <w:jc w:val="both"/>
        <w:ind w:left="340" w:hanging="332"/>
        <w:spacing w:after="0" w:line="242"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ensifentrine in other target indications and of the development of DPI and pMDI formulations of ensifentrine, or fixed-dose combination formulations of ensifentrine for the maintenance treatment of COPD and potentially NCFBE, CF, asthma and other respiratory diseases;</w:t>
      </w:r>
    </w:p>
    <w:p>
      <w:pPr>
        <w:spacing w:after="0" w:line="75"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growing our organization to the size needed to allow for the research, development and commercialization of ensifentrine or any future product candidates;</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outcomes of current and future commercialization activities, including manufacturing, marketing, sales and distribution, for Ohtuvayre;</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availability of adequate third-party coverage and reimbursement for Ohtuvayre;</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0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including entering into licensing or collaboration arrangements for our products;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licensing or milestone fees we might have to pay during future development of ensifentrine or any future product candidates;</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activities undertaken in connection with the commercialization of Ohtuvayre, potential commercialization of ensifentrine in other indications or any future product candidates, if approved, and costs involved in the creation of an effective sales and marketing organization;</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we may derive either directly or in the form of royalty payments from future sales of Ohtuvayre or any future product candidates, including ensifentrine in other indications;</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develop a sales, marketing and distribution infrastructure and scale up external manufacturing capabilities to commercialize Ohtuvayre and any product candidates for which we may obtain regulatory approval; and</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operate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September 30, 2024 and December 31, 2023, we had cash and cash equivalents of $336.0 million and $271.8 million, respectively, consisting primarily of money market funds. Our cash equivalents are subject to interest rate risk and the rate of return would be negatively impacted by a decrease in interest rates. Due to the short-term nature of our cash equivalents, a sudden change in interest rates would not be expected to have a material effect on our business, financial condition or results of operations. There has been no material change to our interest rate sensitivity during the three months ended September 30,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 is exposed to foreign exchange risk as a result of transactions in currencies other than its functional currency, the U.S. dollar. The Company’s expenses in the three months ended September 30, 2024 were incurred primarily in U.S. dollars, but also included euros and pound sterling. As at September 30, 2024, approximately 5% of cash and cash equivalents and 12% of accounts payable were denominated in foreign currencies. In addition, the R&amp;D tax credit receivable is in pound sterling. Due to the relative magnitude of our foreign currency holdings, a change of 1% in foreign exchange rates would not have a material effect on our business, financial condition or results of operations.</w:t>
      </w:r>
    </w:p>
    <w:p>
      <w:pPr>
        <w:spacing w:after="0" w:line="18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08"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September 30, 2024, our disclosure controls and procedures were effective at the reasonable assurance level.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quarter ended September 30, 2024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Investing in our ADSs involves a high degree of risk. You should carefully consider the risks described below,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could adversely affect our business, financial condition, results of operations and growth prospects. In such an event, the market price of our ADSs could decline, and you may lose all or part of your investment. Additional risks and uncertainties not presently known to us or that we currently deem immaterial also may impair our business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not generated any significant product revenue.</w:t>
      </w:r>
    </w:p>
    <w:p>
      <w:pPr>
        <w:spacing w:after="0" w:line="9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are a biopharmaceutical company with a limited operating history, and have incurred significant operating losses since our inception. We had net losses of $43.0 million for the three months ended September 30, 2024, and $54.4 million for the year ended December 31, 2023. As of September 30, 2024, we had an accumulated deficit of $528.5 million. Our losses have resulted principally from expenses incurred in research and development of ensifentrine, and from general and administrative costs that we have incurred while building our business infrastructure. We may continue to incur significant operating losses for the foreseeable future as we expand our research and development efforts, advance our clinical development of ensifentrine in other formulations, and commercially launch ensifentrine under the brand name Ohtuvayre (ensifentrine), which was approved by the FDA on June 26, 2024 for the maintenance treatment of chronic obstructive pulmonary disease ("COPD”) in adult patients. We generally use “Ohtuvayre” when referring to our FDA-approved version of ensifentrine, and “ensifentrine” when referring to our investigational programs for ensifentrine. We anticipate that our expenses will increase substantially as we:</w:t>
      </w:r>
    </w:p>
    <w:p>
      <w:pPr>
        <w:spacing w:after="0" w:line="66" w:lineRule="exact"/>
        <w:rPr>
          <w:sz w:val="20"/>
          <w:szCs w:val="20"/>
          <w:color w:val="auto"/>
        </w:rPr>
      </w:pPr>
    </w:p>
    <w:p>
      <w:pPr>
        <w:ind w:left="340" w:hanging="332"/>
        <w:spacing w:after="0" w:line="266"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clinical trials of ensifentrine for the treatment of non-cystic fibrosis bronchiectasis (“NCFBE”), cystic fibrosis (“CF”), asthma or other indications;</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other future clinical trials of ensifentrine in other formulations, including in combination with other active ingredients including fixed-dose combinations, for the treatment of COPD or other indications;</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clinical pharmacology studies with any formulation;</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or in-license additional respiratory product candidates;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to support ensifentrine and potentially other future product candidates;</w:t>
      </w:r>
    </w:p>
    <w:p>
      <w:pPr>
        <w:spacing w:after="0" w:line="10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the manufacturing processes and produce clinical and commercial supplies of the ensifentrine active pharmaceutical ingredient and formulated drug products derived from it;</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additional regulatory approvals of ensifentrine;</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potentially expand commercial infrastructure to support the commercialization of Ohtuvayre, including sales, marketing, operations, reimbursement, distribution and manufacturing capabilities to commercialize Ohtuvayre;</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maintain or obtain freedom to operate for our in-licensed technologies and products;</w:t>
      </w:r>
    </w:p>
    <w:p>
      <w:pPr>
        <w:spacing w:after="0" w:line="103"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clinical, scientific, operational, financial and management information systems and personnel, including personnel to support our product development and commercialization efforts; and</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operations to support commercialization and research activities in the U.S. and elsewhere.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4" w:name="page35"/>
    <w:bookmarkEnd w:id="34"/>
    <w:p>
      <w:pPr>
        <w:spacing w:after="0" w:line="1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expenses may also increase substantially if we experience any delays or encounter any issues with any of the above, including, but not limited to, failed pre-clinical studies or clinical trials, complex results, safety issues, manufacturing difficulties, inadequate quantity or quality of ensifentrine for our clinical trials or finished drug product, or regulatory challenges.</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devoted substantially all of our financial resources and efforts to the research and development, pre-clinical studies and clinical trials, and commercialization of Ohtuvayre for the maintenance treatment of COPD of adults in the U.S. We are continuing the development of ensifentrine in other formulations and for other targeted indications, and to support commercialization in other territories, if and when approved in such territories.</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our product candidates and commercializing our product, Ohtuvayre, and any other products for which we may receive FDA approval that generate significant revenue. This will require us to be successful in a range of challenging activities, including completing clinical trials of ensifentrine in other formulations and other targeted indications, discovering and developing additional product candidates, obtaining additional regulatory approvals for ensifentrine and for any future product candidates that successfully complete clinical trials, establishing manufacturing, commercial and marketing capabilities and ultimately distributing and selling any products for which we obtain regulatory approval, including our approved product Ohtuvayre. We are only in the preliminary stages of some of these activities, such as the commercial launch of Ohtuvayre. We may never succeed in these activities and, even if we do, we may never generate revenue that is significant enough to achieve profitability.</w:t>
      </w:r>
    </w:p>
    <w:p>
      <w:pPr>
        <w:spacing w:after="0" w:line="6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If we are required by the FDA, the European Medicines Agency (“EMA”), or other regulatory authorities to perform studies in addition to those we currently anticipate, or if there are any delays in completing our planned clinical trials or the development of ensifentrine in additional formulations or for other targeted indications, or any other product candidates, our expenses could increase and revenue could be further delayed.</w:t>
      </w:r>
    </w:p>
    <w:p>
      <w:pPr>
        <w:spacing w:after="0" w:line="6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Ohtuvayre is our only product approved for marketing. It is approved in the U.S. but is not approved in any other jurisdiction, and may never receive approval in other jurisdictions. We may not be successful in obtaining regulatory approval for any additional products, and Ohtuvayre may never generate revenues sufficient to achieve or sustain profitability. The net losses we incur may fluctuate significantly from quarter to quarter and year to year. Our failure to achieve or sustain profitability would depress the market price of our ADSs and could impair our ability to raise capital, expand our business, diversify our product offerings or continue our operations. A decline in the market price of our ADSs also could cause our ADS holders to lose all or a part of their investment.</w:t>
      </w:r>
    </w:p>
    <w:p>
      <w:pPr>
        <w:spacing w:after="0" w:line="6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to complete development and commercialization of any future product candidates and to commercialize Ohtuvayre. If we are unable to raise capital when needed, or if a failure of any financial institution where we maintain our cash and cash equivalents prevents or delays us from accessing uninsured funds, we could be forced to delay, reduce or eliminate our product development programs or commercialization efforts.</w:t>
      </w:r>
    </w:p>
    <w:p>
      <w:pPr>
        <w:spacing w:after="0" w:line="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and planned activities, particularly as we commercialize Ohtuvayre, and conduct clinical trials of ensifentrine in other formulations and for other targeted indications. We expect to incur significant commercialization expenses related to activities including product positioning studies, product manufacturing, medical affairs, marketing, sales and distribution. Furthermore, we expect to incur ongoing costs associated with operating as a public company in the U.S. and maintaining a listing on the Nasdaq Global Market, or Nasdaq. Accordingly, we may need to obtain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estimate that our existing cash resources and additional funding received and expected to become available under the 2024 Term Loans and the RIPSA will enable us to fund planned operating expenses and capital expenditure requirements through at least the end of 2026, including commercializing Ohtuvayre in the U.S. Future advances under the 2024 Term Loans and the RIPSA are contingent upon achievement of certain regulatory and commercial milestones and other specified conditions. We have based this estimate on assumptions that may prove to be incorrect, and we could use our available capital resources sooner than we currently expect. In addition, our operating plan may change as a result of many factors unknown to us. These factors, among others, may necessitate that we seek additional capital sooner than currently planned. In addition, we may seek additional capital due to favorable market conditions or strategic considerations, even if we believe we have sufficient funds for our current or future operating plans. We maintain the majority of our cash and cash equivalents in accounts with major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U.S. and multi-national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90" w:lineRule="exact"/>
        <w:rPr>
          <w:sz w:val="20"/>
          <w:szCs w:val="20"/>
          <w:color w:val="auto"/>
        </w:rPr>
      </w:pPr>
    </w:p>
    <w:p>
      <w:pPr>
        <w:ind w:left="340" w:hanging="332"/>
        <w:spacing w:after="0" w:line="266"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progress and results of any studies required to support the commercial positioning of Ohtuvayre for the maintenance treatment of COPD in adult patients and any future product candidates;</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potential new product candidates we decide to in-license and develop;</w:t>
      </w:r>
    </w:p>
    <w:p>
      <w:pPr>
        <w:spacing w:after="0" w:line="9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progress and results of any clinical trials evaluating ensifentrine for the treatment of NCFBE, CF, asthma or other targeted indications, or for other formulations of ensifentrine, including fixed-dose combination products;</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and commercial supplies of the ensifentrine active ingredient and derived formulated drug products and for other formulations of ensifentrine in development;</w:t>
      </w:r>
    </w:p>
    <w:p>
      <w:pPr>
        <w:spacing w:after="0" w:line="68" w:lineRule="exact"/>
        <w:rPr>
          <w:rFonts w:ascii="Times New Roman" w:cs="Times New Roman" w:eastAsia="Times New Roman" w:hAnsi="Times New Roman"/>
          <w:sz w:val="18"/>
          <w:szCs w:val="18"/>
          <w:color w:val="auto"/>
        </w:rPr>
      </w:pPr>
    </w:p>
    <w:p>
      <w:pPr>
        <w:jc w:val="both"/>
        <w:ind w:left="340" w:hanging="332"/>
        <w:spacing w:after="0" w:line="242"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ensifentrine in other target indications and of the development of DPI and pMDI formulations of ensifentrine, or fixed-dose combination formulations of ensifentrine for the maintenance treatment of COPD and potentially NCFBE, CF, asthma and other respiratory diseases;</w:t>
      </w:r>
    </w:p>
    <w:p>
      <w:pPr>
        <w:spacing w:after="0" w:line="75"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growing our organization to the size needed to allow for the research, development and commercialization of ensifentrine or any future product candidates;</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outcomes of current and future commercialization activities, including manufacturing, marketing, sales and distribution, for Ohtuvayre;</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availability of adequate third-party coverage and reimbursement for Ohtuvayre;</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0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including entering into licensing or collaboration arrangements for our products;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licensing or milestone fees we might have to pay during future development of ensifentrine or any future product candidates;</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activities undertaken in connection with the commercialization of Ohtuvayre, potential commercialization of ensifentrine in other indications or any future product candidates, if approved, and costs involved in the creation of an effective sales and marketing organization;</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we may derive either directly or in the form of royalty payments from future sales of Ohtuvayre or any future product candidates, including ensifentrine in other indications;</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fully developing a sales, marketing and distribution infrastructure and scale up of external manufacturing capabilities to commercialize Ohtuvayre and any product candidates for which we may obtain regulatory approval; and</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operate as a public company.</w:t>
      </w:r>
    </w:p>
    <w:p>
      <w:pPr>
        <w:spacing w:after="0" w:line="10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Ohtuvayre or our product candidates. In addition, we cannot guarantee that future financing will be available in sufficient amounts or on terms acceptable to us, if at all. Moreover, the terms of any financing may adversely affect our business, the holdings or the rights of our shareholders, or the value of our ordinary shares or ADSs.</w:t>
      </w:r>
    </w:p>
    <w:p>
      <w:pPr>
        <w:spacing w:after="0" w:line="6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our research and development programs relating to ensifentrine or any commercialization efforts, be unable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expand our operations, or be unable to otherwise capitalize on our business opportunities, as desired, which could harm our business and potentially cause us to discontinue operations.</w:t>
      </w:r>
    </w:p>
    <w:p>
      <w:pPr>
        <w:spacing w:after="0" w:line="3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depend solely on the commercial success of Ohtuvayre. If we are unable to generate significant revenue from the sale of Ohtuvayre or successfully develop ensifentrine for other indications, our financial condition will be adversely affected.</w:t>
      </w:r>
    </w:p>
    <w:p>
      <w:pPr>
        <w:spacing w:after="0" w:line="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FDA approved our New Drug Application (“NDA”) for Ohtuvayre for the maintenance treatment of COPD in adult patients on June 26, 2024, and we began generating revenue from the sale of Ohtuvayre in August 2024. We have invested substantially all of our efforts and financial resources on the development of Ohtuvayre and on preparation for its commercial launch, including costs related to commercial drug supply, sales, and marketing, and it is our sole source of revenue. Our ability to achieve profitability depends heavily on its successful commercialization. In addition, we have not submitted a marketing authorization application (“MAA”) to the EMA or comparable applications to other regulatory authorities for Ohtuvayre. The success of Ohtuvayre will depend on many factors, including the following:</w:t>
      </w:r>
    </w:p>
    <w:p>
      <w:pPr>
        <w:spacing w:after="0" w:line="80"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efficacy and potential advantages over alternative treatments, including over direct competitors;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including any limitations or warnings contained in a product’s approved labeling;</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Ohtuvayre for sale at a competitive price;</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 or competing products and treatments;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for Ohtuvayre;</w:t>
      </w:r>
    </w:p>
    <w:p>
      <w:pPr>
        <w:spacing w:after="0" w:line="103"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occurrence of adverse clinical findings or decreased effectiveness of our product over time identified during continued monitoring and evaluation of patients;</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 together with other medications;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CMOs and supply chain to maintain sufficient quantity and quality, and uninterrupted supply, of Ohtuvayre;</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timely scale up manufacturing capabilities through current or additional sources to support any increase in market demand;</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manufacturing issues, product performance issues or stability issues;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interactions of our product with other medicines patients are taking; and</w:t>
      </w:r>
    </w:p>
    <w:p>
      <w:pPr>
        <w:spacing w:after="0" w:line="9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private and governmental payers coverage, particularly if the percentage of patients receiving reimbursement from state Medicaid is high since such process can be slower to reimburse.</w:t>
      </w:r>
    </w:p>
    <w:p>
      <w:pPr>
        <w:spacing w:after="0" w:line="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Even if a product displays a favorable efficacy and safety profile in clinical studies, market acceptance of the product will not be known until some period after it is launched. Our efforts to educate the medical community and payers on the benefits of Ohtuvayre may require significant resources and may never be successful. Our efforts to educate the marketplace may require more resources than are required by the conventional technologies marketed by our competitors. Any of these factors may cause Ohtuvayre to be unsuccessful or less successful than anticipated.</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success of any product candidates, including our planned and ongoing development programs for ensifentrine, will depend on many factors, including the following:</w:t>
      </w:r>
    </w:p>
    <w:p>
      <w:pPr>
        <w:spacing w:after="0" w:line="54" w:lineRule="exact"/>
        <w:rPr>
          <w:sz w:val="20"/>
          <w:szCs w:val="20"/>
          <w:color w:val="auto"/>
        </w:rPr>
      </w:pPr>
    </w:p>
    <w:p>
      <w:pPr>
        <w:ind w:left="340" w:hanging="332"/>
        <w:spacing w:after="0" w:line="250"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is safe and effective as a treatment for our targeted indications to the satisfaction of the applicable regulatory authorities;</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require additional pre-clinical or clinical trials, which would increase our costs and prolong our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80" w:lineRule="exact"/>
        <w:rPr>
          <w:sz w:val="20"/>
          <w:szCs w:val="20"/>
          <w:color w:val="auto"/>
        </w:rPr>
      </w:pPr>
    </w:p>
    <w:p>
      <w:pPr>
        <w:ind w:left="340" w:hanging="332"/>
        <w:spacing w:after="0" w:line="266"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of a product candidate may not meet the level of statistical or clinical significance required by the applicable regulatory authorities for marketing approval;</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disagree with the number, design, size, conduct or implementation of our clinical trials;</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research organizations (“CROs”) that we retain to conduct clinical trials may take actions outside of our control that materially adversely impact our clinical trials;</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not find the data from pre-clinical studies and clinical trials sufficient to demonstrate that the clinical and other benefits of a product candidate outweigh its safety risks or may disagree with our interpretation of data;</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a non-clinical safety profile that is acceptable to the applicable regulatory authorities;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operational or clinical issues may prevent completion or interpretation of clinical study results;</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manufacturing issues, product performance issues or stability issues may delay or otherwise adversely affect the progress of our clinical development program;</w:t>
      </w:r>
    </w:p>
    <w:p>
      <w:pPr>
        <w:spacing w:after="0" w:line="40" w:lineRule="exact"/>
        <w:rPr>
          <w:rFonts w:ascii="Times New Roman" w:cs="Times New Roman" w:eastAsia="Times New Roman" w:hAnsi="Times New Roman"/>
          <w:sz w:val="18"/>
          <w:szCs w:val="18"/>
          <w:color w:val="auto"/>
        </w:rPr>
      </w:pPr>
    </w:p>
    <w:p>
      <w:pPr>
        <w:jc w:val="both"/>
        <w:ind w:left="340" w:hanging="332"/>
        <w:spacing w:after="0"/>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regulatory authorities determine that inspections of the manufacturing facilities or clinical sites for our product candidates are required in connection with a marketing application, and such regulatory authorities are unable to conduct such inspections, whether due to geopolitical conflict, including war and terrorism, such as the ongoing conflicts in Europe and the Middle East, or travel restrictions, such as those imposed during the COVID-19 pandemic;</w:t>
      </w:r>
    </w:p>
    <w:p>
      <w:pPr>
        <w:spacing w:after="0" w:line="76"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not accept data generated at our clinical trial sites due to Good Clinical Practice (“GCP”) compliance issues, misconduct, or other reasons;</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require development of a risk evaluation and mitigation strategy (“REMS”) or similar risk management measures as a condition of approval;</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identify deficiencies in the manufacturing processes or facilities of our third-party manufacturers;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change their approval policies or adopt new regulations;</w:t>
      </w:r>
    </w:p>
    <w:p>
      <w:pPr>
        <w:spacing w:after="0" w:line="103"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license a product candidate to others, the efforts of those parties in completing clinical trials of, receiving regulatory approval for, and commercializing that product candidate;</w:t>
      </w:r>
    </w:p>
    <w:p>
      <w:pPr>
        <w:spacing w:after="0" w:line="68"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our clinical trials, we may discover factors that limit the commercial viability of a product candidate or make the commercialization of such product candidate unfeasible;</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retain rights under a collaboration agreement for a product candidate, our efforts in completing pre-clinical studies and clinical trials of, receiving marketing approvals for, establishing commercial manufacturing capabilities for, and commercializing such product candidate; and</w:t>
      </w:r>
    </w:p>
    <w:p>
      <w:pPr>
        <w:spacing w:after="0" w:line="54" w:lineRule="exact"/>
        <w:rPr>
          <w:rFonts w:ascii="Times New Roman" w:cs="Times New Roman" w:eastAsia="Times New Roman" w:hAnsi="Times New Roman"/>
          <w:sz w:val="18"/>
          <w:szCs w:val="18"/>
          <w:color w:val="auto"/>
        </w:rPr>
      </w:pPr>
    </w:p>
    <w:p>
      <w:pPr>
        <w:jc w:val="both"/>
        <w:ind w:left="340" w:hanging="332"/>
        <w:spacing w:after="0" w:line="242"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approved, acceptance of a product by patients, the medical community and third-party payors, effectively competing with other therapies, a continued acceptable safety profile following approval and qualifying for, maintaining, enforcing and defending our intellectual property rights and claims.</w:t>
      </w:r>
    </w:p>
    <w:p>
      <w:pPr>
        <w:spacing w:after="0" w:line="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 unfavorable outcome in any of these factors could result in our experiencing significant delays or an inability to successfully commercialize our product candidates.</w:t>
      </w:r>
    </w:p>
    <w:p>
      <w:pPr>
        <w:spacing w:after="0" w:line="6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 Even if we successfully obtain regulatory approvals to manufacture and market our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have received FDA approval to commercialize ensifentrine in the U.S. for the maintenance treatment of COPD in adult patients under the brand name Ohtuvayre. We may in the future seek regulatory approval to commercialize ensifentrine in the European Union (“EU”) and additional countries. While the scope of regulatory approval is similar in many countries, to obtain separate regulatory approval in multiple countries requires us to comply with the numerous and varying regulatory requirements of such countries regarding safety and efficacy and governing,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things, clinical trials and commercial sales, pricing and distribution of ensifentrine, and we cannot predict success in these jurisdictions.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investors to evaluate the success of our business to date and to assess our future viability.</w:t>
      </w:r>
    </w:p>
    <w:p>
      <w:pPr>
        <w:spacing w:after="0" w:line="9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Since our inception in 2005, we have devoted substantially all of our resources to developing ensifentrine, building our intellectual property portfolio, developing our supply chain, planning our business, raising capital and providing general and administrative support for these operations. We have completed multiple Phase 1 and 2 clinical trials with different formulations of ensifentrine and for different indications, and two registrational Phase 3 clinical trials for nebulized ensifentrine for the maintenance treatment of COPD. While we have received approval for marketing ensifentrine in the U.S. for the maintenance treatment of COPD in adults, we are in the very early stages of sales, marketing and distribution activities necessary for successful product commercialization. Additionally, we are not profitable and have incurred losses in each year since our inception, and we expect our financial condition and operating results to continue to fluctuate significantly from quarter to quarter and year to year due to a variety of factors, many of which are beyond our control. Consequently, any predictions investors make about our future success or viability may not be as accurate as they could be if we had a longer operating history.</w:t>
      </w:r>
    </w:p>
    <w:p>
      <w:pPr>
        <w:spacing w:after="0" w:line="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terms of our credit facility place restrictions on our operating and financial flexibility, and our existing and any future indebtedness could adversely affect our ability to operate our business.</w:t>
      </w:r>
    </w:p>
    <w:p>
      <w:pPr>
        <w:spacing w:after="0" w:line="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May 9, 2024 (the “2024 Effective Date”), Verona Pharma, Inc. entered into a term loan facility of up to $400.0 million (the “2024 Term Loans” or the “2024 Term Loan Agreement”), with Oaktree Fund Administration, LLC, a Delaware limited liability company, as administrative agent, (in such capacity, the “Agent”) and certain funds managed by each of Oaktree Capital Management, L.P. (“Oaktree”) and OCM Life Sciences Portfolio LP (“OMERS”) party thereto (collectively the “2024 Lenders”), We received net proceeds of $68.6 million related to the Tranche B Term Loan on June 28, 2024 following FDA approval of Ohtuvayre. Each advance under the 2024 Term Loans accrues interest at a per annum rate equal to 11.00%.</w:t>
      </w:r>
    </w:p>
    <w:p>
      <w:pPr>
        <w:spacing w:after="0" w:line="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outstanding indebtedness, including any additional indebtedness incurred beyond our borrowings under the 2024 Term Loans, combined with our other financial obligations and contractual commitments could have significant adverse consequences, including:</w:t>
      </w:r>
    </w:p>
    <w:p>
      <w:pPr>
        <w:spacing w:after="0" w:line="68" w:lineRule="exact"/>
        <w:rPr>
          <w:sz w:val="20"/>
          <w:szCs w:val="20"/>
          <w:color w:val="auto"/>
        </w:rPr>
      </w:pPr>
    </w:p>
    <w:p>
      <w:pPr>
        <w:ind w:left="340" w:hanging="332"/>
        <w:spacing w:after="0" w:line="266"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portion of our cash resources to the payment of interest and principal, reducing money available to fund working capital, capital expenditures, product candidate development and other general corporate purposes;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changes in general economic, industry and market conditions;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restrictive covenants that may reduce our ability to take certain corporate actions or obtain further debt or equity financing;</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compete; and</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or better debt servicing options.</w:t>
      </w:r>
    </w:p>
    <w:p>
      <w:pPr>
        <w:spacing w:after="0" w:line="10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intend to satisfy our current and future debt service obligations with our then existing cash and cash equivalents. However, we may not have sufficient funds, and may be unable to arrange for additional financing, to pay the amounts due under the 2024 Term Loans or any other debt instruments. Failure to satisfy our current and future debt obligations, including covenants to take or avoid specific actions, under the 2024 Term Loan Agreement could result in an event of default and, as a result, the 2024 Lenders could accelerate all of the amounts due. In the event of an acceleration of amounts due under the 2024 Term Loan Agreement as a result of an event of default, we may not have sufficient funds or may be unable to arrange for additional financing to repay our indebtedness while still pursuing our current business strategy. In addition, the 2024 Lenders could seek to enforce their security interests in any collateral securing such indebtedness.</w:t>
      </w:r>
    </w:p>
    <w:p>
      <w:pPr>
        <w:spacing w:after="0" w:line="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Further, if we are liquidated, the 2024 Lenders’ right to repayment would be senior to the rights of holders of our ADSs or our ordinary shares to receive any proceeds from the liquidation. Any declaration by the 2024 Lenders of an event of default could significantly harm our business and prospects and could cause the price of our ADS to decline. In addition, the covenants under the 2024 Term Loan Agreement, the pledge of our assets (including our intellectual property) as collateral could limit our ability to obtain additional debt financing. If we raise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debt financing, the terms of such additional debt could further restrict our operating and financial flexibility.</w:t>
      </w:r>
    </w:p>
    <w:p>
      <w:pPr>
        <w:spacing w:after="0" w:line="10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terms of the RIPSA place restrictions on our operating and financial flexibility, and if we fail to comply with certain covenants in the RIPSA, our results of operations and financial condition may be harmed.</w:t>
      </w:r>
    </w:p>
    <w:p>
      <w:pPr>
        <w:spacing w:after="0" w:line="6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May 2024, Verona Pharma plc and Verona Pharma, Inc. (collectively, the “Sellers”) entered into a revenue interest purchase and sale agreement (the “RIPSA”) with Oaktree Fund Administration, LLC, as administrative agent, and certain funds managed by each of Oaktree and OMERS party thereto (collectively, the “Purchasers”). Under the terms of the RIPSA, in exchange for the Purchasers’ payment to us of a purchase price of $100 million in the aggregate, upon approval of ensifentrine by the FDA by a specified date and subject to certain labeling conditions (the “Tranche A Purchase Price”), the Sellers agreed to a true sale of assigned interests to the Purchasers, including a right for the Purchasers to receive 6.50% on global net sales of ensifentrine by the Sellers and 5% on certain proceeds the Sellers receive from licenses engaged during the term of the RIPSA outside of the U.S. The Tranche A Purchase Price of $100.0 million was received on June 28, 2024 following FDA approval of Ohtuvayre. We are also eligible to receive an additional funding tranche equal to $150 million upon achievement of a specified net sales milestone in any trailing six-month period after receipt of the Tranche A Purchase Price. The RIPSA contains covenants that impose on us certain obligations with respect to payment, diligence, reporting, intellectual property, license agreements, and certain other actions, as well as indemnification obligations. Among other things, these covenants require us to use commercially reasonable efforts to develop and commercialize ensifentrine in the U.S. and each major jurisdiction in which a marketing authorization is obtained, and limit our ability to create or incur liens or dispose of certain assets related to ensifentrine. Compliance with these covenants may limit our flexibility in operating our business and our ability to take actions that might otherwise be advantageous to us and our shareholders, including the holders of our ADSs. Pursuant to the RIPSA and related security agreement, we granted to the Purchasers a second-priority lien in certain of our intellectual property assets and other related assets to secure our obligations under the RIPSA. If we are unable to comply with our obligations, the Purchasers could seek to enforce their security interest in such assets.</w:t>
      </w: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RIPSA and our payment obligations to the Purchasers could have important negative consequences to holders of our securities. For example, a portion of our cash flow from operations will be needed to make required payments to the Purchasers and will not be available to fund future operations.</w:t>
      </w:r>
    </w:p>
    <w:p>
      <w:pPr>
        <w:spacing w:after="0" w:line="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Payment requirements under the RIPSA will increase our cash outflows. Our future operating performance is subject to market conditions and business factors that are beyond our control. If our cash inflows and capital resources are insufficient to allow us to make required payments, we may have to reduce or delay capital expenditures, sell assets or seek additional capital. If we raise funds by selling additional equity, such sale would result in dilution to our shareholders. There is no assurance that if we are required to secure funding we can do so on terms acceptable to us, or at all. Failure to pay amounts owed to the Purchasers when due would result in a default under the RIPSA and could result in foreclosure on all or substantially all of our assets, which would have a material adverse effect.</w:t>
      </w:r>
    </w:p>
    <w:p>
      <w:pPr>
        <w:spacing w:after="0" w:line="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holders, restrict our operations or require us to relinquish rights to our technologies or product candidates.</w:t>
      </w:r>
    </w:p>
    <w:p>
      <w:pPr>
        <w:spacing w:after="0" w:line="6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securities offerings, debt financings, license and collaboration agreements and research grants. If we raise capital through securities offerings, the ownership interest of our ADS holders and shareholders will be diluted, and the terms of these securities may include liquidation or other preferences that adversely affect these holders’ rights as holders of our ADSs.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to declare dividends, or other operating restrictions.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ADS holders and shareholders, and may cause the market price of our ADSs to decline.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become subject to economic, political, regulatory and other risks associated with international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a company based in the U.K. and whose securities are listed on Nasdaq, our business is subject to risks associated with conducting business internationally. Many of our suppliers and collaborative and clinical trial relationships are located outside the U.K. and the U.S. Accordingly, our future results could be harmed by a variety of factors, including:</w:t>
      </w:r>
    </w:p>
    <w:p>
      <w:pPr>
        <w:spacing w:after="0" w:line="76"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non-U.S. economies and markets;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for drug approvals in non-U.S. countries;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jurisdictions could present different issues for securing, maintaining or obtaining freedom to operate in such jurisdictions;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protection for intellectual property rights;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non-U.S. laws and regulations;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regulations and customs, tariffs and trade barriers;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currency exchange rates of the euro and currency controls;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environment;</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U.S. or non-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governments;</w:t>
      </w:r>
    </w:p>
    <w:p>
      <w:pPr>
        <w:spacing w:after="0" w:line="104"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reimbursement regimes and price controls in certain non-U.S. markets;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tax laws;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staffing and managing international operations, including differing labor relations;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9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such as the ongoing conflicts in Europe and the Middle East, or natural disasters including earthquakes, typhoons, floods and fires, or public health emergencies, such as the COVID-19 pandemic.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materially affect our results of operations and financial condition.</w:t>
      </w:r>
    </w:p>
    <w:p>
      <w:pPr>
        <w:spacing w:after="0" w:line="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Although we are based in the U.K., our financial statements are denominated in U.S. dollars and many of our business activities are carried out with partners outside the U.S. and U.K. and these transactions may be denominated in another currency. As a result, our business and the price of our ADSs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Clinical Testing and Regulatory Approval</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and regulatory approval involve a lengthy and expensive process, with uncertain outcomes. We may incur additional costs or experience delays in completing, or ultimately be unable to complete, the development and regulatory approval of our product candidates.</w:t>
      </w:r>
    </w:p>
    <w:p>
      <w:pPr>
        <w:spacing w:after="0" w:line="5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Clinical drug development is a lengthy and expensive process with uncertain timelines and uncertain outcomes. If clinical trials of our product candidates, including our ensifentrine programs for additional targeted indications and formulations, are prolonged or delayed, or if such clinical trials fail to show the safety and efficacy required by regulatory authorities, we or our collaborators may be unable to obtain required regulatory approvals and be unable to commercialize our product candidates on a timely basis, or at all.</w:t>
      </w:r>
    </w:p>
    <w:p>
      <w:pPr>
        <w:spacing w:after="0" w:line="6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To obtain the requisite regulatory approvals to market and sell our product candidates, we or any collaborator must demonstrate through extensive pre-clinical studies and clinical trials that such product candidates are safe and effective in humans. Clinical testing is expensive and can take many years to complete, and its outcome is inherently uncertain. Failure can occur at any time during the clinical trial process. The results of pre-clinical studies and early-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stage clinical trials of product candidates may not be predictive of the results of later-stage clinical trials. Product candidates in later stages of clinical trials may fail to show the desired safety and efficacy traits despite having progressed through pre-clinical studies and initial clinical trials. Regulators’ interpretations of results may differ from our own, and expectations can change over time while a product is in clinical development.</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 number of companies in the biopharmaceutical industry have suffered significant setbacks in advanced clinical trials due to lack of efficacy or adverse safety profiles, notwithstanding promising results in earlier trials. The FDA may require us to conduct additional pre-clinical studies or clinical trials that may not be successful, or may not be considered successful by regulators.</w:t>
      </w:r>
    </w:p>
    <w:p>
      <w:pPr>
        <w:spacing w:after="0" w:line="7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If we wish to commercialize ensifentrine in territories other than the U.S., the regulatory authorities in such territories may require us to conduct additional pre-clinical studies or clinical trials beyond those we successfully completed to obtain FDA approval of Ohtuvayre, and if we wish to commercialize ensifentrine in other formulations or for other targeted indications, we will also be required to conduct further clinical studies in the U.S. to support potential FDA approvals for such targeted indications and formulations.</w:t>
      </w:r>
    </w:p>
    <w:p>
      <w:pPr>
        <w:spacing w:after="0" w:line="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may experience delays in clinical trials of ensifentrine in different formulations, including fixed-dose combinations, and we do not know whether planned clinical trials will begin on time, need to be redesigned, enroll patients on time or be completed on schedule, if at all. Our clinical trials can be delayed, suspended, or terminated, or the utility of data from these trials may be compromised, for a variety of reasons, including the following:</w:t>
      </w:r>
    </w:p>
    <w:p>
      <w:pPr>
        <w:spacing w:after="0" w:line="76" w:lineRule="exact"/>
        <w:rPr>
          <w:sz w:val="20"/>
          <w:szCs w:val="20"/>
          <w:color w:val="auto"/>
        </w:rPr>
      </w:pPr>
    </w:p>
    <w:p>
      <w:pPr>
        <w:ind w:left="340" w:hanging="332"/>
        <w:spacing w:after="0" w:line="250"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preclinical, toxicology, drug product characterizations or other in vivo or in vitro data to support the initiation or continuation of clinical trials;</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obtain regulatory agreement on clinical trial design or implementation, including dose and frequency of administration;</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obtain regulatory authorization to commence a trial;</w:t>
      </w:r>
    </w:p>
    <w:p>
      <w:pPr>
        <w:spacing w:after="0" w:line="9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a CRO to meet their contracted obligations regarding subject enrollment, data collection, data monitoring, laboratory sample management, programming and analysis or other activities;</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obtain institutional review board (“IRB”), or ethics committee approval or positive opinion at each site;</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recruit suitable patients to participate in a trial;</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have patients complete a trial or return for post-treatment follow-up;</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 or committing gross misconduct or fraud;</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to the addition of new clinical trial sites;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or maintain double-blinding, when required by the applicable clinical trial protocol;</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technical issues during manufacture;</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drug product performance and/or stability;</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discoveries that may reduce the commercial viability of the product candidate;</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manufacture sufficient quantities of the applicable product candidates for use in clinical trials;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or stability of the product candidate falling below acceptable standards for either safety or efficacy;</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actions claiming infringement by the product candidate in clinical trials and obtaining injunctions interfering with our progress;</w:t>
      </w:r>
    </w:p>
    <w:p>
      <w:pPr>
        <w:spacing w:after="0" w:line="103"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such as the ongoing conflicts in Europe and the Middle East, or natural disasters and other extreme weather-related events including earthquakes, hurricanes, typhoons, floods and fires;</w:t>
      </w:r>
    </w:p>
    <w:p>
      <w:pPr>
        <w:spacing w:after="0" w:line="68"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sanctions imposed by the U.S. or other governments impacting our ability to transfer money to certain countries, such as Russia, to pay clinical trials sites in those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80" w:lineRule="exact"/>
        <w:rPr>
          <w:sz w:val="20"/>
          <w:szCs w:val="20"/>
          <w:color w:val="auto"/>
        </w:rPr>
      </w:pPr>
    </w:p>
    <w:p>
      <w:pPr>
        <w:ind w:left="340" w:hanging="332"/>
        <w:spacing w:after="0" w:line="266"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or tolerability concerns causing us or our collaborators, as applicable, to suspend or terminate a trial if we or our collaborators find that the participants are being exposed to unacceptable health risks;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policies and guidelines;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retention rates of patients and volunteers in clinical trials;</w:t>
      </w:r>
    </w:p>
    <w:p>
      <w:pPr>
        <w:spacing w:after="0" w:line="103"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research contractors to comply with regulatory requirements or to meet their contractual obligations to us in a timely manner, or at all; and</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certain countries in identifying the sub-populations that we are trying to evaluate in a particular trial, which may delay enrollment.</w:t>
      </w:r>
    </w:p>
    <w:p>
      <w:pPr>
        <w:spacing w:after="0" w:line="10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in which such trials are being conducted, by the Data Review Committee or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failure of our clinical trials to demonstrate adequate efficacy and safety, changes in governmental regulations or administrative actions or lack of adequate funding to continue the clinical trial.</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authority. The FDA or other regulatory authority may conclude that a financial relationship between us and a principal investigator has created a conflict of interest or otherwise affected interpretation of the study. The FDA or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other regulatory authority.</w:t>
      </w:r>
    </w:p>
    <w:p>
      <w:pPr>
        <w:spacing w:after="0" w:line="6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If we experience delays in the completion of any clinical trial of ensifentrine for any indication, or of any other product candidate, or any clinical trial of ensifentrine or any other product candidate is terminated, the commercial prospects of such product candidates may be harmed, and our ability to generate product revenues, if any, will be delayed. Moreover, any delays in completing our clinical trials will increase our costs, slow down the development and approval process and jeopardize our ability to commence product sales and generate revenue, if any. Significant clinical trial delays could also allow our competitors to bring products to market before we do or shorten any periods during which we have the exclusive right to commercialize our product candidates and could impair our ability to commercialize our product candidates. In addition, many of the factors that cause, or lead to, a delay in the commencement or completion of clinical trials may also ultimately lead to the denial of regulatory approval of any product candidate.</w:t>
      </w:r>
    </w:p>
    <w:p>
      <w:pPr>
        <w:spacing w:after="0" w:line="8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Clinical trials must be conducted in accordance with the laws and regulations of the FDA, EU rules and regulations and other applicable regulatory authorities’ legal requirements, regulations or guidelines, and are subject to oversight by these governmental agencies and IRBs (or other ethics committees) at the medical institutions where the clinical trials are conducted. In addition, clinical trials must be conducted with supplies of the product candidate produced under current good manufacturing practice (“cGMP”) and similar foreign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EU and the U.S. may subject us to further delays and expenses as a result of increased shipment costs, additional regulatory requirements and the engagement of non-EU and non-U.S. CROs, as well as expose us to risks associated with clinical investigators who are unknown to the FDA or the EMA, and different standards of diagnosis, screening and medical care.</w:t>
      </w:r>
    </w:p>
    <w:p>
      <w:pPr>
        <w:spacing w:after="0" w:line="8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EU Clinical Trials Directive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8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Clinical trials for which an application was submitted (i) prior to January 31, 2022 under the EU Clinical Trials Directive, or</w:t>
      </w:r>
    </w:p>
    <w:p>
      <w:pPr>
        <w:spacing w:after="0" w:line="6" w:lineRule="exact"/>
        <w:rPr>
          <w:sz w:val="20"/>
          <w:szCs w:val="20"/>
          <w:color w:val="auto"/>
        </w:rPr>
      </w:pPr>
    </w:p>
    <w:p>
      <w:pPr>
        <w:jc w:val="both"/>
        <w:ind w:firstLine="8"/>
        <w:spacing w:after="0" w:line="234" w:lineRule="auto"/>
        <w:tabs>
          <w:tab w:leader="none" w:pos="28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 Compliance with the CTR requirements by us and our third-party service providers, such as CROs, may impact our developments plans.</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currently unclear to what extent the U.K. will seek to align its regulations with the EU. The U.K. regulatory framework in relation to clinical trials is derived from existing EU legislation (as implemented into U.K. law, through secondary legislation).</w:t>
      </w:r>
    </w:p>
    <w:p>
      <w:pPr>
        <w:spacing w:after="0" w:line="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January 17, 2022, the U.K. Medicines and Healthcare products Regulatory Agency (“MHRA”), launched an eight-week consultation on reframing the U.K. legislation for clinical trials, which aimed to streamline clinical trials approvals, enable innovation, enhance clinical trials transparency, enable greater risk proportionality, and promote patient and public involvement in clinical trials. The resulting legislative changes will be closely watched and will determine the extent to which the U.K. clinical trials framework aligns with or diverges from the (EU) CTR. Under the terms of the Protocol on Ireland/Northern Ireland, provisions of the (EU) CTR which relate to the manufacture and import of investigational medicinal products and auxiliary medicinal products apply in Northern Ireland. A decision by the U.K. Government not to closely align its regulations with the new approach that has been adopted in the EU may have an effect on the cost of conducting clinical trials in the U.K. compared with other countries.</w:t>
      </w:r>
    </w:p>
    <w:p>
      <w:pPr>
        <w:spacing w:after="0" w:line="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be impacted.</w:t>
      </w:r>
    </w:p>
    <w:p>
      <w:pPr>
        <w:spacing w:after="0" w:line="6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Our product and product candidates may have serious adverse, undesirable or unacceptable side effects which may delay or prevent marketing approval. If such side effects are identified during product development or following approval, if any, we may need to abandon our development programs, the commercial profile of any approved label may be limited, or we may be subject to other significant negative consequences following marketing approval, if any.</w:t>
      </w:r>
    </w:p>
    <w:p>
      <w:pPr>
        <w:spacing w:after="0" w:line="7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Undesirable side effects that may be caused by a product or product candidate could cause us or regulatory authorities to interrupt, delay or halt clinical trials and could result in a more restrictive or less desirable label or the delay or denial of regulatory approval by the FDA or other comparable foreign authorities. 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Many times, side effects are only detectable after investigational products are tested in large-scale clinical trials or, in some cases, after they are made available to patients on a commercial scale following approval. We have completed more than twenty Phase 1, 2 and 3 clinical trials of ensifentrine. In these trials, some patients have experienced mild to moderate adverse reactions, including urinary tract infection, back pain, hypertension, and diarrhea. An increase in psychiatric adverse events were reported with use of ensifentrine, although such events were rare and a causal relationship between ensifentrine and increased rates of psychiatric events could not be established at the time of FDA approval of Ohtuvayre.</w:t>
      </w:r>
    </w:p>
    <w:p>
      <w:pPr>
        <w:spacing w:after="0" w:line="8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Results of our future clinical trials could reveal a high and unacceptable severity and prevalence of adverse side effects. In such an event, our trials could be suspended or terminated and the FDA or other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Additionally, if we or others identify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undesirable or unacceptable side effects following regulatory approval, a number of potentially significant negative consequences could result, including:</w:t>
      </w:r>
    </w:p>
    <w:p>
      <w:pPr>
        <w:spacing w:after="0" w:line="104"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products and require us to take them off the market;</w:t>
      </w:r>
    </w:p>
    <w:p>
      <w:pPr>
        <w:spacing w:after="0" w:line="9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a contraindication or field alerts to physicians and pharmacies;</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medication guide outlining the risks of such side effects for distribution to patients, or that we implement a REMS plan or similar risk management measures to ensure that the benefits of ensifentrine outweigh its risks;</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is administered, conduct additional clinical trials or change the labeling of the product;</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a product;</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sales may be adversely impacted;</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and</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of these events could prevent us or any collaborators from achieving or maintaining market acceptance of any approved products, including Ohtuvayre, or could have significant negative consequences on the commercialization of such products, which in turn could delay or prevent us from generating significant revenue from the sale of such products.</w:t>
      </w:r>
    </w:p>
    <w:p>
      <w:pPr>
        <w:spacing w:after="0" w:line="5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develop ensifentrine in different formulations, including fixed-dose combinations, and/or for other targeted indications, including NCFBE, CF, asthma or other respiratory diseases.</w:t>
      </w:r>
    </w:p>
    <w:p>
      <w:pPr>
        <w:spacing w:after="0" w:line="5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Part of our strategy is to continue to develop ensifentrine in indications other than COPD, such as NCFBE, CF and asthma and other formulations including fixed-dose combinations, MDI and DPI. Although our research and development efforts to date have suggested that ensifentrine has the potential to treat NCFBE, CF and asthma, we may not be able to develop successfully ensifentrine to address these or any other diseases or conditions. In addition, the potential use of ensifentrine in other diseases may not be suitable for clinical development, including as a result of difficulties enrolling patients in any clinical studies we plan to initiate or the potential for harmful side effects or other characteristics that might suggest marketing approval and market acceptance are unlikely. We may find that it may not be feasible to develop an acceptable combination of ensifentrine with other products, including LAMAs, or that chemical stability or drug product stability does not support further development. If we do not continue to successfully develop, obtain regulatory approval for, and begin to commercialize ensifentrine for additional indications or formulations, we will face difficulty in obtaining product revenues in future periods, which could significantly harm our financial position.</w:t>
      </w:r>
    </w:p>
    <w:p>
      <w:pPr>
        <w:spacing w:after="0" w:line="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depend on enrollment of patients in our clinical trials. If we are unable to enroll patients in our clinical trials, or enrollment is slower than anticipated, our research and development efforts could be adversely affected.</w:t>
      </w:r>
    </w:p>
    <w:p>
      <w:pPr>
        <w:spacing w:after="0" w:line="5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enroll a sufficient number of patient candidates. Trials may be subject to delays as a result of patient enrollment taking longer than anticipated or patient withdrawal and other external factors. Patient enrollment depends on many factors, including the size and nature of the patient population, the severity of the disease under investigation, eligibility criteria for the trial, the proximity of patients to clinical sites, the design of the clinical protocol, the ability to obtain and maintain patient consents, the risk that enrolled patients will drop out of a trial, the availability of competing clinical trials, the availability of new drugs approved for the indication the clinical trial is investigating and clinicians’ and patients’ perceptions as to the potential advantages of the drug being studied in relation to other available therapies. These factors may make it difficult for us to enroll enough patients to complete our clinical trials in a timely and cost-effective manner. Higher than expected numbers of patients could also discontinue participation in the clinical trials. Delays in the completion of any clinical trial will increase our costs, slow down our development and delay or potentially jeopardize our ability to commence product sales and generate revenue. In addition, some of the factors that cause, or lead to, a delay in the commencement or completion of clinical trials may also ultimately lead to the denial of regulatory approval.</w:t>
      </w:r>
    </w:p>
    <w:p>
      <w:pPr>
        <w:spacing w:after="0" w:line="6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product candidates in the clinic or at the commercial stage, and our product liability insurance may not cover all damages from such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The current and future use of product candidates by us and any collaborators in clinical trials, and the commercial sale of Ohtuvayre by us or partners, may expose us to liability claims. These claims might be made by patients that use the product, healthcare providers, pharmaceutical companies, our collaborators or others selling Ohtuvayre. Any claims against us, regardless of their merit, could be difficult and costly to defend and could adversely affect the market for Ohtuvayre or any prospects for commercialization of other product candidates. In addition, regardless of the merits or eventual outcome, liability claims may result in:</w:t>
      </w:r>
    </w:p>
    <w:p>
      <w:pPr>
        <w:spacing w:after="0" w:line="80"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Ohtuvayre;</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the reputation of Ohtuvayre in the market;</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related litigation;</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our resources;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 product recalls or withdrawals, or labeling, marketing or promotional restrictions;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or promote any approved products, including Ohtuvayre.</w:t>
      </w:r>
    </w:p>
    <w:p>
      <w:pPr>
        <w:spacing w:after="0" w:line="10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Although the clinical trial process is designed to identify and assess potential side effects,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warnings that identify known potential adverse effects and patients who should not use a product.</w:t>
      </w:r>
    </w:p>
    <w:p>
      <w:pPr>
        <w:spacing w:after="0" w:line="6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Although we maintain product liability insurance for our product candidates and commercial products including Ohtuvayre, it is possible that our liabilities could exceed our insurance coverage.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the EMA and comparable foreign regulatory authorities are lengthy, time consuming and inherently unpredictable, and if we are ultimately unable to obtain regulatory approval for ensifentrine for the maintenance treatment of COPD in adult patients in jurisdictions outside the U.S. or for ensifentrine for additional targeted indications and formulations, our business will be substantially harmed.</w:t>
      </w:r>
    </w:p>
    <w:p>
      <w:pPr>
        <w:spacing w:after="0" w:line="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time required to obtain approval by the FDA, the European Commission and comparable foreign regulatory authorities is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ensifentrine outside of the U.S. and it is possible that ensifentrine or any product candidates we may develop in the future will never obtain the necessary or desired regulatory approvals.</w:t>
      </w:r>
    </w:p>
    <w:p>
      <w:pPr>
        <w:spacing w:after="0" w:line="6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the U.S. or abroad, we or our collaborators must demonstrate with substantial evidence from well-controlled clinical trials, and to the satisfaction of the FDA or foreign regulatory agencies, that such product candidate is safe and effective for its intended uses. Results from nonclinical studies and clinical trials can be interpreted in different ways. Even if we believe the nonclinical or clinical data for our product candidate are promising, such data may not be sufficient to support approval by the applicable regulatory authority. The FDA or foreign regulatory agencies may also require us to conduct additional preclinical studies or clinical trials prior to or post-approval, or it may object to elements of our clinical development program.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candidates could fail to receive regulatory approval for many reasons, including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80" w:lineRule="exact"/>
        <w:rPr>
          <w:sz w:val="20"/>
          <w:szCs w:val="20"/>
          <w:color w:val="auto"/>
        </w:rPr>
      </w:pPr>
    </w:p>
    <w:p>
      <w:pPr>
        <w:ind w:left="340" w:right="20" w:hanging="332"/>
        <w:spacing w:after="0" w:line="266"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the EMA or comparable foreign regulatory authorities that a product candidate is safe and effective for its proposed indication;</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benefits outweigh its safety risks;</w:t>
      </w:r>
    </w:p>
    <w:p>
      <w:pPr>
        <w:spacing w:after="0" w:line="10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disagree with our interpretation of data from pre-clinical studies or clinical trials or may find the data to be unacceptable;</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may, for various reasons, be insufficient to support the submission or approval of an NDA or supplemental NDA in the United States, a MAA in the EU, or other comparable submission to obtain regulatory approval in other countries;</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w:t>
      </w:r>
    </w:p>
    <w:p>
      <w:pPr>
        <w:spacing w:after="0" w:line="6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comparable regulatory authorities may identify issues of GCP noncompliance or unacceptable practices at clinical sites or CROs participating in our clinical studies, rendering clinical data insufficient to support approval;</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disagree with the design or implementation of our clinical trials; and</w:t>
      </w:r>
    </w:p>
    <w:p>
      <w:pPr>
        <w:spacing w:after="0" w:line="9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disagree with our proposed product specifications and performance characteristics.</w:t>
      </w:r>
    </w:p>
    <w:p>
      <w:pPr>
        <w:spacing w:after="0" w:line="5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future clinical trial results may result in our failing to obtain the necessary or desired regulatory approvals for our product candidates. The FDA, the EMA and other regulatory authorities have substantial discretion in the approval process, and determining when or whether regulatory approval will be obtained for our products. Even if we believe the data collected from our clinical trials are promising, such data may not be sufficient to support approval by the FDA, the European Commission or any other regulatory authority.</w:t>
      </w:r>
    </w:p>
    <w:p>
      <w:pPr>
        <w:spacing w:after="0" w:line="7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addition, even if we receive regulatory approvals for our product candidates, regulatory authorities may approve our product candidates for fewer or more limited indications than we request, may not approve the price we intend to charge, may grant approval contingent on the performance of costly post-marketing clinical trials, or may approve a product candidate with a label that does not include the labeling claims necessary or desirable for successful commercialization. Any of the foregoing scenarios could materially harm the commercial prospects for our product candidates, if approved at all.</w:t>
      </w:r>
    </w:p>
    <w:p>
      <w:pPr>
        <w:spacing w:after="0" w:line="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addition, FDA and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 may however have a significant impact on the biopharmaceutical industry and our business in the long term.</w:t>
      </w:r>
    </w:p>
    <w:p>
      <w:pPr>
        <w:spacing w:after="0" w:line="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5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ability of the FDA and comparable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FDA and other agencies, such as the EMA following its relocation to Amsterdam and resulting staff changes, may also slow the time necessary for new drugs, or modifications to cleared or approved drugs, to be reviewed and/ 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Even though the FDA has approved Ohtuvayre, we remain subject to ongoing obligations and continued regulatory review, which may result in significant additional expense. Additionally, Ohtuvayre and any other approved products could be subject to labeling and other restrictions and market withdrawal and we may be subject to penalties if we fail to comply with regulatory requirements or experience unanticipated problems.</w:t>
      </w:r>
    </w:p>
    <w:p>
      <w:pPr>
        <w:spacing w:after="0" w:line="7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With respect to any products approved by the FDA or a comparable foreign regulatory, including Ohtuvayre, the manufacturing processes, labeling, packaging, distribution, adverse event reporting, storage, advertising, promotion and record keeping for such product remains subject to extensive and ongoing regulatory requirements. These requirements include, among other things, payment of annual user fees, submissions of safety and other post-marketing information and reports, facility registration and drug listing, as well as continued compliance with cGMP and similar foreign requirements for the manufacture of the product and GCP requirements for any clinical trials that we conduct post-approval, all of which may result in significant expense and limit our ability to commercialize any approved products, including Ohtuvayre. In addition, any approval we may obtain could include significant limitations related to use, restrictions for specified age groups, warnings, precautions or contraindications, and may include burdensome post-approval study or risk management requirements.</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and our contract manufacturers will also be subject to periodic inspection by the FDA and other regulatory authorities to monitor compliance with these requirements. 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In addition, failure to comply with FDA and other comparable foreign regulatory requirements may subject our company to administrative or judicially imposed sanctions, including:</w:t>
      </w:r>
    </w:p>
    <w:p>
      <w:pPr>
        <w:spacing w:after="0" w:line="80"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the rejection of product approvals;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products, manufacturers or manufacturing process;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detentions or import bans;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and</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operations, including costly new manufacturing requirements.</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products and generate revenue and could require us to expend significant time and resources in response and could generate negative publicity.</w:t>
      </w:r>
    </w:p>
    <w:p>
      <w:pPr>
        <w:spacing w:after="0" w:line="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addition,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FDA and other foreign regulatory agencies actively enforce the laws and regulations prohibiting the promotion of off-label uses which may result in significant liability if we are found to have violated such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If we are found to have improperly promoted off-label uses for our products, we may become subject to significant liability. 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For example, the FDA has approved Ohtuvayre for the maintenance treatment of COPD in adult patients, and we are not permitted to promote Ohtuvayre for any other uses.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Ohtuvayre and any other products for which we may obtain regulatory approval, we could become subject to significant liability, which would materially adversely affect our business and financial condition.</w:t>
      </w:r>
    </w:p>
    <w:p>
      <w:pPr>
        <w:spacing w:after="0" w:line="8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Europe, off-label use is not per se regulated by the EU pharmaceutical legislation and a difference is made between the strict regulation of medicinal product and the use of medicinal products in medical practice. Off-label use is deferred to national regulation and may vary depending on the EU Member State(s).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never obtain approval or commercialize ensifentrine in other major markets outside of the U.S., which would limit our ability to realize its full market potential.</w:t>
      </w:r>
    </w:p>
    <w:p>
      <w:pPr>
        <w:spacing w:after="0" w:line="6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order to market any products in a country or territory, we must establish and comply with numerous and varying regulatory requirements of such country or territory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all major markets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ensifentrine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While we have received approval in the U.S. for Ohtuvayre for the maintenance treatment of COPD in adult patients, we currently do not have any product candidates approved for sale in any other jurisdiction, whether in the EU or any other international markets, and we do not have experience in obtaining regulatory approval in international markets. If we fail to comply with regulatory requirements in international markets or to obtain and maintain required approvals, our target market will be reduced and our ability to realize the full market potential of our products will be compromised.</w:t>
      </w:r>
    </w:p>
    <w:p>
      <w:pPr>
        <w:spacing w:after="0" w:line="7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including principal investigators, CROs, consultants, vendors and collaboration partners may engage in misconduct or other improper activities, including noncompliance with regulatory standards and requirements.</w:t>
      </w:r>
    </w:p>
    <w:p>
      <w:pPr>
        <w:spacing w:after="0" w:line="6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including principal investigators, CROs, consultants, vendors and collaboration partners may engage in fraudulent conduct or other illegal activities. Misconduct by these parties could include intentional, reckless or negligent conduct or unauthorized activities that violate: (i) the laws and regulations of the FDA, the EU and other similar regulatory bodies, including those laws that require the reporting of true, complete and accurate information to such authorities; (ii) manufacturing standards; (iii) federal and state data privacy, security, fraud and abuse and other healthcare laws and regulations in the U.S. and abroad;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and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w:t>
      </w:r>
    </w:p>
    <w:p>
      <w:pPr>
        <w:spacing w:after="0" w:line="5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6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Healthcare Laws and Other Legal Compliance Matters</w:t>
      </w: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legislation and regulation may increase the difficulty and cost for us to commercialize our products and may affect the prices we may set.</w:t>
      </w:r>
    </w:p>
    <w:p>
      <w:pPr>
        <w:spacing w:after="0" w:line="3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the United States, the EU and other foreign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the ACA, was enacted, which substantially changes the way healthcare is financed by both governmental and private insurers. Among the provisions of the ACA, those of greatest importance to the pharmaceutical and biotechnology industries include the following:</w:t>
      </w:r>
    </w:p>
    <w:p>
      <w:pPr>
        <w:spacing w:after="0" w:line="64" w:lineRule="exact"/>
        <w:rPr>
          <w:sz w:val="20"/>
          <w:szCs w:val="20"/>
          <w:color w:val="auto"/>
        </w:rPr>
      </w:pPr>
    </w:p>
    <w:p>
      <w:pPr>
        <w:ind w:left="340" w:right="20" w:hanging="332"/>
        <w:spacing w:after="0" w:line="266" w:lineRule="auto"/>
        <w:tabs>
          <w:tab w:leader="none" w:pos="3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payable by any entity that manufactures or imports certain branded prescription drugs and biologic agents, which is apportioned among these entities according to their market share in certain government healthcare programs;</w:t>
      </w:r>
    </w:p>
    <w:p>
      <w:pPr>
        <w:spacing w:after="0" w:line="54" w:lineRule="exact"/>
        <w:rPr>
          <w:rFonts w:ascii="Times New Roman" w:cs="Times New Roman" w:eastAsia="Times New Roman" w:hAnsi="Times New Roman"/>
          <w:sz w:val="18"/>
          <w:szCs w:val="18"/>
          <w:color w:val="auto"/>
        </w:rPr>
      </w:pPr>
    </w:p>
    <w:p>
      <w:pPr>
        <w:jc w:val="both"/>
        <w:ind w:left="340" w:hanging="332"/>
        <w:spacing w:after="0" w:line="242" w:lineRule="auto"/>
        <w:tabs>
          <w:tab w:leader="none" w:pos="3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 (which, as discussed below, will be replaced by a new manufacturer discount program beginning in 2025);</w:t>
      </w:r>
    </w:p>
    <w:p>
      <w:pPr>
        <w:spacing w:after="0" w:line="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80" w:lineRule="exact"/>
        <w:rPr>
          <w:sz w:val="20"/>
          <w:szCs w:val="20"/>
          <w:color w:val="auto"/>
        </w:rPr>
      </w:pPr>
    </w:p>
    <w:p>
      <w:pPr>
        <w:ind w:left="340" w:hanging="332"/>
        <w:spacing w:after="0" w:line="266"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methodology by which rebates owed by manufacturers under the Medicaid Drug Rebate Program are calculated for drugs that are inhaled, infused, instilled, implanted or injected and not generally distributed through the retail channel;</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a manufacturer’s Medicaid rebate liability to covered drugs dispensed to individuals who are enrolled in Medicaid managed care organizations;</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68"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 and</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Center for Medicare and Medicaid Innovation at the Centers for Medicare and Medicaid Services, or CMS, to test innovative payment and service delivery models to lower Medicare and Medicaid spending, potentially including prescription drug spending.</w:t>
      </w:r>
    </w:p>
    <w:p>
      <w:pPr>
        <w:spacing w:after="0" w:line="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force as it currently exists.</w:t>
      </w:r>
    </w:p>
    <w:p>
      <w:pPr>
        <w:spacing w:after="0" w:line="7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For example, the Budget Control Act of 2011 has, among other things, led to aggregate reductions of Medicare payments to providers, which, due to subsequent legislative amendments to the statute, will remain in effect through 2032, unless additional action is taken by Congress.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In addition, the American Rescue Plan Act of 2021 was signed into law, which eliminates the statutory Medicaid drug rebate cap, beginning January 1, 2024. The rebate was previously capped at 100% of a drug’s average manufacturer price. These laws and any laws enacted in the future may result in additional reductions in Medicare and other health care funding, which could have a material adverse effect on our customers and accordingly, our financial operations.</w:t>
      </w:r>
    </w:p>
    <w:p>
      <w:pPr>
        <w:spacing w:after="0" w:line="6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Most significantly, on August 16, 2022, the Inflation Reduction Act of 2022, or IRA, was signed into law. Among other things, the IRA requires manufacturers of certain drugs to engage in price negotiations with Medicare, with prices that can be negotiated subject to a cap (with resulting prices for the initial ten drugs first effective in 2026); imposes rebates under Medicare Part B and Medicare Part D continue to penalize price increases that outpace inflation (first due in 2023); redesigns the Medicare Part D benefit (beginning 2024); and replaces the Part D coverage gap discount program originally established under the ACA with a new discounting program (beginning in 2025). The IRA permits the Secretary of the Department of Health and Human Services, or HHS, to implement many of these provisions through guidance, as opposed to regulation, for the initial years. HHS has and will continue to issue and update guidance as these programs are implemented. On August 29, 2023, HHS announced the list of the first ten drugs that will be subject to price negotiations, although the Medicare drug price negotiation program is currently subject to legal challenges. The impact of the IRA on our company and the pharmaceutical industry cannot yet be fully determined but, is likely to be significant.</w:t>
      </w:r>
    </w:p>
    <w:p>
      <w:pPr>
        <w:spacing w:after="0" w:line="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w:t>
      </w:r>
    </w:p>
    <w:p>
      <w:pPr>
        <w:spacing w:after="0" w:line="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additional U.S. federal healthcare reform measures will be adopted in the future, any of which could limit the amounts that the U.S. federal government will pay for healthcare products and services, which could result in reduced demand for ensifentrine or additional pricing pressures.</w:t>
      </w:r>
    </w:p>
    <w:p>
      <w:pPr>
        <w:spacing w:after="0" w:line="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Individual states in the U.S.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authorities and individual hospitals are increasingly using bidding procedures to determine what pharmaceutical products and which suppliers will be included in their prescription drug and other healthcare programs. This could reduce the ultimate demand for our products or put pressure on our product pricing.</w:t>
      </w:r>
    </w:p>
    <w:p>
      <w:pPr>
        <w:spacing w:after="0" w:line="7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 the EU, similar political, economic and regulatory developments may affect our ability to profitably commercialize our products, if approved. In addition to continuing pressure on prices and cost containment measures, legislative developments at the EU or member state level may result in significant additional requirements or obstacles that may increase our operating costs. The delivery of health 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products, restrict or regulate post-approval activities and affect our ability to commercialize our products, if approved. In international markets, reimbursement and healthcare payment systems vary significantly by country, and many countries have instituted price ceilings on specific products and therapies.</w:t>
      </w:r>
    </w:p>
    <w:p>
      <w:pPr>
        <w:spacing w:after="0" w:line="8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w:t>
      </w:r>
    </w:p>
    <w:p>
      <w:pPr>
        <w:spacing w:after="0" w:line="7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7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U.S. or abroad. If we or our collaborators are slow or unable to adapt to changes in existing requirements or the adoption of new requirements or policies, or if we or our collaborators are not able to maintain regulatory compliance, we may be subject to enforcement action and we may not achieve or sustain profitability.</w:t>
      </w:r>
    </w:p>
    <w:p>
      <w:pPr>
        <w:spacing w:after="0" w:line="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relationships with investigators, healthcare professionals, consultants, third-party payors and customers will be subject to applicable healthcare regulatory laws, which could expose us to penalties.</w:t>
      </w:r>
    </w:p>
    <w:p>
      <w:pPr>
        <w:spacing w:after="0" w:line="6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ensifentrine, if approved. Such laws include:</w:t>
      </w:r>
    </w:p>
    <w:p>
      <w:pPr>
        <w:spacing w:after="0" w:line="77" w:lineRule="exact"/>
        <w:rPr>
          <w:sz w:val="20"/>
          <w:szCs w:val="20"/>
          <w:color w:val="auto"/>
        </w:rPr>
      </w:pPr>
    </w:p>
    <w:p>
      <w:pPr>
        <w:jc w:val="both"/>
        <w:ind w:left="340" w:hanging="332"/>
        <w:spacing w:after="0" w:line="235" w:lineRule="auto"/>
        <w:tabs>
          <w:tab w:leader="none" w:pos="3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80" w:lineRule="exact"/>
        <w:rPr>
          <w:rFonts w:ascii="Times New Roman" w:cs="Times New Roman" w:eastAsia="Times New Roman" w:hAnsi="Times New Roman"/>
          <w:sz w:val="18"/>
          <w:szCs w:val="18"/>
          <w:color w:val="auto"/>
        </w:rPr>
      </w:pPr>
    </w:p>
    <w:p>
      <w:pPr>
        <w:jc w:val="both"/>
        <w:ind w:left="340" w:hanging="332"/>
        <w:spacing w:after="0"/>
        <w:tabs>
          <w:tab w:leader="none" w:pos="3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false claims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80" w:lineRule="exact"/>
        <w:rPr>
          <w:sz w:val="20"/>
          <w:szCs w:val="20"/>
          <w:color w:val="auto"/>
        </w:rPr>
      </w:pPr>
    </w:p>
    <w:p>
      <w:pPr>
        <w:jc w:val="both"/>
        <w:ind w:left="340"/>
        <w:spacing w:after="0" w:line="242" w:lineRule="auto"/>
        <w:rPr>
          <w:sz w:val="20"/>
          <w:szCs w:val="20"/>
          <w:color w:val="auto"/>
        </w:rPr>
      </w:pPr>
      <w:r>
        <w:rPr>
          <w:rFonts w:ascii="Times New Roman" w:cs="Times New Roman" w:eastAsia="Times New Roman" w:hAnsi="Times New Roman"/>
          <w:sz w:val="18"/>
          <w:szCs w:val="18"/>
          <w:color w:val="auto"/>
        </w:rPr>
        <w:t>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False Claims Act;</w:t>
      </w:r>
    </w:p>
    <w:p>
      <w:pPr>
        <w:spacing w:after="0" w:line="76" w:lineRule="exact"/>
        <w:rPr>
          <w:sz w:val="20"/>
          <w:szCs w:val="20"/>
          <w:color w:val="auto"/>
        </w:rPr>
      </w:pPr>
    </w:p>
    <w:p>
      <w:pPr>
        <w:jc w:val="both"/>
        <w:ind w:left="340" w:hanging="332"/>
        <w:spacing w:after="0" w:line="239"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6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FDCA, which prohibits, among other things, the adulteration or misbranding of drugs, biologics and medical devices;</w:t>
      </w:r>
    </w:p>
    <w:p>
      <w:pPr>
        <w:spacing w:after="0" w:line="103" w:lineRule="exact"/>
        <w:rPr>
          <w:rFonts w:ascii="Times New Roman" w:cs="Times New Roman" w:eastAsia="Times New Roman" w:hAnsi="Times New Roman"/>
          <w:sz w:val="18"/>
          <w:szCs w:val="18"/>
          <w:color w:val="auto"/>
        </w:rPr>
      </w:pPr>
    </w:p>
    <w:p>
      <w:pPr>
        <w:jc w:val="both"/>
        <w:ind w:left="340" w:hanging="332"/>
        <w:spacing w:after="0" w:line="242"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103" w:lineRule="exact"/>
        <w:rPr>
          <w:rFonts w:ascii="Times New Roman" w:cs="Times New Roman" w:eastAsia="Times New Roman" w:hAnsi="Times New Roman"/>
          <w:sz w:val="18"/>
          <w:szCs w:val="18"/>
          <w:color w:val="auto"/>
        </w:rPr>
      </w:pPr>
    </w:p>
    <w:p>
      <w:pPr>
        <w:jc w:val="both"/>
        <w:ind w:left="340" w:hanging="332"/>
        <w:spacing w:after="0" w:line="235"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the physicians described above and their immediate family members;</w:t>
      </w:r>
    </w:p>
    <w:p>
      <w:pPr>
        <w:spacing w:after="0" w:line="66" w:lineRule="exact"/>
        <w:rPr>
          <w:rFonts w:ascii="Times New Roman" w:cs="Times New Roman" w:eastAsia="Times New Roman" w:hAnsi="Times New Roman"/>
          <w:sz w:val="18"/>
          <w:szCs w:val="18"/>
          <w:color w:val="auto"/>
        </w:rPr>
      </w:pPr>
    </w:p>
    <w:p>
      <w:pPr>
        <w:jc w:val="both"/>
        <w:ind w:left="340" w:hanging="332"/>
        <w:spacing w:after="0" w:line="235"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and state laws and regulations that require drug manufacturers to file reports relating to pricing and marketing information, which requires tracking gifts and other remuneration and items of value provided to healthcare professionals and entities; and</w:t>
      </w:r>
    </w:p>
    <w:p>
      <w:pPr>
        <w:spacing w:after="0" w:line="79" w:lineRule="exact"/>
        <w:rPr>
          <w:rFonts w:ascii="Times New Roman" w:cs="Times New Roman" w:eastAsia="Times New Roman" w:hAnsi="Times New Roman"/>
          <w:sz w:val="18"/>
          <w:szCs w:val="18"/>
          <w:color w:val="auto"/>
        </w:rPr>
      </w:pPr>
    </w:p>
    <w:p>
      <w:pPr>
        <w:jc w:val="both"/>
        <w:ind w:left="340" w:hanging="332"/>
        <w:spacing w:after="0" w:line="235"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EU, interactions between pharmaceutical companies, health care professionals, and health care organizations are also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endorsement, purchase, supply, order or use of pharmaceutical products is prohibited in the EU. Relationships with healthcare professionals and associations are subject to stringent anti-gift statutes and anti-bribery laws, the scope of which differs across the EU. In addition, national “Sunshine Acts” may require pharmaceutical companies to report/publish transfers of value provided to health care professionals and associations on a regular (e.g. annual) basis. Failure to comply with these requirements could result in reputational risk, public reprimands, administrative penalties, fines or imprisonment.</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Ensuring that our internal operations and business arrangements with third parties comply with applicable healthcare laws and regulations involves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a corporate integrity agreement or other agreement to resolve allegations of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compliance with these laws,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3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As our operations and business grow, we may become subject to or affected by new or additional data protection laws and regulations and face increased scrutiny or attention from regulatory authorities. In the U.S., HIPAA, as amended by the Health Information Technology for Economic and Clinical Health Act of 2009, and regulations implemented thereunder, or collectively HIPAA, imposes, among other things, certain standards relating to the privacy, security, transmission and breach reporting of individually identifiable health information. Most healthcare providers, including research institutions from which we obtain patient health information, are subject to privacy and security regulations promulgated under HIPAA. We do not believe that we are currently acting as a covered entity or business associate under HIPAA and thus are not directly subject to its requirements or penalties. However,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8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passed in other states and are continuing to be proposed at the state and federal level, reflecting a trend toward more stringent privacy legislation in the U.S.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spacing w:after="0" w:line="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Furthermore, the Federal Trade Commission (“FTC”) has authority to initiate enforcement actions against entities that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5(a) of the FTC Act. For example, according to the FTC, failing to take appropriate steps to keep consumers’ personal information secure can constitute unfair acts or practices in or affecting commerce in violation of Section 5(a) of the Federal Trade Commission Act. The FTC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80"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8"/>
          <w:szCs w:val="18"/>
          <w:color w:val="auto"/>
        </w:rPr>
        <w:t>expects a company’s data security measures to be reasonable and appropriate in light of the sensitivity and volume of consumer information it holds, the size and complexity of its business, and the cost of available tools to improve security and reduce vulnerabilities. The FTC and many state Attorneys General also continue to enforce federal and state consumer protection laws against companies for online collection, use, dissemination and security practices that appear to be unfair or deceptive, including by regulating the presentation of website content.</w:t>
      </w:r>
    </w:p>
    <w:p>
      <w:pPr>
        <w:spacing w:after="0" w:line="7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We are also subject to diverse laws and regulations relating to data privacy and security in the EU and the EEA, including the General Data Protection Regulation (“GDPR”). The GDPR went into effect in May 2018 and imposes strict requirements for processing the personal data of individuals within the EEA. The GDPR imposes strict obligations on the ability to process health-related and other personal data of individuals within the EEA, including in relation to use, collection, analysis, and transfer (including cross-border transfer) of such personal data.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In addition to fines, a breach of the GDPR may result in regulatory investigations, reputational damage, orders to cease/change our data processing activities, enforcement notices, assessment notices (for a compulsory audit) and/ or civil claims (including class actions). Among other requirements, the GDPR regulates transfers of personal data subject to the GDPR to third countries that have not been found to provide adequate protection to such personal data, including the U.S., and the efficacy and longevity of current transfer mechanisms between the EEA and the U.S. remains uncertain. Case law from the Court of Justice of the European Union (“CJEU”) states that reliance on the standard contractual clauses—a standard form of contract approved by the European Commission as an adequate personal data transfer mechanism—alone may not necessarily be sufficient in all circumstances and that transfers must be assessed on a case-by-case basis. On July 10, 2023, the European Commission adopted its Adequacy Decision in relation to the new EU-U.S. Data Privacy Framework (“DPF”), rendering the DPF effective as a GDPR transfer mechanism to U.S. entities self-certified under the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w:t>
      </w:r>
    </w:p>
    <w:p>
      <w:pPr>
        <w:spacing w:after="0" w:line="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Relatedly, since the beginning of 2021, following the U.K.’s withdrawal from the EEA and the European Union, and the expiry of the transition period, companies have had to comply with both the GDPR and the GDPR as incorporated into U.K. national law, the latter regime having the ability to separately fine up to the greater of £17.5 million or 4% of global turnover. On October 12, 2023, the U.K. Extension to the DPF came into effect (as approved by the U.K. Government), as a data transfer mechanism from the U.K. to U.S. entities self-certified under the DPF. As we continue to expand into other foreign countries and jurisdictions, we may be subject to additional laws and regulations that may affect how we conduct business.</w:t>
      </w:r>
    </w:p>
    <w:p>
      <w:pPr>
        <w:spacing w:after="0" w:line="7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Compliance with applicable data protection laws and regulations could require us to take on more onerous obligations in our contracts, restrict our ability to collect, use and disclose data, or in some cases, impact our ability to operate in certain jurisdictions. Failure by us or our collaborators and third-party providers to comply with applicable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such information.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results of operations and prospects.</w:t>
      </w:r>
    </w:p>
    <w:p>
      <w:pPr>
        <w:spacing w:after="0" w:line="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increasing focus on environmental sustainability and social initiatives could increase our costs, harm our reputation and adversely impact our financial results.</w:t>
      </w:r>
    </w:p>
    <w:p>
      <w:pPr>
        <w:spacing w:after="0" w:line="3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There has been increasing public focus by investors, environmental activists, the media and governmental and nongovernmental organizations on a variety of environmental, social and other sustainability matters. We may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In addition, we may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increased costs in order to execute upon our sustainability goals and measure achievement of those goals, which could have an adverse impact on our business and financial condition.</w:t>
      </w:r>
    </w:p>
    <w:p>
      <w:pPr>
        <w:spacing w:after="0" w:line="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environmental, health and safety laws and regulations, and we may become exposed to liability and substantial expenses in connection with environmental compliance or remediation activities.</w:t>
      </w:r>
    </w:p>
    <w:p>
      <w:pPr>
        <w:spacing w:after="0" w:line="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Our sub-contracted operations, including our research,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incur significant costs associated with civil or criminal fines, penalties or other sanctions.</w:t>
      </w:r>
    </w:p>
    <w:p>
      <w:pPr>
        <w:spacing w:after="0" w:line="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our production and development efforts may be interrupted or delayed.</w:t>
      </w:r>
    </w:p>
    <w:p>
      <w:pPr>
        <w:spacing w:after="0" w:line="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spacing w:after="0" w:line="6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any of our international operations might be subject or the manner in which existing laws might be administered or interpreted.</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also are subject to other laws and regulations governing any international operations, including regulations administered by the governments of the U.K. and the U.S., and authorities in the EU, including applicable export control regulations, economic sanctions on countries and persons, customs requirements and currency exchange regulations, or, collectively, the Trade Control laws.</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we did not violate such laws, could be costly and time consuming, require significant personnel resources and harm our reputation.</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or collaborators and, as a result, we could be subject to fines, penalties or prosecution.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and rapidly changing industry, which may result in others discovering, developing or commercializing competing products before or more successfully than we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biopharmaceutical and pharmaceutical industries are highly competitive and subject to significant and rapid technological change. Our success is highly dependent on our ability to discover, develop and obtain marketing approval for new products on a cost-effective basis and to market them successfully. We will face intense competition for our approved products from a variety of businesses, including large, fully integrated pharmaceutical companies, biopharmaceutical companies and specialty pharmaceutical companies, academic institutions, government agencies and other private and public research institutions in Europe, the U.S. and other jurisdictions. These organizations may have significantly greater resources than we do and conduct similar research, seek patent protection and establish collaborative arrangements for research, development, manufacturing and marketing of products that may compete with our products.</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Given the number of products already on the market and in development to treat COPD, asthma, CF and NCFBE, we expect to face intense competition for our products, including for Ohtuvayre, and for ensifentrine, if approved for these additional indications. Companies including GlaxoSmithKline, AstraZeneca, Novartis, Vertex, Viatris, Theravance, Gilead, Genentech, Regeneron and Sanofi currently have treatments on the market for COPD, CF and asthma, and we anticipate that new companies will enter these markets in the future. While no treatments for NCFBE currently have marketing approval in the U.S. or EU, there are products in late-stage clinical development that could be approved in the future. Our products will compete with existing therapies and new therapies that may become available in the future. The highly competitive nature of, and rapid technological changes in, the biopharmaceutical and pharmaceutical industries could render our products obsolete, less competitive or uneconomical. Our competitors may, among other things:</w:t>
      </w:r>
    </w:p>
    <w:p>
      <w:pPr>
        <w:spacing w:after="0" w:line="66" w:lineRule="exact"/>
        <w:rPr>
          <w:sz w:val="20"/>
          <w:szCs w:val="20"/>
          <w:color w:val="auto"/>
        </w:rPr>
      </w:pPr>
    </w:p>
    <w:p>
      <w:pPr>
        <w:jc w:val="both"/>
        <w:ind w:left="340" w:hanging="332"/>
        <w:spacing w:after="0" w:line="250" w:lineRule="auto"/>
        <w:tabs>
          <w:tab w:leader="none" w:pos="3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significantly greater name recognition, financial, manufacturing, marketing, drug development, technical and human resources than we do, and future mergers and acquisitions in the biopharmaceutical and pharmaceutical industries may result in even more resources being concentrated in our competitors;</w:t>
      </w:r>
    </w:p>
    <w:p>
      <w:pPr>
        <w:spacing w:after="0" w:line="55"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products that are safer, more effective, less expensive, more convenient or easier to administer, or have fewer or less severe side effects;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quicker regulatory approval;</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superior proprietary positions covering our products and technologies;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more effective approaches to sales, marketing and distribution; or</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more advantageous strategic alliances.</w:t>
      </w:r>
    </w:p>
    <w:p>
      <w:pPr>
        <w:spacing w:after="0" w:line="10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any collaborators we may have may decide to market and sell products that compete with our products. Our commercial opportunity could be reduced or eliminated if our competitors develop and commercialize products that are more effective, have fewer or less severe side effects, are more convenient or are less expensive than our products. Our competitors may also obtain FDA or other regulatory approval for their product candidates more rapidly than we may obtain approval for ours, which could result in our competitors establishing or strengthening their market position before we are able to enter the market.</w:t>
      </w:r>
    </w:p>
    <w:p>
      <w:pPr>
        <w:spacing w:after="0" w:line="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Forecasting potential sales for Ohtuvayre is difficult, and if our projections are inaccurate, our business may be harmed and our share price may be adversely affected.</w:t>
      </w:r>
    </w:p>
    <w:p>
      <w:pPr>
        <w:spacing w:after="0" w:line="6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business planning requires us to forecast or make assumptions regarding product demand and revenues for Ohtuvayre, despite numerous uncertainties. These uncertainties may be increased if we rely on third parties to conduct commercial activities in certain jurisdictions and provide us with accurate and timely information. Actual results may differ materially from projected results for various reasons, including the following, as well as risks identified in other risk factors:</w:t>
      </w:r>
    </w:p>
    <w:p>
      <w:pPr>
        <w:spacing w:after="0" w:line="77"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Ohtuvayre, including as relative to marketed products and product candidates in development by third parties;</w:t>
      </w:r>
    </w:p>
    <w:p>
      <w:pPr>
        <w:spacing w:after="0" w:line="9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(including discounting and other promotions), reimbursement, product returns or recalls, competition, labeling, adverse events and other items that impact commercialization;</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in the particular market, including fluctuations in demand for various reasons;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market size;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80"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patient and physician familiarity with Ohtuvayre;</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patient use and physician prescribing history;</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commercialization experience with Ohtuvayre;</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relating to rate of adoption; and</w:t>
      </w:r>
    </w:p>
    <w:p>
      <w:pPr>
        <w:spacing w:after="0" w:line="103"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provided without compensation through patient support programs or other free drug programs, may not eventually result in or contribute to revenue-producing prescriptions.</w:t>
      </w:r>
    </w:p>
    <w:p>
      <w:pPr>
        <w:spacing w:after="0" w:line="6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expect that our revenues from sales of Ohtuvayre will be based in part on estimates, judgment and accounting policies. Any incorrect estimates or disagreements with regulators or others regarding such estimates, judgment or accounting policies may result in changes to our guidance, projections or previously reported results. Expected and actual product sales and quarterly and other results may greatly fluctuate, including in the near-term, and such fluctuations can adversely affect the price of our common stock, perceptions of our ability to forecast demand and revenues, and our ability to maintain and fund our operations. The metrics that we are tracking in order to evaluate the success of our sales efforts may not correlate to commercial success, particularly given the challenging market for Ohtuvayre.</w:t>
      </w:r>
    </w:p>
    <w:p>
      <w:pPr>
        <w:spacing w:after="0" w:line="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Ohtuvayre will depend in part on the extent to which governmental authorities and health insurers establish adequate coverage, reimbursement levels and pricing policies for it. Failure to obtain or maintain adequate coverage and reimbursement for Ohtuvayre could limit our ability to market it and decrease our ability to generate revenue.</w:t>
      </w:r>
    </w:p>
    <w:p>
      <w:pPr>
        <w:spacing w:after="0" w:line="7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Ohtuvayre. Our ability to achieve and maintain acceptable levels of coverage and reimbursement by governmental authorities, private health insurers and other organizations will have an effect on our ability to successfully commercialize ensifentrine. Assuming we obtain coverage for Ohtuvayre by a third-party payor, the resulting reimbursement payment rates may not be adequate or may require co-payments that patients find unacceptably high. Moreover, for drugs and biologics administered under the supervision of a physician, obtaining appropriate documentation for usage may be difficult because of the higher prices often associated with such products. We cannot be sure that coverage and reimbursement in the U.S., the EU or elsewhere will be available for Ohtuvayre or any product that we may develop, and any reimbursement that may become available may be decreased or eliminated in the future.</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Ohtuvayre as substitutable and only offer to reimburse patients for the less expensive product. Even if we show improved efficacy or improved convenience of administration with Ohtuvayre, pricing of existing drugs may limit the amount we will be able to charge for Ohtuvayre. These payors may deny or revoke the reimbursement status of a given product or establish prices for new or existing marketed products at levels that are too low to enable us to realize an appropriate return on our investment in ensifentrine. If reimbursement is not available or is available only at limited levels, we may not be able to successfully commercialize Ohtuvayre, and may not be able to obtain a satisfactory financial return on Ohtuvayre.</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U.S., third-party payors, including private and governmental payors, such as the Medicare and Medicaid programs, play an important role in determining the extent to which new drugs and biologics will be covered. The Medicare and Medicaid programs increasingly are used as models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Ohtuvayre.</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Obtaining and maintaining reimbursement status is time consuming and costly. No uniform policy for coverage and reimbursement for products exists among third-party payors in the U.S. Therefore, coverage and reimbursement for products can differ significantly from payor to payor. As a result, the coverage determination process is often a time- consuming and costly process that will require us to provide scientific and clinical support for the use of Ohtuvayre to each payor separately, with no assurance that coverage and adequate reimbursement will be applied consistently or obtained in the first instance. Furthermore, rules and regulations regarding reimbursement change frequently,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some cases at short notice, and we believe that changes in these rules and regulations are likely. Specifically, we believe that Ohtuvayre will be primarily reimbursed under a medical benefit through either Medicare Part B or Medicare Advantage programs, and changes within how products are reimbursed under these programs could occur and those changes may affect the overall coverage of Ohtuvayre in the future.</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Outside the U.S.,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approved products.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ensifentrine. Accordingly, in markets outside the U.S., the reimbursement for our products may be reduced compared with the U.S. and may be insufficient to generate commercially reasonable revenue and profits.</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We expect to experience pricing pressures in connection with the sale of Ohtuvayre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even if a pharmaceutical product obtains a marketing authorization in the EU, there can be no assurance that reimbursement for such product will be secured on a timely basis or at all.</w:t>
      </w:r>
    </w:p>
    <w:p>
      <w:pPr>
        <w:spacing w:after="0" w:line="3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in which we participate, we could be subject to additional reimbursement requirements, penalties, sanctions and fines, which could have a material adverse effect on our business, financial condition, results of operations and growth prospects.</w:t>
      </w:r>
    </w:p>
    <w:p>
      <w:pPr>
        <w:spacing w:after="0" w:line="7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Medicaid is a joint federal and state program administered by the states for low income and disabled beneficiaries. We participate in and have certain price reporting obligations under the Medicaid Drug Rebate Program, or the MDRP, as a condition of having covered outpatient drugs payable under Medicaid and, if applicable, under Medicare Part B. The MDRP requires us to pay a rebate to state Medicaid programs every quarter for each unit of our covered outpatient drugs dispensed to Medicaid beneficiaries and paid for by a state Medicaid program. The rebate is based on pricing data that we must report on a monthly and quarterly basis to the Centers for Medicare &amp; Medicaid Services, or CMS, the federal agency that administers the MDRP and other governmental healthcare programs. These data include the average manufacturer price (AMP) for each drug and, in the case of innovator products, the best price, which in general represents the lowest price available from the manufacturer to certain entities in the U.S. in any pricing structure, calculated to include all sales and associated rebates, discounts and other price concessions. The Medicaid rebate consists of two components, the basic rebate and the additional rebate, which is triggered if the AMP for a drug increases faster than inflation. If we become aware that our MDRP government price reporting submission for a prior quarter was incorrect or has changed as a result of recalculation of the pricing data, we must resubmit the corrected data for up to three years after those data originally were due. If we fail to provide information timely or are found to have knowingly submitted false information to the government, we may be subject to civil monetary penalties and other sanctions, including termination from the MDRP. In the event that CMS terminates our rebate agreement pursuant to which we participate in the MDRP, no federal payments would be available under Medicaid or Medicare Part B for our covered outpatient drugs. Our failure to comply with our MDRP price reporting and rebate payment obligations could negatively impact our financial results.</w:t>
      </w:r>
    </w:p>
    <w:p>
      <w:pPr>
        <w:spacing w:after="0" w:line="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ACA made significant changes to the MDRP, as described under the risk factor “Enacted and future legislation and regulation may increase the difficulty and cost for us to commercialize our products and may affect the prices we may set,” above. In addition, in March 2021, the American Rescue Plan Act of 2021 was signed into law, which, among other things, eliminated the statutory cap on drug manufacturers’ MDRP rebate liability, effective January 1, 2024. Previously, under law enacted as part of the ACA, drug manufacturers’ MDRP rebate liability was capped at 100% of the AMP for a covered outpatient drug. Congress could enact additional legislation that further increases Medicaid drug rebates or other costs and charges associated with participating in the MDRP. Additional legislation or the issuance of regulations relating to the MDRP could have a material adverse effect on our results of operations.</w:t>
      </w:r>
    </w:p>
    <w:p>
      <w:pPr>
        <w:spacing w:after="0" w:line="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recently-enacted IRA imposes rebates under Medicare Part B and Medicare Part D that are triggered by price increases that outpace inflation (first due in 2023), as described under the risk factor “Enacted and future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regulation may increase the difficulty and cost for us to commercialize our products and may affect the prices we may set,” above. The Medicare Part D rebate will be calculated on the basis of the AMP figures we report pursuant to the MDRP.</w:t>
      </w:r>
    </w:p>
    <w:p>
      <w:pPr>
        <w:spacing w:after="0" w:line="4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MDRP also participate in the Public Health Service’s 340B drug pricing program in order for federal funds to be available for the manufacturer’s drugs under Medicaid and, if applicable, Medicare Part B. We participate in the 340B program, which is administered by the Health Resources and Services Administration, or HRSA, and requires us to charge statutorily defined covered entities no more than the 340B “ceiling price” for our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AMP and rebate amount for the covered outpatient drug as calculated under the MDRP, and in general, products subject to Medicaid price reporting and rebate liability are also subject to the 340B ceiling price calculation and discount requirement. We must report 340B ceiling prices to HRSA on a quarterly basis, and HRSA publishes those prices to 340B covered entities. In addition,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Our failure to comply 340B program requirements could negatively impact our financial results. Any additional future changes to the definition of average manufacturer price and the Medicaid rebate amount under the ACA or other legislation or regulation could affect our 340B ceiling price calculations and also negatively impact our financial results.</w:t>
      </w:r>
    </w:p>
    <w:p>
      <w:pPr>
        <w:spacing w:after="0" w:line="6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order for Ohtuvayre or any product candidates, if approved, to be paid for with federal funds under the Medicaid and Medicare Part B programs and purchased by certain federal agencies and grantees, we also participate in the U.S. Department of Veterans Affairs, or VA, Federal Supply Schedule, or FSS, pricing program. As part of this program, we are required to make our products available for procurement on an FSS contract under which we must comply with standard government terms and conditions and charge a price that is no higher than the statutory Federal Ceiling Price, or FCP, to four federal agencies (VA, U.S. Department of Defense, or DOD, Public Health Service, and U.S. Coast Guard). The FCP is based on the Non-Federal Average Manufacturer Price, or Non-FAMP, which we must calculate and report to the VA on a quarterly and annual basis. Pursuant to applicable law, knowing provision of false information in connection with a Non-FAMP filing can subject a manufacturer to significant civil monetary penalties for each item of false information. The FSS pricing and contracting obligations also contain extensive disclosure and certification requirements.</w:t>
      </w:r>
    </w:p>
    <w:p>
      <w:pPr>
        <w:spacing w:after="0" w:line="6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also participate in the Tricare Retail Pharmacy program, under which we are required to pay quarterly rebates on utilization of innovator products that are dispensed through the Tricare Retail Pharmacy network to Tricare beneficiaries. The rebates are calculated as the difference between the annual Non-FAMP and FCP. We are required to list our innovator products on a Tricare Agreement in order for them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could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Requirements of pharmaceutical manufacturers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w:t>
      </w:r>
    </w:p>
    <w:p>
      <w:pPr>
        <w:spacing w:after="0" w:line="66"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8"/>
          <w:szCs w:val="18"/>
          <w:color w:val="auto"/>
        </w:rPr>
        <w:t>Pricing and rebate calculations vary among products and programs. The calculations are complex and are often subject to interpretation by us, governmental or regulatory agencies, and the courts. CMS, the Department of Health &amp; Human Services Office of Inspector General, and other governmental agencies have pursued manufacturers that were alleged to have failed to report these data to the government in a timely or accurate manner.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80"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agencies may also make changes in program interpretations, requirements or conditions of participation, some of which may have implications for amounts previously estimated or paid. We cannot assure you that any submissions we are required to make under the MDRP, the 340B program, the VA/FSS program, the Tricare Retail Pharmacy Program, and other governmental drug pricing programs will not be found to be incomplete or incorrect.</w:t>
      </w:r>
    </w:p>
    <w:p>
      <w:pPr>
        <w:spacing w:after="0" w:line="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products, including Ohtuvayre, do not gain market acceptance or if we fail to accurately forecast demand or manage our inventories, our business will suffer because we might not be able to fund future operations.</w:t>
      </w:r>
    </w:p>
    <w:p>
      <w:pPr>
        <w:spacing w:after="0" w:line="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Patients or the medical community may not accept or use Ohtuvayre in the U.S. If Ohtuvayre does not achieve an adequate level of acceptance, we may not generate significant product revenues or any profits from operations. The degree of market acceptance of Ohtuvayre will depend on a variety of factors, including:</w:t>
      </w:r>
    </w:p>
    <w:p>
      <w:pPr>
        <w:spacing w:after="0" w:line="55"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product relative to other products for the same or similar treatment;</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clinical profile of competing products;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 for which Ohtuvayre is approved;</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acceptable evidence of safety and efficacy;</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frequency, and ease of administration;</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effectiveness;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sales, and distribution support;</w:t>
      </w:r>
    </w:p>
    <w:p>
      <w:pPr>
        <w:spacing w:after="0" w:line="9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adequate coverage, reimbursement and adequate payment from health maintenance organizations and other insurers, both public and private; and</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potential advantages over alternative treatment methods.</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pacing w:after="0" w:line="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results of operations could be materially harmed if we are unable to accurately forecast customer demand for Ohtuvayre and manage our inventory. To ensure adequate inventory supply, we must forecast inventory needs and place orders with our suppliers based on our estimates of future demand for Ohtuvayre. Our ability to accurately forecast demand for Ohtuvayre could be negatively affected by many factors, including our failure to accurately manage our expansion strategy, product introductions by competitors, an increase or decrease in customer demand for Ohtuvayre or for products of our competitors, our failure to accurately forecast customer acceptance of new products, unanticipated changes in general market conditions or regulatory matters, and weakening of economic conditions or consumer confidence in future economic conditions.</w:t>
      </w:r>
    </w:p>
    <w:p>
      <w:pPr>
        <w:spacing w:after="0" w:line="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seek to maintain sufficient levels of inventory to protect ourselves from supply interruptions. As a result, we are subject to the risk that a portion of our inventory will become obsolete or expire, which could have a material adverse effect on our earnings and cash flows due to the resulting costs associated with the inventory impairment charges and costs required to replace such inventory.</w:t>
      </w:r>
    </w:p>
    <w:p>
      <w:pPr>
        <w:spacing w:after="0" w:line="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commercial capabilities and infrastructure, including sales, marketing, operations, distribution, and reimbursement infrastructure, may not be adequate to successfully commercialize Ohtuvayre.</w:t>
      </w:r>
    </w:p>
    <w:p>
      <w:pPr>
        <w:spacing w:after="0" w:line="5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are continuing to develop sales, marketing, operations, distribution and reimbursement capabilities and infrastructure after receiving approval of Ohtuvayre in June 2024, and we have not marketed, sold or distributed pharmaceutical products prior to the approval of Ohtuvayre. The establishment of commercial capabilities and infrastructure, including sales, marketing, operations, distribution, and reimbursement with technical expertise and supporting distribution capabilities to commercialize Ohtuvayre, is expensive and time consuming. Some or all of these costs were incurred in preparation for approval and will continue as we commercialize Ohtuvayre for the maintenance treatment of COPD in adult patients. In addition, our sales force may not be sufficient in size or have adequate expertise in the medical markets that we intend to target, and we may have difficulty retaining our sales employees or attracting new employees. Any failure of our internal sales, marketing and distribution capabilities on our own or through collaborations would adversely impact the commercialization of Ohtuvayre.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contracting third parties to perform certain services to support our sales, marketing, warehousing, distribution and reimbursement activities. To the extent that any of these third parties fail to perform their services in compliance with their obligations to us or other parties, we may not be successful in commercializing Ohtuvayre and our future product revenues may be adversely impacted.</w:t>
      </w:r>
    </w:p>
    <w:p>
      <w:pPr>
        <w:spacing w:after="0" w:line="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To the extent that we enter into collaboration agreements with respect to marketing, sales or distribution, our product revenue may be lower than if we directly marketed or sold Ohtuvayre. In addition, any revenue we receive will depend in whole or in part upon the efforts of these third-party collaborators, which may not be successful and are generally not within our control. If we are unable to enter into these arrangements on acceptable terms or at all, we may not be able to successfully commercialize Ohtuvayre. If we are not successful in commercializing Ohtuvayre, either on our own or through collaborations with one or more third parties, our future product revenue will suffer and we may incur significant additional losses.</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effective sales and marketing capabilities to market and sell our approved product, Ohtuvayre, we may be unable to generate adequate revenue.</w:t>
      </w:r>
    </w:p>
    <w:p>
      <w:pPr>
        <w:spacing w:after="0" w:line="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no previous experience in marketing and selling drug products. We are continuing to establish our infrastructure for the sales, marketing and distribution of Ohtuvayre, and the cost of establishing and maintaining such an organization may exceed the benefits of doing so.</w:t>
      </w:r>
    </w:p>
    <w:p>
      <w:pPr>
        <w:spacing w:after="0" w:line="6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have established an in-house sales force to promote Ohtuvayre to appropriate healthcare providers including those that may be associated with hospital networks, Integrated delivery networks and third-party payers in the United States. There are significant expenses and risks involved with establishing our own sales and marketing capabilities, including our ability to hire, retain and appropriately incentivize qualified individuals, generate sufficient sales leads, provide adequate training to sales and marketing personnel, and effectively manage a geographically dispersed sales and marketing team.</w:t>
      </w:r>
    </w:p>
    <w:p>
      <w:pPr>
        <w:spacing w:after="0" w:line="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compete with other companies to recruit, hire, train and retain sales and marketing personnel. We cannot be sure that we will be able to hire or retain a sufficient number of qualified sales representatives or that they will be effective at promoting Ohtuvayre. In addition, we will need to commit significant additional management and other resources to build our sales organization to the desired size, and we may not be successful in a cost-effective manner.</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establish and maintain our sales and marketing capabilities include:</w:t>
      </w:r>
    </w:p>
    <w:p>
      <w:pPr>
        <w:spacing w:after="0" w:line="104"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in order to educate physicians about Ohtuvayre or our product candidates, once approved;</w:t>
      </w:r>
    </w:p>
    <w:p>
      <w:pPr>
        <w:spacing w:after="0" w:line="9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fixed costs as compared to companies who market products using independent third parties, such as costs associated with employee benefits, training, and managing sales personnel; and</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establish adequate sales, marketing and distribution capabilities, whether independently or with third parties, our business, results of operations, financial condition and prospects will be materially adversely impacted.</w:t>
      </w:r>
    </w:p>
    <w:p>
      <w:pPr>
        <w:spacing w:after="0" w:line="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Beyond Ohtuvayre, we may leverage the sales and marketing capabilities that we establish for Ohtuvayre to commercialize additional product candidates or market Ohtuvayre for other indications, if approved by the FDA, in the United States. If we are unable to do so for any reason, we would need to expend additional resources to establish commercialization capabilities for those product candidates or Ohtuvayre for other indications, if approved.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including independent clinical investigators and CROs, to conduct our pre-clinical studies and clinical trials. If these third parties do not successfully carry out their contractual duties or meet expected deadlines, we may not be able to obtain regulatory approvals for or commercialize our product candidates and our business could be substantially harmed.</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relied upon and plan to continue to rely upon third parties, including independent clinical investigators and CROs, to conduct our pre-clinical studies and clinical trials and to monitor and manage data for our ongoing pre-clinical and clinical programs. We rely on these parties for execution of our pre-clinical studies and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8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and control only certain aspects of their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third-party contractors and CROs are required to comply with Good Laboratory Practice (“GLP”) and GCP requirements, which are regulations and guidelines enforced by the FDA and comparable foreign regulatory authorities with respect to the conduct of clinical trials, and in the case of GLP, certain animal studies. Regulatory authorities enforce these GLP and GCP requirements through periodic inspections of CROs, trial sponsors, principal investigators and trial sites. If we fail to exercise adequate oversight over any of our CROs or if we or any of our CROs fail to comply with applicable GLP or GCP requirements, the non-clinical or clinical data generated in our clinical trials may be deemed unreliable and the FDA, the EMA or comparable foreign regulatory authorities may require us to perform additional studies or clinical trials before approving our marketing applications. We cannot provide assurance that upon a regulatory inspection of us or our CROs or other third parties performing services in connection with our non-clinical studies or clinical trials, such regulatory authority will determine that any of our non-clinical or clinical trials complies with GLP or GCP regulations. In addition, our clinical trials must be conducted with product produced under applicable cGMP and similar foreign regulations. Our failure to comply with these regulations may require us to repeat clinical trials, which would delay the regulatory approval process.</w:t>
      </w:r>
    </w:p>
    <w:p>
      <w:pPr>
        <w:spacing w:after="0" w:line="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Further, these investigators and CROs are not our employees and we will not be able to control, other than by contract, the amount of resources, including time, which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our product candidates. In addition, the use of third-party service providers requires us to disclose our proprietary information to these parties, which could increase the risk that this information will be misappropriated.</w:t>
      </w:r>
    </w:p>
    <w:p>
      <w:pPr>
        <w:spacing w:after="0" w:line="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existing and future CROs have or may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or to do so on commercially reasonable terms. Switching or adding CROs involves additional cost and requires management’s time and focus. In addition, there is a natural transition period when a new CRO commences work. As a result, delays could occur, which could materially impact our ability to meet our desired clinical development timelines. In addition, if our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approvals for, or commercialize, our product candidates. As a result, our results of operations and the commercial prospects would be harmed, our costs could increase and our ability to generate revenues could be delayed.</w:t>
      </w:r>
    </w:p>
    <w:p>
      <w:pPr>
        <w:spacing w:after="0" w:line="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collaboration and license agreement with Nuance Pharma is important to our business. If Nuance Pharma is unable to develop and commercialize products containing ensifentrine in Greater China, if we or Nuance Pharma fail to adequately perform under the Nuance Agreement, or if we or Nuance Pharma terminate the Nuance Agreement, our business would be adversely affected.</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entered into a collaboration and license agreement with Nuance Pharma effective June 9, 2021 (the “Nuance Agreement”) under which we granted Nuance Pharma the exclusive rights to develop and commercialize products containing ensifentrine (the “Nuance Licensed Products”) in Greater China (China, Taiwan, Hong Kong and Macau).</w:t>
      </w:r>
    </w:p>
    <w:p>
      <w:pPr>
        <w:spacing w:after="0" w:line="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spacing w:after="0" w:line="5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Termination of the Nuance Agreement could cause significant setbacks in our ability to develop and commercialize the Nuance Licensed Products in Greater China. Any suitable alternative collaboration or license agreement would take considerable time to negotiate and could also be on less favorable terms to us. In addition, under the Nuance Agreement, Nuance Pharma agreed to assume all costs related to clinical development and commercialization of the Nuance Licensed Products in Greater China. If the Nuance Agreement were to be terminated, and whether or not we identify another suitable collaborator, we may need to seek additional financing to support the clinical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commercialization of the Nuance Licensed Products in Greater China, which could have a material adverse effect on our business.</w:t>
      </w:r>
    </w:p>
    <w:p>
      <w:pPr>
        <w:spacing w:after="0" w:line="10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Under the Nuance Agreement, we are dependent upon Nuance Pharma to successfully develop and commercialize Nuance Licensed Products. Although we have formed a joint steering committee with Nuance Pharma to oversee and coordinate the overall conduct of the clinical development and commercialization of the Nuance Licensed Products in Greater China, we do not control all aspects of Nuance Pharma’s development and commercialization or the resources it allocates to the development of the Nuance Licensed Products identified under the Nuance Agreement. Our interests and Nuance Pharma’s interests may differ or conflict from time to time, or we may disagree with Nuance Pharma’s level of effort or resource allocation. Nuance Pharma may internally prioritize programs under development within the collaboration differently than we would, or it may not allocate sufficient resources to effectively or optimally develop or commercialize the Nuance Licensed Products. If these events were to occur, our ability to receive revenue from the commercialization of the Nuance Licensed Products would be reduced, and our business would be adversely affected. In addition, under the Nuance Agreement, we have an obligation to supply Nuance Pharma with the ensifentrine drug product for their development and commercialization activities in Greater China and if our supply price is too high, the price at which Nuance Pharma sells the drug product in Greater China may not be competitive, which could have a material adverse effect on Nuance Pharma’s ability to successfully commercialize Nuance Licensed Products and the returns that we generate under the Nuance Agreement. Furthermore, the safety and/or efficacy data from Nuance Pharma’s clinical development activities could for various reasons differ from our data and could potentially impact our clinical development and commercialization activities, including our ability to obtain regulatory approval of ensifentrine in other countries.</w:t>
      </w:r>
    </w:p>
    <w:p>
      <w:pPr>
        <w:spacing w:after="0" w:line="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enter into new strategic relationships for ensifentrine, our business, research and development and commercialization prospects could be adversely affected.</w:t>
      </w:r>
    </w:p>
    <w:p>
      <w:pPr>
        <w:spacing w:after="0" w:line="3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development programs for our product candidates and, if approved, their commercialization will require substantial additional cash to fund expenses. Therefore, we may decide to enter into collaborations with pharmaceutical or biopharmaceutical companies for their development and commercialization. For example, we may seek a collaborator for development of our DPI or pMDI formulation of ensifentrine for the maintenance treatment of COPD and potentially asthma and other respiratory diseases.</w:t>
      </w:r>
    </w:p>
    <w:p>
      <w:pPr>
        <w:spacing w:after="0" w:line="7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Collaborations are complex and time consuming to negotiate and document. We may also be restricted under existing and future collaboration agreements from entering into agreements on certain terms with other potential collaborators. We may not be able to negotiate collaborations on acceptable terms, or at all. If that were to occur, we may have to curtail the development of our product candidates, reduce or delay development programs, delay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products or product candidates to market and generate product revenue. If we do enter into collaboration agreements, we could be subject to the following risks, among others, any of which could adversely affect our ability to develop and commercialize our products and product candidates:</w:t>
      </w:r>
    </w:p>
    <w:p>
      <w:pPr>
        <w:spacing w:after="0" w:line="81"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the collaborator devotes to the development of the product candidate;</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collaborator may experience financial difficulties;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relinquish important rights such as marketing, distribution and intellectual property rights;</w:t>
      </w:r>
    </w:p>
    <w:p>
      <w:pPr>
        <w:spacing w:after="0" w:line="103"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could move forward with a competing product developed either independently or in collaboration with third parties, including our competitors;</w:t>
      </w:r>
    </w:p>
    <w:p>
      <w:pPr>
        <w:spacing w:after="0" w:line="68"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and/or efficacy data from a collaborator’s clinical development activities may conflict with our data and could potentially impact our global clinical development and commercialization activities;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unlawfully use or disclose confidential information and materials in breach of confidentiality obligations to us;</w:t>
      </w:r>
    </w:p>
    <w:p>
      <w:pPr>
        <w:spacing w:after="0" w:line="10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collaborator’s business strategy may adversely affect our willingness to complete our obligations under any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80"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 collaborator could fail to adequately perform our obligations under the agreement and/or the agreement could fall into dispute; or</w:t>
      </w:r>
    </w:p>
    <w:p>
      <w:pPr>
        <w:spacing w:after="0" w:line="103"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lawsuits to protect or enforce patents covering our products or product candidates, or relating to the terms of our collaborations, which could be expensive, time consuming and unsuccessful.</w:t>
      </w:r>
    </w:p>
    <w:p>
      <w:pPr>
        <w:spacing w:after="0" w:line="6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third-party manufacturers and suppliers for production of the active pharmaceutical ingredient ensifentrine and its derived formulated products. Our dependence on these third parties may impair the advancement of our research and development programs. Moreover, we rely on third parties to produce commercial supplies of Ohtuvayre, and commercialization could be stopped, delayed or made less profitable if those third parties fail to maintain the necessary approvals from the FDA or comparable regulatory authorities, fail to provide us with sufficient quantities of product in a timely manner or fail to do so at acceptable quality levels or prices or fail to otherwise complete their duties in compliance with their obligations to us or other parties.</w:t>
      </w:r>
    </w:p>
    <w:p>
      <w:pPr>
        <w:spacing w:after="0" w:line="7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We do not own facilities for manufacturing ensifentrine and its derived formulated products. Instead, we rely on and expect to continue to rely on third-party CMOs, for the supply of cGMP- or GMP-grade clinical trial materials of ensifentrine and its derived formulated products, including commercial quantities of Ohtuvayre. While we may contract with other CMOs in the future, we currently have one CMO for the manufacture of ensifentrine drug substance and one CMO for each formulation of ensifentrine. The facilities used to manufacture ensifentrine and its derived formulated products must be approved for the manufacture of ensifentrine by the FDA, and by comparable foreign regulatory authorities for approvals outside the U.S.. While we provide sponsor oversight of manufacturing activities, we do not and will not directly control the manufacturing process of, and are or will be essentially dependent on, our CMOs for compliance with cGMP and similar foreign requirements for the manufacture of ensifentrine and its derived formulated products. If a CMO cannot successfully manufacture material that conforms to our specifications and the regulatory requirements of the FDA or a comparable foreign regulatory authority, it will not be able to secure or maintain regulatory approval for the manufacture of ensifentrine and its derived formulated products in its manufacturing facilities. In addition, we have little direct control over the ability of a CMO to maintain adequate quality control, quality assurance and qualified personnel. If the FDA or a comparable foreign regulatory authority does not approve these facilities for the manufacture of ensifentrine and its derived formulated products or if it withdraws any such approval in the future, we may need to find alternative manufacturing facilities, which would delay our development program and significantly impact our ability to develop, and obtain or maintain regulatory approval for or market ensifentrine and its derived formulated products. In addition, any failure to achieve and maintain compliance with these laws, regulations and standards could subject us to the risk that we may have to suspend the manufacture of ensifentrine and its derived formulated products or that obtained approvals could be revoked. Furthermore, third-party providers may breach existing agreements they have with us because of factors beyond our control. They may also terminate or refuse to renew their agreement because of their own financial difficulties or business priorities, at a time that is costly or otherwise inconvenient for us. If we were unable to find an adequate replacement or another acceptable solution in time, our clinical trials could be delayed or our commercial activities could be harmed. In addition, the fact that we are dependent on our suppliers, CMOs and other third parties for the manufacture, storage and distribution of ensifentrine and its derived formulated products means that we are subject to the risk that ensifentrine and its derived formulated products may have manufacturing defects that we have limited ability to prevent, detect or control.</w:t>
      </w:r>
    </w:p>
    <w:p>
      <w:pPr>
        <w:spacing w:after="0" w:line="8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rely on and will continue to rely on CMOs to purchase from third-party suppliers the materials necessary to produce ensifentrine and its derived formulated products and the inhalation and nebulization devices to deliver ensifentrine. We do not and will not have any direct control over the process or timing of the acquisition and delivery of these supplies by any CMO or its third-party suppliers, or the quality or quantity of such supplies. These supplies could be interrupted from time to time and, if interrupted, we cannot be certain that alternative supplies could be obtained within a reasonable timeframe, at an acceptable cost or quality, or at all. There are a limited number of suppliers for the raw materials that we may use to manufacture ensifentrine and for the drug delivery devices (e.g. nebulizers) that we use for clinical trials with ensifentrine, and we will need to assess alternate suppliers to prevent a possible disruption to our clinical trials and commercial sales. Although we generally do not begin a clinical trial unless we believe we have on hand, or will be able to obtain, a sufficient supply of ensifentrine to complete the clinical trial, any significant delay in the supply of ensifentrine drug products, or the raw material components needed to produce, or devices needed to deliver, ensifentrine, for an ongoing clinical trial due to our CMOs or their third-party suppliers could considerably delay completion of our clinical trials, product testing and potential regulatory approval of ensifentrine. If our CMOs, their third-party supplies, or we are unable to purchase these supplies, the commercial launch of Ohtuvayre would be delayed or there would be a shortage in supply, which would impair our ability to generate revenues from the sale of Ohtuvayre. In addition, growth in the costs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expenses of these supplies may impair our ability to cost-effectively manufacture ensifentrine. Additionally, CMOs are experiencing labor constraints which could impact their ability to manufacture and deliver ensifentrine.</w:t>
      </w:r>
    </w:p>
    <w:p>
      <w:pPr>
        <w:spacing w:after="0" w:line="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rely and will continue to rely on CMOs and third-party suppliers to comply with and respect the proprietary rights of others in conducting their contractual obligations for us. If a CMO or third-party suppliers fails to acquire the proper licenses or otherwise infringes third-party proprietary rights in the course of providing services to us, we may have to find alternative CMOs or third-party suppliers, or defend against claims of infringement, either of which would significantly impact our ability to develop, obtain regulatory approval for, or market ensifentrine and any of its derived formulated products.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rely on patents and other intellectual property rights to protect our products and product candidates, the enforcement, defense and maintenance of which may be challenging and costly. Failure to enforce or protect these rights adequately could harm our ability to compete and impair our business.</w:t>
      </w:r>
    </w:p>
    <w:p>
      <w:pPr>
        <w:spacing w:after="0" w:line="6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commercial success depends in part on obtaining and maintaining patents and other forms of intellectual property rights for our products and product candidates, or on in-licensing such rights. The registrations of the assignment of each of these patents and patent applications with the relevant authorities in certain jurisdictions in which the patent and patent applications are registered have been granted, but there is no assurance that any additional registrations will be effected in a timely manner or at all. Failure to protect or to obtain, maintain or extend adequate patent and other intellectual property rights could adversely affect our ability to develop and market Ohtuvayre or our product candidates.</w:t>
      </w:r>
    </w:p>
    <w:p>
      <w:pPr>
        <w:spacing w:after="0" w:line="6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or our licensors, licensees or collaborators may not be able to prepare, file and prosecute all necessary or desirable patent applications at a reasonable cost or in a timely manner or in all jurisdictions. It is also possible that we or our licensors, licensees or collaborators will fail to identify patentable aspects of inventions made in the course of development and commercialization activities before it is too late to obtain patent protection on them. Moreover, depending on the terms of any future in-licenses to which we may become a party, in some circumstances we may not have the right to control the preparation, filing and prosecution of patent applications, or to maintain the patents, covering technology in-licensed from third parties. Therefore, these patents and applications may not be prosecuted and enforced in a manner consistent with the best interests of our business. Further, the issuance, scope, validity, enforceability and commercial value of our and our current or future licensors’, licensees’ or collaborators’ patent rights are highly uncertain. Our and our licensors’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We cannot provide assurance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ensifentrine, third parties may initiate an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8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Because patent applications are confidential for a period of time after filing, and some remain so until issued, we cannot be certain that we or our licensors were the first to file any patent application related to ensifentrine. Furthermore, if third parties have filed such patent applications on or before March 15, 2013, the date on which the U.S. patent filing system changed from a first-to-invent to a first-to-file standard,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manufacture and market our products and our product candidates, if approved.</w:t>
      </w:r>
    </w:p>
    <w:p>
      <w:pPr>
        <w:spacing w:after="0" w:line="3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but not limited to the identification of relevant patents, the scope of patent claims or the expiration of relevant patents, are complete or thorough, nor can we be certain that we have identified each and every third-party patent and pending application in the U.S. and abroad that is relevant to or necessary for the commercialization of our products in any jurisdiction.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product candidates could have been filed by others without our knowledge. Additionally, pending patent applications that have been published can, subject to certain limitations, be later amended in a manner that could cover our products or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and, if approved, our product candidates. We may incorrectly determine that one of our products or product candidates is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products or, if approved, our product candidates. Our failure to identify and correctly interpret relevant patents may negatively impact our ability to develop and market our products and, if approved, our product candidates.</w:t>
      </w:r>
    </w:p>
    <w:p>
      <w:pPr>
        <w:spacing w:after="0" w:line="6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our products or, if approved, our product candidates. We might, if possible, also be forced to redesign our products or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patents covering our products or product candidates, which could be expensive, time consuming and unsuccessful, and issued patents could be found invalid or unenforceable if challenged in court.</w:t>
      </w:r>
    </w:p>
    <w:p>
      <w:pPr>
        <w:spacing w:after="0" w:line="5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To protect our competitive position, we may from time to time need to resort to litigation in order to enforce or defend any patents or other intellectual property rights owned by or licensed to us, or to determine or challenge the scope or validity of patents or other intellectual property rights of third parties. As enforcement of intellectual property rights is difficult, unpredictable, time consuming and expensive, we may fail in enforcing our rights — in which case our competitors may be permitted to use our technology without being required to pay us any license fees. In addition, however, litigation involving our patents carries the risk that one or more of our patents will be held invalid (in whole or in part, on a claim-by-claim basis) or held unenforceable. Such an adverse court ruling could allow third parties to commercialize our products or product candidates, and then compete directly with us, without payment to us. If we in-license intellectual property rights, our agreements may give our licensors the first right to control claims of third-party infringement, or to defend validity challenges. Therefore, these patents and patent applications may not be enforced or defended in a manner consistent with the best interests of our business.</w:t>
      </w:r>
    </w:p>
    <w:p>
      <w:pPr>
        <w:spacing w:after="0" w:line="8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If we were to initiate legal proceedings against a third party to enforce a patent covering one of our products or product candidates, the defendant could counterclaim that our patent is invalid or unenforceable. In patent litigation in the U.S. or in Europe,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 Patent and Trademark Office, or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our products or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candidates. Patents and other intellectual property rights also will not protect our technology if competitors design around our protected technology without infringing our patents or other intellectual property rights.</w:t>
      </w:r>
    </w:p>
    <w:p>
      <w:pPr>
        <w:spacing w:after="0" w:line="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industry commentators or investors perceive these results to be negative, it could have an adverse effect on the price of our ADSs.</w:t>
      </w:r>
    </w:p>
    <w:p>
      <w:pPr>
        <w:spacing w:after="0" w:line="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3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Our commercial success depends, in part, upon our ability, and the ability of our future collaborators, to develop, manufacture, market and sell our products and, if approved, our product candidates without alleged or actual infringement, misappropriation or other violation of the patents and proprietary rights of third parties. There have been many lawsuits and other proceedings involving patent and other intellectual property rights in the biotechnology and pharmaceutical industries, including patent infringement lawsuits, interferences, oppositions and reexamination proceedings before the USPTO and corresponding foreign patent offices. The various markets in which we plan to operate are subject to frequent and extensive litigation regarding patents and other intellectual property rights. In addition, many companies in intellectual property-dependent industries, including the biopharmaceutical and pharmaceutical industries, have employed intellectual property litigation as a means to gain an advantage over their competitors. Numerous U.S. and foreign issued patents and pending patent applications, which are owned by third parties, exist in the fields in which we are developing ensifentrine.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our products may be subject to claims of infringement of the intellectual property rights of third parties.</w:t>
      </w:r>
    </w:p>
    <w:p>
      <w:pPr>
        <w:spacing w:after="0" w:line="8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may in the future become party to, or be threatened with, adversarial proceedings or litigation regarding intellectual property rights with respect to Ohtuvayre and any existing or future product candidates, including interference or derivation proceedings, post grant review and inter partes review before the USPTO or similar adversarial proceedings or litigation in other jurisdictions. Similarly, we or our licensors or collaborators may initiate such proceedings or litigation against third parties, for example, to challenge the validity or scope of intellectual property rights controlled by third parties.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and the holders of any such patents may be able to block our ability to commercialize such product candidate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or product candidate unless we obtained a license or until such patent expires or is finally determined to be invalid or unenforceable. Such licenses may not be available on reasonable terms, or at all, or may be non-exclusive thereby giving our competitors access to the same technologies licensed to us.</w:t>
      </w:r>
    </w:p>
    <w:p>
      <w:pPr>
        <w:spacing w:after="0" w:line="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If we fail in any such dispute, we may be forced to pay damages, including the possibility of treble damages in a patent case if a court finds us to have willfully infringed certain intellectual property rights. We or our licensees may be temporarily or permanently prohibited from commercializing Ohtuvayre or from selling, incorporating, manufacturing or using our products or product candidates in the U.S. and/or other jurisdictions that use the subject intellectual property. We might, if possible, also be forced to redesign our products or product candidates so that we no longer infringe the third-party intellectual property rights, which may result in significant cost or delay to us, or which redesign could be technically infeasible. Any of these events, even if we were ultimately to prevail, could require us to divert substantial financial and management resources that we would otherwise be able to devote to our business.</w:t>
      </w: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if the breadth or strength of protection provided by our or our licensors’ or collaborators’ patents and patent applications is threatened, it could dissuade companies from collaborating with us to license, develop or commercialize Ohtuvayre or any existing or future product candidates.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Although we are not currently experiencing any claims challenging the inventorship of our patents or ownership of our intellectual property, we may in the future be subject to claims that former employees, collaborators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9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such perceptions could have a substantial adverse effect on the price of our ADSs.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w:t>
      </w:r>
    </w:p>
    <w:p>
      <w:pPr>
        <w:spacing w:after="0" w:line="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existing and any future intellectual property licenses, the 2024 Loan Agreement, the RIPSA or any other future loan agreements with third parties, we could lose rights that are important to our business.</w:t>
      </w:r>
    </w:p>
    <w:p>
      <w:pPr>
        <w:spacing w:after="0" w:line="5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are party to a license agreement with Ligand, under which we in-license certain intellectual property and were assigned certain patents and patent applications related to our business. We may enter into additional license agreements in the future. We expect that any future license agreements would impose various diligence, milestone payment, royalty, insurance and other obligations on us. We also entered into the 2024 Loan Agreement with the 2024 Lenders. The 2024 Term Loans is secured by a first-priority lien on substantially all of the assets of Verona Pharma, Inc. and the Company, including intellectual property. We also entered into the RIPSA with the Purchasers. The RIPSA is secured by a second-priority lien on certain of our intellectual property. For further description of the 2024 Term Loans and RIPSA, see Note 6 - Debt to the unaudited condensed consolidated financial statements included elsewhere in this Quarterly Report on Form 10-Q. Any uncured, material breach under any of these agreements could result in our loss of rights to practice the patent rights and other intellectual property under these agreements, and could compromise our development and commercialization efforts for our products. Moreover, our future licensors may own or control intellectual property that has not been licensed to us and, as a result, we may be subject to claims, regardless of their merit, that we are infringing or otherwise violating the licensor’s rights.</w:t>
      </w:r>
    </w:p>
    <w:p>
      <w:pPr>
        <w:spacing w:after="0" w:line="6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maintaining the necessary rights to our products or product candidates or obtaining other intellectual property rights important to our business through acquisitions and in-licenses.</w:t>
      </w:r>
    </w:p>
    <w:p>
      <w:pPr>
        <w:spacing w:after="0" w:line="5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currently own and have in-licensed rights to intellectual property, including patents, patent applications and know-how, and our success will likely depend on maintaining these rights. Because our programs may require the use of proprietary rights held by third parties, the growth of our business will likely depend in part on our ability to acquire, in-license, maintain or use these proprietary rights. In addition, our products or product candidates may require specific formulations to work effectively and the rights to these formulations may be held by others. We may be unable to acquire or in-license any compositions, methods of use, processes, or other third-party intellectual property rights that we identify as necessary for our products or product candidates. The licensing and acquisition of third-party intellectual property rights is a competitive area, and a number of more established companies also are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 rights necessary for a development program on acceptable terms, we may have to abandon that development program.</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competitive position may be adversely affected.</w:t>
      </w:r>
    </w:p>
    <w:p>
      <w:pPr>
        <w:spacing w:after="0" w:line="5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have registered trademarks in some territories and made applications to register the trademarks in other territories for potential trade names for our business and products and product candidates. We may not be able to obtain trademark protection for our trade names in territories that we consider of significant importance to us. If we register trademarks, our trademark applications may be rejected during trademark registration proceedings. Although we will be given an opportunity to respond to those rejections, we may be unable to overcome such rejections. In addition, any of our trademarks or trade names, whether registered or unregistered, may be challenged, opposed, infringed, cancelled, circumvented or declared generic or determined to be infringing on other marks. We may not be able to protect our rights to these trademarks and trade names, which we need to build name recognition by potential collaborators or customers in our markets of interest. Over the long-term, if we are unable to establish name recognition based on our trademarks and trade names, then we may not be able to compete effectively and our business may be adversely affected. If other entities use trademarks similar to ours in different jurisdictions, or have senior rights to ours, it could interfere with our use of our current trademarks throughout the world.</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protection under the Hatch-Waxman Amendments and similar non-U.S. legislation for extending the term of patents covering Ohtuvayre and any of our product candidates, our ability to compete effectively could be impaired.</w:t>
      </w:r>
    </w:p>
    <w:p>
      <w:pPr>
        <w:spacing w:after="0" w:line="6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Patents have a limited lifespan. In the U.S., if all maintenance fees are timely paid, the natural expiration of a patent is generally 20 years from its earliest U.S. non-provisional filing date. The issued patents covering the composition of matter for Ohtuvayre expired in 2020, and our other issued patents will expire in 2031 to 2041, subject to any patent extensions that may be available for such patents. If patents are issued on our pending patent applications, the resulting patents are projected to expire on dates ranging from 2034 to 2044. Various extensions may be available, but the life of a patent, and the protection it affords, is limited. Even if patents covering Ohtuvayre are obtained, once the patent life has expired for a product, we may be open to competition from competitive medications, including generic medications.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8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One of our U.S. patents for Ohtuvayre may be eligible for limited patent term extension under the Drug Price Competition and Patent Term Restoration Act of 1984, referred to as the Hatch-Waxman Amendments, and similar legislation in the EU.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6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Generic drug manufacturers can also challenge the patents of a brand-name drug under the Hatch-Waxman Act. When a generic drug manufacturer files an Abbreviated New Drug Application (ANDA) with the FDA to seek approval for a generic version of a drug that is already on the market, they must make certain certifications regarding the patents listed for the drug in the Orange Book. The Orange Book lists patents that innovator drug companies assert cover their drug products or use of those products and a Paragraph IV certification is a legal challenge to the validity or enforceability of the patent(s) listed in the Orange Book. If the generic applicant makes a Paragraph IV certification, they must also notify the patent holder and the NDA (New Drug Application) holder that they have filed an ANDA with a Paragraph IV certification, providing detailed reasons why the patent is not valid or not infringed. The filing of a Paragraph IV certification can trigger a statutory stay of approval of the ANDA for 30 months while the parties engage in patent litigation, unless the litigation is resolved in favor of the generic applicant sooner or the court orders otherwise. This process can be a critical aspect of the generic drug approval pathway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may impact the timing of a generic drug’s entry into the market. Our ability to assert or defend patents covering Ohtuvayre through this process will be adversely affected if we fail to seek listing of eligible patents in the Orange Book, or fail to otherwise maintain patents for which we have already obtained Orange Book listing.</w:t>
      </w:r>
    </w:p>
    <w:p>
      <w:pPr>
        <w:spacing w:after="0" w:line="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enjoy only limited geographical protection with respect to certain patents and may face difficulties in certain jurisdictions, which may diminish the value of our intellectual property rights in those jurisdictions.</w:t>
      </w:r>
    </w:p>
    <w:p>
      <w:pPr>
        <w:spacing w:after="0" w:line="3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generally file our first patent application, or priority filing, at the U.K. Intellectual Property Office or the U.S. Patent and Trademark Office. International applications under the Patent Cooperation Treaty, or PCT, are usually filed within 12 months after the priority filing. Based on the PCT filing, national and regional patent applications may be filed in additional jurisdictions where we believe a product candidate may be marketed or manufactured. We have so far not filed for patent protection for our products in all national and regional jurisdictions where such protection may be available. Filing, prosecuting and defending patents in all countries throughout the world would be prohibitively expensive, and our intellectual property rights in some countries outside the U.S. can be less extensive than those in the U.S.. In addition, we may decide to abandon national and regional patent applications before grant. The grant proceeding of each national or regional patent is an independent proceeding which may lead to situations in which applications might in some jurisdictions be refused by the relevant patent offices, while granted by others. For example, unlike other countries, China has a heightened requirement for patentability, and specifically requires a detailed description of medical uses of a claimed drug.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It is also quite common that depending on the country, the scope of patent protection may vary for the same product candidate or technology.</w:t>
      </w:r>
    </w:p>
    <w:p>
      <w:pPr>
        <w:spacing w:after="0" w:line="7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Competitors may use our or our licensors’ or collaborators’ technologies in jurisdictions where we have not obtained patent protection to develop their own products and, further, may export otherwise infringing products to territories where we or our licensors or collaborators have patent protection, but enforcement is not as strong as that in the U.S.. These products may compete with our product candidates, and our and our licensors’ or collaborators’ patents or other intellectual property rights may not be effective or sufficient to prevent them from competing.</w:t>
      </w:r>
    </w:p>
    <w:p>
      <w:pPr>
        <w:spacing w:after="0" w:line="7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or rules and regulations in the U.S. and the EU,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7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Some countries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80" w:lineRule="exact"/>
        <w:rPr>
          <w:sz w:val="20"/>
          <w:szCs w:val="20"/>
          <w:color w:val="auto"/>
        </w:rPr>
      </w:pPr>
    </w:p>
    <w:p>
      <w:pPr>
        <w:ind w:left="340" w:right="20" w:hanging="332"/>
        <w:spacing w:after="0" w:line="266" w:lineRule="auto"/>
        <w:tabs>
          <w:tab w:leader="none" w:pos="3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the same as or similar to our products or product candidates but that are not covered by the claims of the patents that we own or have exclusively licensed;</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third parties may impair our ability to develop or commercialize our products or product candidates;</w:t>
      </w:r>
    </w:p>
    <w:p>
      <w:pPr>
        <w:spacing w:after="0" w:line="10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any future strategic collaborators might not have been the first to conceive or reduce to practice the inventions covered by the issued patent or pending patent application that we own or have exclusively licensed;</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any future collaborators might not have been the first to file patent applications covering certain of our inventions;</w:t>
      </w:r>
    </w:p>
    <w:p>
      <w:pPr>
        <w:spacing w:after="0" w:line="10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 or may be held invalid or unenforceable, as a result of legal challenges by our competitors;</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performing manufacturing or testing for us using our product candidates or technologies could use the intellectual property of others without obtaining a proper license; and</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technologies that are patentable.</w:t>
      </w:r>
    </w:p>
    <w:p>
      <w:pPr>
        <w:spacing w:after="0" w:line="1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laws or patent jurisprudence could diminish the value of patents in general, thereby impairing our ability to protect our products or any existing or future product candidates.</w:t>
      </w:r>
    </w:p>
    <w:p>
      <w:pPr>
        <w:spacing w:after="0" w:line="6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complexity and legal complexity. Therefore, obtaining and enforcing biopharmaceutical patents is costly, time consuming and inherently uncertain. In addition, the America Invents Act, or the AIA, which was passed on September 16, 2011, resulted in significant changes to the U.S. patent system.</w:t>
      </w:r>
    </w:p>
    <w:p>
      <w:pPr>
        <w:spacing w:after="0" w:line="6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An important change introduced by the AIA is that, as of March 16, 2013, the U.S.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requires us to be cognizant of the time from invention to filing of a patent application, but circumstances could prevent us from promptly filing patent applications on our inventions.</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Accordingly, a third party may attempt to use the USPTO procedures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or collaboration partners’ patent applications and the enforcement or defense of our or our licensors’ or collaboration partners’ issued patents.</w:t>
      </w:r>
    </w:p>
    <w:p>
      <w:pPr>
        <w:spacing w:after="0" w:line="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has created uncertainty with respect to the value of patents, once obtained. Depending on decisions by Congress, the federal courts and the 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has also increased in recent years. In addition, the European patent system is relatively stringent in the type of amendments that are allowed during prosecution. Complying with these laws and regulations could limit our ability to obtain new patents in the future that may be important for our business.</w:t>
      </w:r>
    </w:p>
    <w:p>
      <w:pPr>
        <w:spacing w:after="0" w:line="6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Finally, a Unitary Patent and Unified Patent Court (UPC) system were implemented in Europe on June 1, 2023. This new regime may present uncertainties for our ability to protect and enforce our patent rights against competitors in Europe. Under the UPC, all European patents in countries taking part in the UPC, including those issued prior to ratification of the European Patent Package, by default automatically fall under the jurisdiction of the UPC. The UPC provides our competitors with a new forum to centrally revoke our European patents in UPC countries, and allows for the possibility of a competitor to obtain pan-European injunctions. It will be several years before we will understand the scope of patent rights that will be recognized and the strength of patent remedies that will be provided by the UPC. Under the UPC agreement, we will have the right to opt our patents out of the UPC over the first seven years of the court’s existence, but doing so may preclude us from realizing the benefits of the new unified court.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 of trade secrets and protect other proprietary information.</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consider proprietary trade secrets and confidential know-how and unpatented know-how to be important to our business. We may rely on trade secrets or confidential know-how to protect our technology, especially where patent protection is believed to be of limited value. However, trade secrets and confidential know-how are difficult to maintain as confidential.</w:t>
      </w:r>
    </w:p>
    <w:p>
      <w:pPr>
        <w:spacing w:after="0" w:line="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However, current or former employees, consultants, contractors and advisors may unintentionally or willfully disclose our confidential information to competitors, and confidentiality agreements may not provide an adequate remedy in the event of unauthorized disclosure of confidential information. Enforcing a claim that a third party obtained illegally and is using trade secrets and/or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Failure to obtain or maintain trade secrets and confidential know-how trade protection could adversely affect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trade secrets and/or confidential know-how.</w:t>
      </w:r>
    </w:p>
    <w:p>
      <w:pPr>
        <w:spacing w:after="0" w:line="5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or sustain damages. Such intellectual property rights could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collaboration partners fail to maintain the patents and patent applications covering our products or product candidates, our competitors might be able to enter the market, which would hurt our competitive position and could impair our ability to successfully commercialize Ohtuvayre or any existing or future product candidate.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and those of our manufacturers, suppliers and other third parties that we use to perform services for us or otherwise collaborate with, may fail or suffer security breaches, which could distract our operations and cause delays in our research and development and commercialization activities, and may adversely affect our business, operations and financial performance.</w:t>
      </w:r>
    </w:p>
    <w:p>
      <w:pPr>
        <w:spacing w:after="0" w:line="5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the ordinary course of our business, we and our manufacturers, suppliers and third parties that we use to perform services for us or otherwise collaborate with, collect and store sensitive data, including intellectual property, clinical trial data, sales, forecasting, and commercial performance data, proprietary business information and personally identifiable information (collectively, “Confidential Information”) of our clinical trial subjects and employees, in our and third-party data centers and on our and third-party networks. The secure processing, maintenance and transmission of Confidential Information is critical to our operations. Our information technology and other internal infrastructure systems, including cloud services, corporate firewalls, servers, leased lines and connection to the Internet, and that of our manufacturers, suppliers and other third parties that we use to perform services for us or otherwise collaborate with, face the risk of systemic failure that could disrupt our operations. A significant disruption in the availability of these information technology and other internal infrastructure systems could cause interruptions in our collaborations and delays in our research and development and commercialization activities.</w:t>
      </w:r>
    </w:p>
    <w:p>
      <w:pPr>
        <w:spacing w:after="0" w:line="6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Further, our information technology systems and those of our third-party service providers, strategic partners and other contractors or consultants are vulnerable to damage, attack or interruption from computer viruses, malware (e.g. ransomware), misconfigurations, “bugs” or other vulnerabilities, natural disasters, terrorism, war, telecommunication and electrical failures, hacking, cyberattacks, phishing attacks and other social engineering schemes, malicious code, employee theft or misuse, human error, fraud, denial or degradation of service attacks, sophisticated nation-state and nation-state-supported actors or unauthorized access or use by persons inside our organization, or persons with access to systems inside our organization. Attacks upon information technology systems are increasing in their frequency, levels of persistence, sophistication and intensity, and are being conducted by sophisticated and organized groups and individuals with a wide range of motives and expertise. As a result of a continued hybrid working environment,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or disrupt,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There can also be no assurance that our and our manufacturers’, suppliers’ and other critical third parties’ cybersecurity risk management program and processes, including policies, controls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procedures, will be fully implemented, complied with or effective in protecting our systems, networks and Confidential Information.</w:t>
      </w:r>
    </w:p>
    <w:p>
      <w:pPr>
        <w:spacing w:after="0" w:line="10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Despite security measures that we and our critical third parties (e.g., collaborators) implement, our information technology and infrastructure may be vulnerable to attacks by hackers or internal bad actors, breaches due to human error, technical vulnerabilities, malfeasance or other disruptions. We and certain of our service providers are from time to time subject to cyberattacks and security incidents. Although to our knowledge we have not experienced any significant security breach to date, any such breach could compromise our information technology systems and the Confidential Information stored there could be accessed, publicly disclosed, lost or stolen. Any such access, disclosure or other loss of information could result in legal claims or proceedings, liability under laws that protect the privacy of personal data, regulatory penalties, disrupt our operations, damage our reputation, and cause a loss of confidence in us and our ability to conduct clinical trials and commercialize our product candidates, which could adversely affect our reputation and delay clinical development and commercialization of our product candidates. Any adverse impact to the availability, integrity or confidentiality of our or third-party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losses, costs or liabilities may not be covered by, or may exceed the coverage limits of, any or all applicable insurance policies.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growth and ability to compete depends on our ability to retain our key personnel and recruit additional qualified personnel.</w:t>
      </w:r>
    </w:p>
    <w:p>
      <w:pPr>
        <w:spacing w:after="0" w:line="10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Our success depends upon the contributions of our key management, scientific and technical personnel, many of whom have been instrumental for us and have substantial experience with ensifentrine and related technologies. Our key management individuals include our chief executive officer, David Zaccardelli, our chief financial officer, Mark Hahn, our general counsel, Andrew Fisher, our chief medical officer, Kathleen Rickard, our senior vice president, regulatory affairs, Caroline Diaz, our chief commercial officer, Christopher Martin, and our chief development officer, Tara Rheault. The loss of key personnel could impact our commercialization efforts and research and development activities. In addition, the competition for qualified personnel in the biopharmaceutical and pharmaceutical field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achieve our commercialization goals for Ohtuvayre and our product candidate development objectives, raise additional capital and implement our business strategy.</w:t>
      </w:r>
    </w:p>
    <w:p>
      <w:pPr>
        <w:spacing w:after="0" w:line="7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are continuing to expand our development, regulatory, commercial, sales, marketing, reimbursement and distribution capabilities, and as a result, we may encounter difficulties in managing our growth, which could disrupt our operations.</w:t>
      </w:r>
    </w:p>
    <w:p>
      <w:pPr>
        <w:spacing w:after="0" w:line="6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have experienced significant growth in the number of our employees and the scope of our operations, particularly in the areas of commercial operations and sales, marketing, reimbursement and distribution. To manage this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ADSs</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Certain of our shareholders, members of our board of directors, and senior management who own our ordinary shares (including ordinary shares represented by ADSs) may be able to exercise significant control over us.</w:t>
      </w:r>
    </w:p>
    <w:p>
      <w:pPr>
        <w:spacing w:after="0" w:line="6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Depending on the level of attendance at our general meetings of shareholders, these shareholders either alone or voting together as a group may be in a position to determine or significantly influence the outcome of decisions taken at any such general meeting. Any shareholder or group of shareholders controlling more than 50% of the share capital present and voting at our general meetings of shareholders may control any shareholder resolution requiring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simple majority, including the appointment of board members, certain decisions relating to our capital structure, and the approval of certain significant corporate transactions. Among other consequences, this concentration of ownership may have the effect of delaying or preventing a change in control and might therefore negatively affect the market price of our ADSs and ordinary shares.</w:t>
      </w:r>
    </w:p>
    <w:p>
      <w:pPr>
        <w:spacing w:after="0" w:line="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ADSs or ordinary shares in the foreseeable future, capital appreciation, if any, will be our ADS holders’ and shareholders’ sole source of gains and they may never receive a return on their investment.</w:t>
      </w:r>
    </w:p>
    <w:p>
      <w:pPr>
        <w:spacing w:after="0" w:line="3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Under current English law, a company’s accumulated realized profits must exceed its accumulated realized losses (on a non-consolidated basis) before dividends can be paid. Therefore, we must have distributable profits before issuing a dividend. We have not paid dividends in the past on our ordinary shares. We intend to retain earnings, if any, for use in our business and do not anticipate paying any cash dividends in the foreseeable future. As a result, capital appreciation, if any, on our ADSs or ordinary shares will be our ADS holders’ and shareholders’ sole source of gain for the foreseeable future, and they will suffer a loss on their investment if they are unable to sell their ADSs or ordinary shares at or above the price at which they were purchased. Investors seeking cash dividends should not purchase our ADSs or ordinary shares.</w:t>
      </w:r>
    </w:p>
    <w:p>
      <w:pPr>
        <w:spacing w:after="0" w:line="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Holders of our ADSs may not have the same voting rights as the holders of our ordinary shares and may not receive voting materials in time to be able to exercise their right to vote.</w:t>
      </w:r>
    </w:p>
    <w:p>
      <w:pPr>
        <w:spacing w:after="0" w:line="5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Holders of our ADSs are not able to exercise voting rights attaching to the ordinary shares evidenced by our ADSs on an individual basis. Holders of our ADSs have appointed a depositary as their representative to exercise the voting rights attaching to the ordinary shares represented by their ADSs. Holders of our ADSs may not receive voting materials in time to instruct the depositary to vote, and it is possible that they,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holders of our ADSs may not be able to exercise voting rights and may lack recourse if their ADSs are not voted as requested. In addition, holders of our ADSs will not be able to call a shareholders’ meeting.</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Holders of our ADSs may not receive distributions on our ordinary shares represented by our ADSs or any value for them if it is illegal or impractical to make them available to them.</w:t>
      </w:r>
    </w:p>
    <w:p>
      <w:pPr>
        <w:spacing w:after="0" w:line="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depositary for our ADSs has agreed to pay to holders of our ADSs the cash dividends or other distributions it or the custodian receives on our ordinary shares or other deposited securities after deducting its fees and expenses. Holders of our ADSs will receive these distributions in proportion to the number of our ordinary shares their ADSs represent. However, in accordance with the limitations set forth in the deposit agreement entered into with the depositary, it may be unlawful or impractical to make a distribution available to holders of our ADSs. We have no obligation to take any other action to permit the distribution of our ADSs, ordinary shares, rights or anything else to holders of our ADSs. This means that holders of our ADSs may not receive the distributions we make on our ordinary shares or any value from them if it is unlawful or impractical to make the distributions available to them. These restrictions may have a material adverse effect on the value of our ADSs.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ADSs may be subject to limitations on transfer of their ADSs.</w:t>
      </w:r>
    </w:p>
    <w:p>
      <w:pPr>
        <w:spacing w:after="0" w:line="10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in accordance with the terms of the deposit agreement. These limitations on transfer may have a material adverse effect on the value of our ADSs.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differ from the rights typically offered to shareholders of a U.S. corporation.</w:t>
      </w:r>
    </w:p>
    <w:p>
      <w:pPr>
        <w:spacing w:after="0" w:line="1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material respects from the rights of shareholders in typical U.S. corporations. As a result, investors in our ordinary shares or ADSs may not have the same protections or rights as they would if they had invested in a U.S. corporation. This may make our ADSs less attractive to such investors, which could harm the value of our ADSs.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of U.S. civil liabilities may not be enforceable against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incorporated under English law. Substantially all of our assets are located outside the U.S.. The majority of our senior management and board of directors reside outside the U.S.. As a result, it may not be possible for investors to effect service of process within the U.S. upon such persons or to enforce judgments obtained in U.S. courts against them or us, including judgments predicated upon the civil liability provisions of the U.S. federal securities laws.</w:t>
      </w:r>
    </w:p>
    <w:p>
      <w:pPr>
        <w:spacing w:after="0" w:line="7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U.S. and the U.K. do not currently have a treaty providing for recognition and enforcement of judgments (other than arbitration awards) in civil and commercial matters. Consequently, a final judgment for payment given by a court in the U.S., whether or not predicated solely upon U.S. securities laws, would not automatically be recognized or enforceable in the U.K.. In addition, uncertainty exists as to whether U.K. courts would entertain original actions brought in the U.K. against us or our directors or senior management predicated upon the securities laws of the U.S. or any state in the U.S.. Any final and conclusive monetary judgment for a definite sum obtained against us in U.S. courts would be treated by the courts of the U.K.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8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a result, U.S. investors may not be able to enforce against us or our senior management, board of directors or certain experts named herein who are residents of the U.K. or countries other than the U.S. any judgments obtained in U.S. courts in civil and commercial matters, including judgments under the U.S. federal securities laws.</w:t>
      </w:r>
    </w:p>
    <w:p>
      <w:pPr>
        <w:spacing w:after="0" w:line="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ADSs.</w:t>
      </w:r>
    </w:p>
    <w:p>
      <w:pPr>
        <w:spacing w:after="0" w:line="5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As we continue to transition to a commercial company following the FDA’s approval of Ohtuvayre, our internal controls over financial reporting may become more complex, which could increase the probability of deficiencies in our internal controls in the future. Inadequate internal controls could also cause investors to lose confidence in our reported financial information, which could have a negative effect on the trading price of our ADSs.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21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our tax rates, unavailability of certain tax credits or reliefs or exposure to additional tax liabilities or assessments could affect our profitability, and audits by tax authorities could result in additional tax payments for prior periods.</w:t>
      </w:r>
    </w:p>
    <w:p>
      <w:pPr>
        <w:spacing w:after="0" w:line="3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or interpreted, changed, modified or applied adversely to us, any of which could adversely affect our business operations and financial performance. We are currently unable to predict whether such changes will occur and, if so, the ultimate impact on our business. To the extent that such changes have a negative impact on us, including as a result of related uncertainty, these changes may materially and adversely impact our business, financial condition, results of operations and cash flows.</w:t>
      </w:r>
    </w:p>
    <w:p>
      <w:pPr>
        <w:spacing w:after="0" w:line="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carry out research and development activities including, but not limited to, developing ensifentrine for various indications and delivery methods, and as a result we currently benefit in the U.K. from the HM Revenue and Customs, or HMRC, small and medium sized enterprises research and development relief, or SME R&amp;D Relief, which currently provides relief against U.K. Corporation Tax.</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Broadly, SME R&amp;D Relief comprises two elements, (a) allowing qualifying SMEs to deduct a total of 186% of their qualifying expenditure from their yearly profit for U.K. Corporation Tax purposes (the deduction is given by allowing an additional 86% deduction plus the usual 100% deduction), or the SME R&amp;D Additional Deduction and,(b) where there are not sufficient profits for U.K. Corporation Tax purposes to fully utilize the SME R&amp;D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 Deduction, the excess (“surrenderable losses”) can be carried forward to offset against future taxable profits, or a tax credit currently equal to 10% of such surrenderable loss can be claimed in cash, or the SME R&amp;D Tax Credit.</w:t>
      </w:r>
    </w:p>
    <w:p>
      <w:pPr>
        <w:spacing w:after="0" w:line="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Based on criteria established by HMRC a portion of expenditure incurred in relation to our research and development activities including, but not limited to, operating clinical trials, manufacturing, consultant and salary and related costs, is eligible for the SME R&amp;D Additional Deduction. Our consequential surrenderable losses are currently eligible for the SME R&amp;D Tax Credit, in accordance with HMRC criteria.</w:t>
      </w:r>
    </w:p>
    <w:p>
      <w:pPr>
        <w:spacing w:after="0" w:line="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financial statements for the years ended December 31, 2023 and December 31, 2022, we recorded SME R&amp;D Tax Credits of $2.4 million and $8.6 million, respectively. We received the credit relating to the year ended December 31, 2022 in June 2024. Based on the HMRC criteria, we expect to receive the credit relating to the year ended December 31, 2023 in the year ending December 31, 2025.</w:t>
      </w:r>
    </w:p>
    <w:p>
      <w:pPr>
        <w:spacing w:after="0" w:line="5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Changes to the U.K.’s SME R&amp;D Relief regime may adversely affect our financial condition. At the 2023 Autumn Statement, the U.K. Government confirmed that it would introduce a single R&amp;D relief regime which merges the current “RDEC” and SME R&amp;D Relief scheme. The proposed credit rate under the draft legislation is 20% of qualifying expenditure, with the credit itself subject to U.K. corporation tax. The credit will therefore be reduced by the applicable rate of U.K. corporation tax (the main rate of which is currently 25%), although the notional tax rate that applies to loss-making companies will be set at the lower rate of 19% for the purposes of the new R&amp;D relief regime. Therefore, under the proposed regime and current rates of U.K. corporation tax, profitable businesses subject to the main rate of U.K. corporation tax will effectively receive a credit of 15% of qualifying expenditure whilst loss-making businesses will receive a credit of 16.2%. The proposed legislation also contains restrictions on R&amp;D relief which can be claimed where a company contracts R&amp;D activity to a third party or makes payments for externally provided workers so that, broadly, a taxpayer will only be able to claim relief where the work is performed in the U.K. It is proposed that the only expenditure allowable outside the U.K. would be for activities which are necessary due to geographical, environmental or social conditions not present or replicable in the U.K. The proposed legislation also contains new rules relating to subcontracting of R&amp;D activities to a third party.</w:t>
      </w:r>
    </w:p>
    <w:p>
      <w:pPr>
        <w:spacing w:after="0" w:line="7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 addition, it is proposed that for accounting periods beginning on or after 1 April 2024, the R&amp;D intensive loss-making SME scheme threshold (broadly, the proportion of qualifying R&amp;D expenditure compared to total expenditure) will be 30%. Therefore, loss-making SMEs with qualifying R&amp;D expenditure of 30% or more of its total expenditure may claim an enhanced deduction of 86% and a repayable credit of 14.5%.</w:t>
      </w:r>
    </w:p>
    <w:p>
      <w:pPr>
        <w:spacing w:after="0" w:line="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It is proposed that the new U.K. R&amp;D tax relief regime will apply to accounting periods starting on or after 1 April 2024. The legislation for the new regime is not yet finalized and therefore the impact on our financial position cannot be fully known, however the proposed changes to the scheme and/or any further changes could have a material adverse effect on our financial position, results of operations or cash flows.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were classified as a passive foreign investment company, certain adverse U.S. federal income tax consequences could apply to U.S. holders.</w:t>
      </w:r>
    </w:p>
    <w:p>
      <w:pPr>
        <w:spacing w:after="0" w:line="10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Based on the composition of our income and assets and the value of our assets in the taxable year ended December 31, 2023, we believe that we are a passive foreign investment company (“PFIC”) for U.S. federal income tax purposes for such taxable year. However, no assurances regarding our PFIC status can be provided for any past taxable years, the taxable year ending December 31, 2024, or any future taxable years. If we are classified as a PFIC for any taxable year during which a U.S. Holder (as defined below) holds our ordinary shares or ADSs, certain adverse U.S. federal income tax consequences could apply to such U.S. Holder, including (i) the treatment of all or a portion of any gain on disposition of our ordinary shares or ADSs as ordinary income, (ii) the application of a deferred interest charge on such gain and the receipt of certain dividends, and (iii) the obligation to comply with certain reporting requirements. We cannot provide any assurances that we will furnish to any U.S. Holder information that may be necessary to comply with the aforementioned reporting and tax payment obligations.</w:t>
      </w:r>
    </w:p>
    <w:p>
      <w:pPr>
        <w:spacing w:after="0" w:line="6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 non-U.S. corporation will generally be considered a PFIC for any taxable year in which (i) 75% or more of its gross income consists of passive income or (ii) 50% or more of the value of its assets (generally determined on the basis of a quarterly average) consists of assets that produce, or are held for the production of, passive income.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holding and receiving directly its proportionate share of the assets and income of such corporation. The determination of whether we are a PFIC is a fact-intensive determination made on an annual basis applying principles and methodologies that in some circumstances are unclear and subject to varying interpretation. Under the income test, our status as a PFIC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80"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depends on the composition of our income which will depend on the transactions we enter into and our corporate structure. The composition of our income and assets is also affected by the spending of the cash we raise in any offering. Each U.S. Holder should consult its tax advisors with respect to the potential adverse U.S. tax consequences to it if we are a PFIC.</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If we are classified as a PFIC in any year with respect to which a U.S. Holder owns our ordinary shares or ADSs, we will continue to be treated as a PFIC with respect to such U.S. Holder in all succeeding years during which the U.S. Holder owns our ordinary shares or ADSs, regardless of whether we continue to meet the PFIC tests described above, unless the U.S. Holder makes a specified election once we cease to be a PFIC.</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 “U.S. Holder” is any beneficial owner of our ordinary shares or ADSs that, for U.S. federal income tax purposes, is or is treated as any of the following: a citizen or individual resident of the U.S.; a corporation, or other entity taxable as a corporation, created or organized in or under the laws of the U.S., any state therein or the District of Columbia; an estate the income of which is subject to U.S. federal income taxation regardless of its source; or a trust that (i) is subject to the supervision of a U.S. court and all substantial decisions of which are subject to the control of one or more “United States persons” (within the meaning of Section 7701(a)(30) of the United States Internal Revenue Code of 1986, as amended (the “Internal Revenue Code”)), or (ii) has a valid election in effect to be treated as a United States person.</w:t>
      </w:r>
    </w:p>
    <w:p>
      <w:pPr>
        <w:spacing w:after="0" w:line="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a U.S. Holder is treated as owning at least 10% of our ordinary shares or ADSs, such holder may be subject to adverse U.S. federal income tax consequences.</w:t>
      </w:r>
    </w:p>
    <w:p>
      <w:pPr>
        <w:spacing w:after="0" w:line="3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If a U.S. Holder (as defined above) is treated as owning (directly, indirectly or constructively) at least 10% of the value or voting power of our ordinary shares or ADSs, such U.S. Holder would generally be treated as a “United States shareholder” (within the meaning of Section 951(b) of the Internal Revenue Code) with respect to each “controlled foreign corporation” (within the meaning of Section 957(a) of the Internal Revenue Code (a “CFC”)) in our group, if any. Because our group includes one or more U.S. subsidiaries, certain of our non-U.S. subsidiaries could be treated as CFCs, regardless of whether we are treated as a CFC. A United States shareholder of a CFC may be required to report annually and include in its U.S. taxable income its pro rata share of “Subpart F income,” “global intangible low-taxed income” and investments in U.S. property by such CFC, regardless of whether such CFC makes any distributions. An individual that is a United States shareholder with respect to a CFC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statute of limitations with respect to such shareholder’s U.S. federal income tax return for the year for which reporting was due. We cannot provide any assurances that we will assist investors in determining whether we or any of our non-U.S. subsidiaries are treated as CFCs or whether any such investor is treated as a United States shareholder with respect to any such CFCs. Further, we cannot provide any assurances that we will furnish to any United States shareholder information that may be necessary to comply with the reporting and tax payment obligations described in this risk factor. U.S. Holders should consult their tax advisors regarding the potential application of these rules to their investment in our ordinary shares or ADSs.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ADSs may be volatile and may fluctuate due to factors beyond our control.</w:t>
      </w:r>
    </w:p>
    <w:p>
      <w:pPr>
        <w:spacing w:after="0" w:line="108"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trading market for publicly traded emerging biopharmaceutical and drug discovery and development companies has been highly volatile and is likely to remain highly volatile in the future. The market price of our ADSs may fluctuate significantly due to a variety of factors, including:</w:t>
      </w:r>
    </w:p>
    <w:p>
      <w:pPr>
        <w:spacing w:after="0" w:line="68"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relating to the commercial value or safety of ensifentrine, including for our approved product Ohtuvayre;</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competitors’ businesses;</w:t>
      </w:r>
    </w:p>
    <w:p>
      <w:pPr>
        <w:spacing w:after="0" w:line="9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entering into collaborations and strategic relationships with respect to commercialization of Ohtuvayre or development of ensifentrine in other target indications or formulations, or entry into collaborations and strategic relationships on terms that are not deemed to be favorable to us;</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or commercial product introductions by us or competitors;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80" w:lineRule="exact"/>
        <w:rPr>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healthcare payment systems;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proprietary rights, including patents and litigation matters;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results from, or delays in, clinical trials of ensifentrine;</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or other corporate transactions;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operating results;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regarding the ownership of ADSs, including as related to their inclusion in U.S. market indices;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or comments by securities or industry analysts or commentators;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in the pharmaceutical industry or in the economy as a whole;</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scientific or senior management personnel;</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ADSs by us, our senior management or board members, and significant holders of our ADSs; or</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and factors, many of which are beyond our control.</w:t>
      </w:r>
    </w:p>
    <w:p>
      <w:pPr>
        <w:spacing w:after="0" w:line="10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ADSs to fluctuate substantially, regardless of our actual operating performance, which may limit or prevent investors from readily selling their ADSs and may otherwise negatively affect the liquidity of our ADSs. In addition, the stock market in general, and biopharmaceutical companies in particular, have experienced extreme price and volume fluctuations that have often been unrelated or disproportionate to the operating performance of these companies. In the past, when the market price of a stock has been volatile, holders of that stock have sometimes instituted securities class action litigation against the issuer. If any of the holders of our ADSs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or the possibility of future sales, of a substantial number of our ADSs or ordinary shares could adversely affect the price of our ADSs.</w:t>
      </w:r>
    </w:p>
    <w:p>
      <w:pPr>
        <w:spacing w:after="0" w:line="1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Future sales of a substantial number of our ADSs or ordinary shares, or the perception that such sales will occur, could cause a decline in the market price of our ADSs. Sales in the U.S. of our ADSs and ordinary shares held by our directors, officers and affiliated shareholders are subject to restrictions. If these shareholders sell substantial amounts of ordinary shares or ADSs in the public market, or the market perceives that such sales may occur, the market price of our ADSs and our ability to raise capital through an issue of equity securities in the future could be adversely affected.</w:t>
      </w:r>
    </w:p>
    <w:p>
      <w:pPr>
        <w:spacing w:after="0" w:line="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Unstable market and economic conditions may have serious adverse consequences on our business and financial condition and the price of our ADSs.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 If the equity and credit markets continue to deteriorate or the U.K. or the U.S. enters a recession, it may make any necessary debt or equity financing more difficult to obtain in a timely manner or on favorable terms, more costly or more dilutive. In addition, there is a risk that one or more of our CROs, suppliers or other third-party providers may not survive an economic downturn or recession. As a result, our business, results of operations and price of our ADSs may be adversely affected.</w:t>
      </w:r>
    </w:p>
    <w:p>
      <w:pPr>
        <w:spacing w:after="0" w:line="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or commentators publish inaccurate or unfavorable research, about our business, the price of our ADSs and ordinary shares and our trading volume could decline.</w:t>
      </w:r>
    </w:p>
    <w:p>
      <w:pPr>
        <w:spacing w:after="0" w:line="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trading market for our ADSs and ordinary shares depends in part on the research and reports that securities or industry analysts or commentators publish about us, our business or our industry. If one or more of the analysts who cover us downgrade our ADSs or if they or other industry commentators publish inaccurate or unfavorable research or comments about our business, the price of our ADSs and ordinary shares would likely decline. If one or more of these analysts cease coverage of us or fail to publish reports on us regularly, demand for our ADSs could decrease, which might cause the price of our ADSs and ordinary shares and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expect to continue to incur increased costs as a result of operating as a public company in the U.S., and our senior management are required to devote substantial time to new compliance initiatives and corporate governance practices.</w:t>
      </w:r>
    </w:p>
    <w:p>
      <w:pPr>
        <w:spacing w:after="0" w:line="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As a U.S. public company, we have incurred and expect to continue to incur significant legal, accounting and other expenses that we did not incur prior to becoming a U.S. public company, including in connection with our transition to large accelerated filer as of December 31, 2023. The Sarbanes-Oxley Act of 2002, the Dodd-Frank Wall Street Reform and Consumer Protection Act, the listing requirements of Nasdaq and other applicable securities rules and regulations impose various requirements on non-U.S. reporting public companies, including the establishment and maintenance of effective disclosure and financial controls and corporate governance practices. Our senior management and other personnel have devoted and will need to continue to devote a substantial amount of time to these compliance initiatives. Moreover, these rules and regulations will continue to increase our legal and financial compliance costs and will make some activities more time-consuming and costly.</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7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Pursuant to Section 404 of the Sarbanes-Oxley Act of 2002, or Section 404, we are required to furnish a report by our senior management on our internal control over financial reporting and an attestation report on internal control over financial reporting issued by our independent registered public accounting firm. To prepare for and maintain compliance with Section 404(b), we have implemented a process of documenting and evaluating our internal control over financial reporting. In this regard, we have dedicated, and will need to continue to dedicate, internal resources, engage outside consultants and pursue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which is both costly and challenging. Despite our efforts, there is a risk that we will not be able to conclude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interruptions could adversely affect our operations.</w:t>
      </w:r>
    </w:p>
    <w:p>
      <w:pPr>
        <w:spacing w:after="0" w:line="9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Our operations are potentially vulnerable to interruption by fire, severe weather conditions, power loss, telecommunications failure, terrorist activity, public health crises and pandemic diseases, and other natural and man- made disasters or events beyond our control. Our facilities are located in regions that experience severe weather from time to time. We have not undertaken a systematic analysis of the potential consequences to our business and financial results from a major tornado, flood, fire, earthquake, power loss, terrorist activity, public health crisis, pandemic diseases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9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From time to time, our officers (as defined in Rule 16a-1(f)) and directors may enter into Rule 10b5-1 or non-Rule 10b5-1 trading plans (as each such term is defined in Item 408 of Regulation S-K). The trading plans are intended to satisfy the affirmative defense in Rule 10b5-1(c). During the three months ended September 30, 2024, no director or officer of the Company adopted, modified or terminated a Rule 10b5-1 trading plan or a non-Rule 10b5-1 trading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0"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Incorporated by Reference to Filings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w:t>
            </w:r>
          </w:p>
        </w:tc>
        <w:tc>
          <w:tcPr>
            <w:tcW w:w="48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Exhibit Description</w:t>
            </w: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Form</w:t>
            </w:r>
          </w:p>
        </w:tc>
        <w:tc>
          <w:tcPr>
            <w:tcW w:w="22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File No.  Exhibit No.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Filing date</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40" w:type="dxa"/>
            <w:vAlign w:val="bottom"/>
          </w:tcPr>
          <w:p>
            <w:pPr>
              <w:spacing w:after="0"/>
              <w:rPr>
                <w:rFonts w:ascii="Times New Roman" w:cs="Times New Roman" w:eastAsia="Times New Roman" w:hAnsi="Times New Roman"/>
                <w:sz w:val="18"/>
                <w:szCs w:val="18"/>
                <w:color w:val="0000FF"/>
                <w:w w:val="97"/>
              </w:rPr>
            </w:pPr>
            <w:hyperlink r:id="rId91">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80" w:type="dxa"/>
            <w:vAlign w:val="bottom"/>
            <w:gridSpan w:val="6"/>
          </w:tcPr>
          <w:p>
            <w:pPr>
              <w:ind w:left="200"/>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Articles of Association, as amended and as currently in effect</w:t>
              </w:r>
            </w:hyperlink>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6-K</w:t>
            </w:r>
          </w:p>
        </w:tc>
        <w:tc>
          <w:tcPr>
            <w:tcW w:w="1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001-38067</w:t>
            </w: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vMerge w:val="restart"/>
          </w:tcPr>
          <w:p>
            <w:pPr>
              <w:spacing w:after="0"/>
              <w:rPr>
                <w:sz w:val="24"/>
                <w:szCs w:val="24"/>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580" w:type="dxa"/>
            <w:vAlign w:val="bottom"/>
          </w:tcPr>
          <w:p>
            <w:pPr>
              <w:spacing w:after="0"/>
              <w:rPr>
                <w:sz w:val="24"/>
                <w:szCs w:val="24"/>
                <w:color w:val="auto"/>
              </w:rPr>
            </w:pPr>
          </w:p>
        </w:tc>
        <w:tc>
          <w:tcPr>
            <w:tcW w:w="48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0000FF"/>
              </w:rPr>
              <w:t>Rule 13a-14(a)/15d-14(a) Certification of Chief Executive</w:t>
            </w: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 w:type="dxa"/>
            <w:vAlign w:val="bottom"/>
            <w:vMerge w:val="continue"/>
          </w:tcPr>
          <w:p>
            <w:pPr>
              <w:spacing w:after="0"/>
              <w:rPr>
                <w:sz w:val="6"/>
                <w:szCs w:val="6"/>
                <w:color w:val="auto"/>
              </w:rPr>
            </w:pPr>
          </w:p>
        </w:tc>
        <w:tc>
          <w:tcPr>
            <w:tcW w:w="320" w:type="dxa"/>
            <w:vAlign w:val="bottom"/>
            <w:tcBorders>
              <w:bottom w:val="single" w:sz="8" w:color="0000FF"/>
            </w:tcBorders>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4880" w:type="dxa"/>
            <w:vAlign w:val="bottom"/>
            <w:gridSpan w:val="6"/>
            <w:vMerge w:val="restart"/>
          </w:tcPr>
          <w:p>
            <w:pPr>
              <w:ind w:left="200"/>
              <w:spacing w:after="0" w:line="156" w:lineRule="exact"/>
              <w:rPr>
                <w:sz w:val="20"/>
                <w:szCs w:val="20"/>
                <w:color w:val="auto"/>
              </w:rPr>
            </w:pPr>
            <w:r>
              <w:rPr>
                <w:rFonts w:ascii="Times New Roman" w:cs="Times New Roman" w:eastAsia="Times New Roman" w:hAnsi="Times New Roman"/>
                <w:sz w:val="18"/>
                <w:szCs w:val="18"/>
                <w:color w:val="0000FF"/>
              </w:rPr>
              <w:t>Officer</w:t>
            </w:r>
          </w:p>
        </w:tc>
        <w:tc>
          <w:tcPr>
            <w:tcW w:w="9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80" w:type="dxa"/>
            <w:vAlign w:val="bottom"/>
            <w:gridSpan w:val="6"/>
            <w:vMerge w:val="continue"/>
          </w:tcPr>
          <w:p>
            <w:pPr>
              <w:spacing w:after="0"/>
              <w:rPr>
                <w:sz w:val="5"/>
                <w:szCs w:val="5"/>
                <w:color w:val="auto"/>
              </w:rPr>
            </w:pPr>
          </w:p>
        </w:tc>
        <w:tc>
          <w:tcPr>
            <w:tcW w:w="9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580" w:type="dxa"/>
            <w:vAlign w:val="bottom"/>
          </w:tcPr>
          <w:p>
            <w:pPr>
              <w:spacing w:after="0"/>
              <w:rPr>
                <w:sz w:val="24"/>
                <w:szCs w:val="24"/>
                <w:color w:val="auto"/>
              </w:rPr>
            </w:pPr>
          </w:p>
        </w:tc>
        <w:tc>
          <w:tcPr>
            <w:tcW w:w="48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0000FF"/>
              </w:rPr>
              <w:t>Rule 13a-14(a)/15d-14(a) Certification of Chief Financial</w:t>
            </w: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gridSpan w:val="3"/>
            <w:vMerge w:val="continue"/>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34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4880" w:type="dxa"/>
            <w:vAlign w:val="bottom"/>
            <w:gridSpan w:val="6"/>
            <w:vMerge w:val="restart"/>
          </w:tcPr>
          <w:p>
            <w:pPr>
              <w:ind w:left="200"/>
              <w:spacing w:after="0" w:line="156" w:lineRule="exact"/>
              <w:rPr>
                <w:sz w:val="20"/>
                <w:szCs w:val="20"/>
                <w:color w:val="auto"/>
              </w:rPr>
            </w:pPr>
            <w:r>
              <w:rPr>
                <w:rFonts w:ascii="Times New Roman" w:cs="Times New Roman" w:eastAsia="Times New Roman" w:hAnsi="Times New Roman"/>
                <w:sz w:val="18"/>
                <w:szCs w:val="18"/>
                <w:color w:val="0000FF"/>
              </w:rPr>
              <w:t>Officer</w:t>
            </w:r>
          </w:p>
        </w:tc>
        <w:tc>
          <w:tcPr>
            <w:tcW w:w="9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580" w:type="dxa"/>
            <w:vAlign w:val="bottom"/>
          </w:tcPr>
          <w:p>
            <w:pPr>
              <w:spacing w:after="0"/>
              <w:rPr>
                <w:sz w:val="5"/>
                <w:szCs w:val="5"/>
                <w:color w:val="auto"/>
              </w:rPr>
            </w:pPr>
          </w:p>
        </w:tc>
        <w:tc>
          <w:tcPr>
            <w:tcW w:w="4880" w:type="dxa"/>
            <w:vAlign w:val="bottom"/>
            <w:gridSpan w:val="6"/>
            <w:vMerge w:val="continue"/>
          </w:tcPr>
          <w:p>
            <w:pPr>
              <w:spacing w:after="0"/>
              <w:rPr>
                <w:sz w:val="5"/>
                <w:szCs w:val="5"/>
                <w:color w:val="auto"/>
              </w:rPr>
            </w:pPr>
          </w:p>
        </w:tc>
        <w:tc>
          <w:tcPr>
            <w:tcW w:w="9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580" w:type="dxa"/>
            <w:vAlign w:val="bottom"/>
          </w:tcPr>
          <w:p>
            <w:pPr>
              <w:spacing w:after="0"/>
              <w:rPr>
                <w:sz w:val="24"/>
                <w:szCs w:val="24"/>
                <w:color w:val="auto"/>
              </w:rPr>
            </w:pPr>
          </w:p>
        </w:tc>
        <w:tc>
          <w:tcPr>
            <w:tcW w:w="48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0000FF"/>
              </w:rPr>
              <w:t>Section 1350 Certification of Chief Executive Officer</w:t>
            </w: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2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580" w:type="dxa"/>
            <w:vAlign w:val="bottom"/>
          </w:tcPr>
          <w:p>
            <w:pPr>
              <w:spacing w:after="0"/>
              <w:rPr>
                <w:sz w:val="24"/>
                <w:szCs w:val="24"/>
                <w:color w:val="auto"/>
              </w:rPr>
            </w:pPr>
          </w:p>
        </w:tc>
        <w:tc>
          <w:tcPr>
            <w:tcW w:w="48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0000FF"/>
              </w:rPr>
              <w:t>Section 1350 Certification of Chief Financial Officer</w:t>
            </w: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20" w:type="dxa"/>
            <w:vAlign w:val="bottom"/>
            <w:gridSpan w:val="2"/>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48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48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101.CAL</w:t>
            </w:r>
          </w:p>
        </w:tc>
        <w:tc>
          <w:tcPr>
            <w:tcW w:w="4880" w:type="dxa"/>
            <w:vAlign w:val="bottom"/>
            <w:gridSpan w:val="6"/>
          </w:tcPr>
          <w:p>
            <w:pPr>
              <w:ind w:left="200"/>
              <w:spacing w:after="0" w:line="181"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4880" w:type="dxa"/>
            <w:vAlign w:val="bottom"/>
            <w:gridSpan w:val="6"/>
            <w:vMerge w:val="restart"/>
          </w:tcPr>
          <w:p>
            <w:pPr>
              <w:ind w:left="200"/>
              <w:spacing w:after="0"/>
              <w:rPr>
                <w:sz w:val="20"/>
                <w:szCs w:val="20"/>
                <w:color w:val="auto"/>
              </w:rPr>
            </w:pPr>
            <w:r>
              <w:rPr>
                <w:rFonts w:ascii="Times New Roman" w:cs="Times New Roman" w:eastAsia="Times New Roman" w:hAnsi="Times New Roman"/>
                <w:sz w:val="18"/>
                <w:szCs w:val="18"/>
                <w:color w:val="auto"/>
              </w:rPr>
              <w:t>Document</w:t>
            </w:r>
          </w:p>
        </w:tc>
        <w:tc>
          <w:tcPr>
            <w:tcW w:w="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80" w:type="dxa"/>
            <w:vAlign w:val="bottom"/>
            <w:gridSpan w:val="6"/>
            <w:vMerge w:val="continue"/>
          </w:tcPr>
          <w:p>
            <w:pPr>
              <w:spacing w:after="0"/>
              <w:rPr>
                <w:sz w:val="7"/>
                <w:szCs w:val="7"/>
                <w:color w:val="auto"/>
              </w:rPr>
            </w:pPr>
          </w:p>
        </w:tc>
        <w:tc>
          <w:tcPr>
            <w:tcW w:w="9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48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9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101.PRE</w:t>
            </w:r>
          </w:p>
        </w:tc>
        <w:tc>
          <w:tcPr>
            <w:tcW w:w="4880" w:type="dxa"/>
            <w:vAlign w:val="bottom"/>
            <w:gridSpan w:val="6"/>
          </w:tcPr>
          <w:p>
            <w:pPr>
              <w:ind w:left="200"/>
              <w:spacing w:after="0" w:line="181"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4880" w:type="dxa"/>
            <w:vAlign w:val="bottom"/>
            <w:gridSpan w:val="6"/>
            <w:vMerge w:val="restart"/>
          </w:tcPr>
          <w:p>
            <w:pPr>
              <w:ind w:left="200"/>
              <w:spacing w:after="0"/>
              <w:rPr>
                <w:sz w:val="20"/>
                <w:szCs w:val="20"/>
                <w:color w:val="auto"/>
              </w:rPr>
            </w:pPr>
            <w:r>
              <w:rPr>
                <w:rFonts w:ascii="Times New Roman" w:cs="Times New Roman" w:eastAsia="Times New Roman" w:hAnsi="Times New Roman"/>
                <w:sz w:val="18"/>
                <w:szCs w:val="18"/>
                <w:color w:val="auto"/>
              </w:rPr>
              <w:t>Document</w:t>
            </w:r>
          </w:p>
        </w:tc>
        <w:tc>
          <w:tcPr>
            <w:tcW w:w="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80" w:type="dxa"/>
            <w:vAlign w:val="bottom"/>
            <w:gridSpan w:val="6"/>
            <w:vMerge w:val="continue"/>
          </w:tcPr>
          <w:p>
            <w:pPr>
              <w:spacing w:after="0"/>
              <w:rPr>
                <w:sz w:val="7"/>
                <w:szCs w:val="7"/>
                <w:color w:val="auto"/>
              </w:rPr>
            </w:pPr>
          </w:p>
        </w:tc>
        <w:tc>
          <w:tcPr>
            <w:tcW w:w="9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101.DEF</w:t>
            </w:r>
          </w:p>
        </w:tc>
        <w:tc>
          <w:tcPr>
            <w:tcW w:w="4880" w:type="dxa"/>
            <w:vAlign w:val="bottom"/>
            <w:gridSpan w:val="6"/>
          </w:tcPr>
          <w:p>
            <w:pPr>
              <w:ind w:left="200"/>
              <w:spacing w:after="0" w:line="184"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9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4880" w:type="dxa"/>
            <w:vAlign w:val="bottom"/>
            <w:gridSpan w:val="6"/>
            <w:vMerge w:val="restart"/>
          </w:tcPr>
          <w:p>
            <w:pPr>
              <w:ind w:left="200"/>
              <w:spacing w:after="0"/>
              <w:rPr>
                <w:sz w:val="20"/>
                <w:szCs w:val="20"/>
                <w:color w:val="auto"/>
              </w:rPr>
            </w:pPr>
            <w:r>
              <w:rPr>
                <w:rFonts w:ascii="Times New Roman" w:cs="Times New Roman" w:eastAsia="Times New Roman" w:hAnsi="Times New Roman"/>
                <w:sz w:val="18"/>
                <w:szCs w:val="18"/>
                <w:color w:val="auto"/>
              </w:rPr>
              <w:t>Document</w:t>
            </w:r>
          </w:p>
        </w:tc>
        <w:tc>
          <w:tcPr>
            <w:tcW w:w="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80" w:type="dxa"/>
            <w:vAlign w:val="bottom"/>
            <w:gridSpan w:val="6"/>
            <w:vMerge w:val="continue"/>
          </w:tcPr>
          <w:p>
            <w:pPr>
              <w:spacing w:after="0"/>
              <w:rPr>
                <w:sz w:val="7"/>
                <w:szCs w:val="7"/>
                <w:color w:val="auto"/>
              </w:rPr>
            </w:pPr>
          </w:p>
        </w:tc>
        <w:tc>
          <w:tcPr>
            <w:tcW w:w="9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16"/>
                <w:szCs w:val="16"/>
                <w:color w:val="auto"/>
              </w:rPr>
            </w:pPr>
          </w:p>
        </w:tc>
        <w:tc>
          <w:tcPr>
            <w:tcW w:w="4880" w:type="dxa"/>
            <w:vAlign w:val="bottom"/>
            <w:gridSpan w:val="6"/>
          </w:tcPr>
          <w:p>
            <w:pPr>
              <w:ind w:left="200"/>
              <w:spacing w:after="0" w:line="184" w:lineRule="exact"/>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9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4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4880" w:type="dxa"/>
            <w:vAlign w:val="bottom"/>
            <w:gridSpan w:val="6"/>
            <w:vMerge w:val="restart"/>
          </w:tcPr>
          <w:p>
            <w:pPr>
              <w:ind w:left="200"/>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80" w:type="dxa"/>
            <w:vAlign w:val="bottom"/>
            <w:gridSpan w:val="6"/>
            <w:vMerge w:val="continue"/>
          </w:tcPr>
          <w:p>
            <w:pPr>
              <w:spacing w:after="0"/>
              <w:rPr>
                <w:sz w:val="7"/>
                <w:szCs w:val="7"/>
                <w:color w:val="auto"/>
              </w:rPr>
            </w:pPr>
          </w:p>
        </w:tc>
        <w:tc>
          <w:tcPr>
            <w:tcW w:w="9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0"/>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5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5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right"/>
        <w:ind w:right="20"/>
        <w:spacing w:after="0" w:line="263" w:lineRule="auto"/>
        <w:rPr>
          <w:sz w:val="20"/>
          <w:szCs w:val="20"/>
          <w:color w:val="auto"/>
        </w:rPr>
      </w:pPr>
      <w:r>
        <w:rPr>
          <w:rFonts w:ascii="Times New Roman" w:cs="Times New Roman" w:eastAsia="Times New Roman" w:hAnsi="Times New Roman"/>
          <w:sz w:val="17"/>
          <w:szCs w:val="17"/>
          <w:color w:val="auto"/>
        </w:rPr>
        <w:t>Filed/Furnished Herewith</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p>
    <w:p>
      <w:pPr>
        <w:spacing w:after="0" w:line="1023" w:lineRule="exact"/>
        <w:rPr>
          <w:sz w:val="20"/>
          <w:szCs w:val="20"/>
          <w:color w:val="auto"/>
        </w:rPr>
      </w:pPr>
    </w:p>
    <w:p>
      <w:pPr>
        <w:sectPr>
          <w:pgSz w:w="11900" w:h="16838" w:orient="portrait"/>
          <w:cols w:equalWidth="0" w:num="2">
            <w:col w:w="10040" w:space="40"/>
            <w:col w:w="116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5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VERONA PHARMA PLC</w:t>
            </w: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November 4, 2024</w:t>
            </w:r>
          </w:p>
        </w:tc>
        <w:tc>
          <w:tcPr>
            <w:tcW w:w="45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Zaccardelli</w:t>
            </w:r>
          </w:p>
        </w:tc>
        <w:tc>
          <w:tcPr>
            <w:tcW w:w="0" w:type="dxa"/>
            <w:vAlign w:val="bottom"/>
          </w:tcPr>
          <w:p>
            <w:pPr>
              <w:spacing w:after="0"/>
              <w:rPr>
                <w:sz w:val="1"/>
                <w:szCs w:val="1"/>
                <w:color w:val="auto"/>
              </w:rPr>
            </w:pPr>
          </w:p>
        </w:tc>
      </w:tr>
      <w:tr>
        <w:trPr>
          <w:trHeight w:val="108"/>
        </w:trPr>
        <w:tc>
          <w:tcPr>
            <w:tcW w:w="3620" w:type="dxa"/>
            <w:vAlign w:val="bottom"/>
            <w:vMerge w:val="continue"/>
          </w:tcPr>
          <w:p>
            <w:pPr>
              <w:spacing w:after="0"/>
              <w:rPr>
                <w:sz w:val="9"/>
                <w:szCs w:val="9"/>
                <w:color w:val="auto"/>
              </w:rPr>
            </w:pPr>
          </w:p>
        </w:tc>
        <w:tc>
          <w:tcPr>
            <w:tcW w:w="45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6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Zaccardelli, Pharm. D.</w:t>
            </w: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904"/>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November 4, 2024</w:t>
            </w:r>
          </w:p>
        </w:tc>
        <w:tc>
          <w:tcPr>
            <w:tcW w:w="45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Mark W. Hahn</w:t>
            </w:r>
          </w:p>
        </w:tc>
        <w:tc>
          <w:tcPr>
            <w:tcW w:w="0" w:type="dxa"/>
            <w:vAlign w:val="bottom"/>
          </w:tcPr>
          <w:p>
            <w:pPr>
              <w:spacing w:after="0"/>
              <w:rPr>
                <w:sz w:val="1"/>
                <w:szCs w:val="1"/>
                <w:color w:val="auto"/>
              </w:rPr>
            </w:pPr>
          </w:p>
        </w:tc>
      </w:tr>
      <w:tr>
        <w:trPr>
          <w:trHeight w:val="108"/>
        </w:trPr>
        <w:tc>
          <w:tcPr>
            <w:tcW w:w="3620" w:type="dxa"/>
            <w:vAlign w:val="bottom"/>
            <w:vMerge w:val="continue"/>
          </w:tcPr>
          <w:p>
            <w:pPr>
              <w:spacing w:after="0"/>
              <w:rPr>
                <w:sz w:val="9"/>
                <w:szCs w:val="9"/>
                <w:color w:val="auto"/>
              </w:rPr>
            </w:pPr>
          </w:p>
        </w:tc>
        <w:tc>
          <w:tcPr>
            <w:tcW w:w="45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6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W. Hahn</w:t>
            </w:r>
          </w:p>
        </w:tc>
        <w:tc>
          <w:tcPr>
            <w:tcW w:w="0" w:type="dxa"/>
            <w:vAlign w:val="bottom"/>
          </w:tcPr>
          <w:p>
            <w:pPr>
              <w:spacing w:after="0"/>
              <w:rPr>
                <w:sz w:val="1"/>
                <w:szCs w:val="1"/>
                <w:color w:val="auto"/>
              </w:rPr>
            </w:pPr>
          </w:p>
        </w:tc>
      </w:tr>
      <w:tr>
        <w:trPr>
          <w:trHeight w:val="364"/>
        </w:trPr>
        <w:tc>
          <w:tcPr>
            <w:tcW w:w="36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440" w:right="339" w:bottom="1440" w:gutter="0" w:footer="0" w:header="0"/>
        </w:sectPr>
      </w:pPr>
    </w:p>
    <w:bookmarkStart w:id="83" w:name="page84"/>
    <w:bookmarkEnd w:id="83"/>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Zaccardelli, Pharm.D., certify that:</w:t>
      </w:r>
    </w:p>
    <w:p>
      <w:pPr>
        <w:spacing w:after="0" w:line="225" w:lineRule="exact"/>
        <w:rPr>
          <w:sz w:val="20"/>
          <w:szCs w:val="20"/>
          <w:color w:val="auto"/>
        </w:rPr>
      </w:pPr>
    </w:p>
    <w:p>
      <w:pPr>
        <w:ind w:left="360" w:hanging="190"/>
        <w:spacing w:after="0"/>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Verona Pharma plc;</w:t>
      </w:r>
    </w:p>
    <w:p>
      <w:pPr>
        <w:spacing w:after="0" w:line="225" w:lineRule="exact"/>
        <w:rPr>
          <w:rFonts w:ascii="Times New Roman" w:cs="Times New Roman" w:eastAsia="Times New Roman" w:hAnsi="Times New Roman"/>
          <w:sz w:val="18"/>
          <w:szCs w:val="18"/>
          <w:color w:val="auto"/>
        </w:rPr>
      </w:pPr>
    </w:p>
    <w:p>
      <w:pPr>
        <w:ind w:left="500" w:right="300" w:hanging="330"/>
        <w:spacing w:after="0" w:line="266" w:lineRule="auto"/>
        <w:tabs>
          <w:tab w:leader="none" w:pos="35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380" w:hanging="330"/>
        <w:spacing w:after="0" w:line="282" w:lineRule="auto"/>
        <w:tabs>
          <w:tab w:leader="none" w:pos="35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60" w:hanging="190"/>
        <w:spacing w:after="0"/>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w:t>
      </w:r>
    </w:p>
    <w:p>
      <w:pPr>
        <w:spacing w:after="0" w:line="27" w:lineRule="exact"/>
        <w:rPr>
          <w:sz w:val="20"/>
          <w:szCs w:val="20"/>
          <w:color w:val="auto"/>
        </w:rPr>
      </w:pPr>
    </w:p>
    <w:p>
      <w:pPr>
        <w:ind w:left="500" w:right="80"/>
        <w:spacing w:after="0" w:line="260" w:lineRule="auto"/>
        <w:rPr>
          <w:sz w:val="20"/>
          <w:szCs w:val="20"/>
          <w:color w:val="auto"/>
        </w:rPr>
      </w:pPr>
      <w:r>
        <w:rPr>
          <w:rFonts w:ascii="Times New Roman" w:cs="Times New Roman" w:eastAsia="Times New Roman" w:hAnsi="Times New Roman"/>
          <w:sz w:val="18"/>
          <w:szCs w:val="18"/>
          <w:color w:val="auto"/>
        </w:rPr>
        <w:t>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900" w:right="200" w:hanging="451"/>
        <w:spacing w:after="0" w:line="266" w:lineRule="auto"/>
        <w:tabs>
          <w:tab w:leader="none" w:pos="83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00" w:right="460" w:hanging="451"/>
        <w:spacing w:after="0" w:line="266" w:lineRule="auto"/>
        <w:tabs>
          <w:tab w:leader="none" w:pos="84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right="620" w:hanging="451"/>
        <w:spacing w:after="0" w:line="312" w:lineRule="auto"/>
        <w:tabs>
          <w:tab w:leader="none" w:pos="839"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00" w:right="180" w:hanging="451"/>
        <w:spacing w:after="0" w:line="266" w:lineRule="auto"/>
        <w:tabs>
          <w:tab w:leader="none" w:pos="84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320" w:hanging="330"/>
        <w:spacing w:after="0" w:line="282" w:lineRule="auto"/>
        <w:tabs>
          <w:tab w:leader="none" w:pos="35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right="120" w:hanging="451"/>
        <w:spacing w:after="0" w:line="282" w:lineRule="auto"/>
        <w:tabs>
          <w:tab w:leader="none" w:pos="82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right="60" w:hanging="451"/>
        <w:spacing w:after="0" w:line="282" w:lineRule="auto"/>
        <w:tabs>
          <w:tab w:leader="none" w:pos="83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20"/>
        <w:spacing w:after="0"/>
        <w:tabs>
          <w:tab w:leader="none" w:pos="4160" w:val="left"/>
          <w:tab w:leader="none" w:pos="6900" w:val="left"/>
        </w:tabs>
        <w:rPr>
          <w:sz w:val="20"/>
          <w:szCs w:val="20"/>
          <w:color w:val="auto"/>
        </w:rPr>
      </w:pPr>
      <w:r>
        <w:rPr>
          <w:rFonts w:ascii="Times New Roman" w:cs="Times New Roman" w:eastAsia="Times New Roman" w:hAnsi="Times New Roman"/>
          <w:sz w:val="18"/>
          <w:szCs w:val="18"/>
          <w:color w:val="auto"/>
        </w:rPr>
        <w:t>Date: November 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43180</wp:posOffset>
            </wp:positionV>
            <wp:extent cx="39179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917950" cy="8890"/>
                    </a:xfrm>
                    <a:prstGeom prst="rect">
                      <a:avLst/>
                    </a:prstGeom>
                    <a:noFill/>
                  </pic:spPr>
                </pic:pic>
              </a:graphicData>
            </a:graphic>
          </wp:anchor>
        </w:drawing>
      </w:r>
    </w:p>
    <w:p>
      <w:pPr>
        <w:spacing w:after="0" w:line="70"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David Zaccardelli, Pharm.D.</w:t>
      </w:r>
    </w:p>
    <w:p>
      <w:pPr>
        <w:spacing w:after="0" w:line="7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440" w:right="339" w:bottom="1440" w:gutter="0" w:footer="0" w:header="0"/>
        </w:sectPr>
      </w:pPr>
    </w:p>
    <w:bookmarkStart w:id="84" w:name="page85"/>
    <w:bookmarkEnd w:id="84"/>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W. Hahn, certify that:</w:t>
      </w:r>
    </w:p>
    <w:p>
      <w:pPr>
        <w:spacing w:after="0" w:line="225" w:lineRule="exact"/>
        <w:rPr>
          <w:sz w:val="20"/>
          <w:szCs w:val="20"/>
          <w:color w:val="auto"/>
        </w:rPr>
      </w:pPr>
    </w:p>
    <w:p>
      <w:pPr>
        <w:ind w:left="360" w:hanging="190"/>
        <w:spacing w:after="0"/>
        <w:tabs>
          <w:tab w:leader="none" w:pos="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Verona Pharma plc;</w:t>
      </w:r>
    </w:p>
    <w:p>
      <w:pPr>
        <w:spacing w:after="0" w:line="225" w:lineRule="exact"/>
        <w:rPr>
          <w:rFonts w:ascii="Times New Roman" w:cs="Times New Roman" w:eastAsia="Times New Roman" w:hAnsi="Times New Roman"/>
          <w:sz w:val="18"/>
          <w:szCs w:val="18"/>
          <w:color w:val="auto"/>
        </w:rPr>
      </w:pPr>
    </w:p>
    <w:p>
      <w:pPr>
        <w:ind w:left="500" w:right="300" w:hanging="330"/>
        <w:spacing w:after="0" w:line="266" w:lineRule="auto"/>
        <w:tabs>
          <w:tab w:leader="none" w:pos="35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380" w:hanging="330"/>
        <w:spacing w:after="0" w:line="282" w:lineRule="auto"/>
        <w:tabs>
          <w:tab w:leader="none" w:pos="35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60" w:hanging="190"/>
        <w:spacing w:after="0"/>
        <w:tabs>
          <w:tab w:leader="none" w:pos="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w:t>
      </w:r>
    </w:p>
    <w:p>
      <w:pPr>
        <w:spacing w:after="0" w:line="27" w:lineRule="exact"/>
        <w:rPr>
          <w:sz w:val="20"/>
          <w:szCs w:val="20"/>
          <w:color w:val="auto"/>
        </w:rPr>
      </w:pPr>
    </w:p>
    <w:p>
      <w:pPr>
        <w:ind w:left="500" w:right="80"/>
        <w:spacing w:after="0" w:line="260" w:lineRule="auto"/>
        <w:rPr>
          <w:sz w:val="20"/>
          <w:szCs w:val="20"/>
          <w:color w:val="auto"/>
        </w:rPr>
      </w:pPr>
      <w:r>
        <w:rPr>
          <w:rFonts w:ascii="Times New Roman" w:cs="Times New Roman" w:eastAsia="Times New Roman" w:hAnsi="Times New Roman"/>
          <w:sz w:val="18"/>
          <w:szCs w:val="18"/>
          <w:color w:val="auto"/>
        </w:rPr>
        <w:t>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900" w:right="200" w:hanging="451"/>
        <w:spacing w:after="0" w:line="266" w:lineRule="auto"/>
        <w:tabs>
          <w:tab w:leader="none" w:pos="83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00" w:right="460" w:hanging="451"/>
        <w:spacing w:after="0" w:line="266" w:lineRule="auto"/>
        <w:tabs>
          <w:tab w:leader="none" w:pos="84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right="620" w:hanging="451"/>
        <w:spacing w:after="0" w:line="312" w:lineRule="auto"/>
        <w:tabs>
          <w:tab w:leader="none" w:pos="839"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00" w:right="180" w:hanging="451"/>
        <w:spacing w:after="0" w:line="266" w:lineRule="auto"/>
        <w:tabs>
          <w:tab w:leader="none" w:pos="84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320" w:hanging="330"/>
        <w:spacing w:after="0" w:line="282" w:lineRule="auto"/>
        <w:tabs>
          <w:tab w:leader="none" w:pos="35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right="120" w:hanging="451"/>
        <w:spacing w:after="0" w:line="282" w:lineRule="auto"/>
        <w:tabs>
          <w:tab w:leader="none" w:pos="82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right="60" w:hanging="451"/>
        <w:spacing w:after="0" w:line="282" w:lineRule="auto"/>
        <w:tabs>
          <w:tab w:leader="none" w:pos="83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20"/>
        <w:spacing w:after="0"/>
        <w:tabs>
          <w:tab w:leader="none" w:pos="4160" w:val="left"/>
          <w:tab w:leader="none" w:pos="7400" w:val="left"/>
        </w:tabs>
        <w:rPr>
          <w:sz w:val="20"/>
          <w:szCs w:val="20"/>
          <w:color w:val="auto"/>
        </w:rPr>
      </w:pPr>
      <w:r>
        <w:rPr>
          <w:rFonts w:ascii="Times New Roman" w:cs="Times New Roman" w:eastAsia="Times New Roman" w:hAnsi="Times New Roman"/>
          <w:sz w:val="18"/>
          <w:szCs w:val="18"/>
          <w:color w:val="auto"/>
        </w:rPr>
        <w:t>Date: November 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43180</wp:posOffset>
            </wp:positionV>
            <wp:extent cx="39179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917950" cy="8890"/>
                    </a:xfrm>
                    <a:prstGeom prst="rect">
                      <a:avLst/>
                    </a:prstGeom>
                    <a:noFill/>
                  </pic:spPr>
                </pic:pic>
              </a:graphicData>
            </a:graphic>
          </wp:anchor>
        </w:drawing>
      </w:r>
    </w:p>
    <w:p>
      <w:pPr>
        <w:spacing w:after="0" w:line="70"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color w:val="auto"/>
        </w:rPr>
        <w:t>Mark W. Hahn</w:t>
      </w:r>
    </w:p>
    <w:p>
      <w:pPr>
        <w:spacing w:after="0" w:line="75"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color w:val="auto"/>
        </w:rPr>
        <w:t>Chief Financial Officer (</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40" w:right="339" w:bottom="1440" w:gutter="0" w:footer="0" w:header="0"/>
        </w:sectPr>
      </w:pPr>
    </w:p>
    <w:bookmarkStart w:id="85" w:name="page86"/>
    <w:bookmarkEnd w:id="85"/>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Verona Pharma plc (the “Company”) for the period ended September 30, 2024 as filed with the Securities and Exchange Commission on the date hereof (the “Report”), I certify, pursuant to 18 U.S.C. § 1350, as adopted pursuant to § 906 of the Sarbanes-Oxley Act of 2002, that, to the best of my knowledge:</w:t>
      </w:r>
    </w:p>
    <w:p>
      <w:pPr>
        <w:spacing w:after="0" w:line="176" w:lineRule="exact"/>
        <w:rPr>
          <w:sz w:val="20"/>
          <w:szCs w:val="20"/>
          <w:color w:val="auto"/>
        </w:rPr>
      </w:pPr>
    </w:p>
    <w:p>
      <w:pPr>
        <w:ind w:left="840" w:hanging="391"/>
        <w:spacing w:after="0"/>
        <w:tabs>
          <w:tab w:leader="none" w:pos="8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00" w:right="740" w:hanging="451"/>
        <w:spacing w:after="0" w:line="282" w:lineRule="auto"/>
        <w:tabs>
          <w:tab w:leader="none" w:pos="8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p>
      <w:pPr>
        <w:ind w:left="20"/>
        <w:spacing w:after="0"/>
        <w:tabs>
          <w:tab w:leader="none" w:pos="4160" w:val="left"/>
          <w:tab w:leader="none" w:pos="6900" w:val="left"/>
        </w:tabs>
        <w:rPr>
          <w:sz w:val="20"/>
          <w:szCs w:val="20"/>
          <w:color w:val="auto"/>
        </w:rPr>
      </w:pPr>
      <w:r>
        <w:rPr>
          <w:rFonts w:ascii="Times New Roman" w:cs="Times New Roman" w:eastAsia="Times New Roman" w:hAnsi="Times New Roman"/>
          <w:sz w:val="18"/>
          <w:szCs w:val="18"/>
          <w:color w:val="auto"/>
        </w:rPr>
        <w:t>Date: November 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43180</wp:posOffset>
            </wp:positionV>
            <wp:extent cx="39179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3917950" cy="8255"/>
                    </a:xfrm>
                    <a:prstGeom prst="rect">
                      <a:avLst/>
                    </a:prstGeom>
                    <a:noFill/>
                  </pic:spPr>
                </pic:pic>
              </a:graphicData>
            </a:graphic>
          </wp:anchor>
        </w:drawing>
      </w:r>
    </w:p>
    <w:p>
      <w:pPr>
        <w:spacing w:after="0" w:line="70"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David Zaccardelli, Pharm.D.</w:t>
      </w:r>
    </w:p>
    <w:p>
      <w:pPr>
        <w:spacing w:after="0" w:line="7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40" w:right="339" w:bottom="1440" w:gutter="0" w:footer="0" w:header="0"/>
        </w:sectPr>
      </w:pPr>
    </w:p>
    <w:bookmarkStart w:id="86" w:name="page87"/>
    <w:bookmarkEnd w:id="86"/>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Verona Pharma plc (the “Company”) for the period ended September 30, 2024 as filed with the Securities and Exchange Commission on the date hereof (the “Report”), I certify, pursuant to 18 U.S.C. § 1350, as adopted pursuant to § 906 of the Sarbanes-Oxley Act of 2002, that, to the best of my knowledge:</w:t>
      </w:r>
    </w:p>
    <w:p>
      <w:pPr>
        <w:spacing w:after="0" w:line="176" w:lineRule="exact"/>
        <w:rPr>
          <w:sz w:val="20"/>
          <w:szCs w:val="20"/>
          <w:color w:val="auto"/>
        </w:rPr>
      </w:pPr>
    </w:p>
    <w:p>
      <w:pPr>
        <w:ind w:left="840" w:hanging="391"/>
        <w:spacing w:after="0"/>
        <w:tabs>
          <w:tab w:leader="none" w:pos="8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00" w:right="740" w:hanging="451"/>
        <w:spacing w:after="0" w:line="282" w:lineRule="auto"/>
        <w:tabs>
          <w:tab w:leader="none" w:pos="84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p>
      <w:pPr>
        <w:ind w:left="20"/>
        <w:spacing w:after="0"/>
        <w:tabs>
          <w:tab w:leader="none" w:pos="4160" w:val="left"/>
          <w:tab w:leader="none" w:pos="7400" w:val="left"/>
        </w:tabs>
        <w:rPr>
          <w:sz w:val="20"/>
          <w:szCs w:val="20"/>
          <w:color w:val="auto"/>
        </w:rPr>
      </w:pPr>
      <w:r>
        <w:rPr>
          <w:rFonts w:ascii="Times New Roman" w:cs="Times New Roman" w:eastAsia="Times New Roman" w:hAnsi="Times New Roman"/>
          <w:sz w:val="18"/>
          <w:szCs w:val="18"/>
          <w:color w:val="auto"/>
        </w:rPr>
        <w:t>Date: November 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43180</wp:posOffset>
            </wp:positionV>
            <wp:extent cx="39179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3917950" cy="8255"/>
                    </a:xfrm>
                    <a:prstGeom prst="rect">
                      <a:avLst/>
                    </a:prstGeom>
                    <a:noFill/>
                  </pic:spPr>
                </pic:pic>
              </a:graphicData>
            </a:graphic>
          </wp:anchor>
        </w:drawing>
      </w:r>
    </w:p>
    <w:p>
      <w:pPr>
        <w:spacing w:after="0" w:line="70"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color w:val="auto"/>
        </w:rPr>
        <w:t>Mark W. Hahn</w:t>
      </w:r>
    </w:p>
    <w:p>
      <w:pPr>
        <w:spacing w:after="0" w:line="75"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color w:val="auto"/>
        </w:rPr>
        <w:t>Chief Financial Officer (</w:t>
      </w: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1)"/>
      <w:numFmt w:val="lowerRoman"/>
      <w:start w:val="2"/>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1"/>
      <w:numFmt w:val="decimal"/>
      <w:start w:val="1"/>
    </w:lvl>
    <w:lvl w:ilvl="1">
      <w:lvlJc w:val="left"/>
      <w:lvlText w:val="(%2)"/>
      <w:numFmt w:val="lowerLetter"/>
      <w:start w:val="1"/>
    </w:lvl>
  </w:abstractNum>
  <w:abstractNum w:abstractNumId="43">
    <w:nsid w:val="542289EC"/>
    <w:multiLevelType w:val="hybridMultilevel"/>
    <w:lvl w:ilvl="0">
      <w:lvlJc w:val="left"/>
      <w:lvlText w:val="%1."/>
      <w:numFmt w:val="decimal"/>
      <w:start w:val="5"/>
    </w:lvl>
    <w:lvl w:ilvl="1">
      <w:lvlJc w:val="left"/>
      <w:lvlText w:val="(%2)"/>
      <w:numFmt w:val="lowerLetter"/>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5"/>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1" Type="http://schemas.openxmlformats.org/officeDocument/2006/relationships/hyperlink" Target="https://www.sec.gov/Archives/edgar/data/1657312/000110465920140541/tm2039594d1_e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2024-11-04T07:51:16Z</dcterms:created>
  <dcterms:modified xsi:type="dcterms:W3CDTF">2024-11-04T07:51:16Z</dcterms:modified>
</cp:coreProperties>
</file>