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877570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831850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Verona Pharma plc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320" w:type="dxa"/>
            <w:vAlign w:val="bottom"/>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United Kingdom</w:t>
            </w:r>
          </w:p>
        </w:tc>
        <w:tc>
          <w:tcPr>
            <w:tcW w:w="480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001-39067</w:t>
            </w:r>
          </w:p>
        </w:tc>
        <w:tc>
          <w:tcPr>
            <w:tcW w:w="318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98-1489389</w:t>
            </w:r>
          </w:p>
        </w:tc>
      </w:tr>
      <w:tr>
        <w:trPr>
          <w:trHeight w:val="165"/>
        </w:trPr>
        <w:tc>
          <w:tcPr>
            <w:tcW w:w="3320" w:type="dxa"/>
            <w:vAlign w:val="bottom"/>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480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318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3320" w:type="dxa"/>
            <w:vAlign w:val="bottom"/>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480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318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426"/>
        </w:trPr>
        <w:tc>
          <w:tcPr>
            <w:tcW w:w="3320" w:type="dxa"/>
            <w:vAlign w:val="bottom"/>
          </w:tcPr>
          <w:p>
            <w:pPr>
              <w:spacing w:after="0"/>
              <w:rPr>
                <w:sz w:val="24"/>
                <w:szCs w:val="24"/>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3 More London Riverside</w:t>
            </w:r>
          </w:p>
        </w:tc>
        <w:tc>
          <w:tcPr>
            <w:tcW w:w="3180" w:type="dxa"/>
            <w:vAlign w:val="bottom"/>
          </w:tcPr>
          <w:p>
            <w:pPr>
              <w:spacing w:after="0"/>
              <w:rPr>
                <w:sz w:val="24"/>
                <w:szCs w:val="24"/>
                <w:color w:val="auto"/>
              </w:rPr>
            </w:pPr>
          </w:p>
        </w:tc>
      </w:tr>
      <w:tr>
        <w:trPr>
          <w:trHeight w:val="144"/>
        </w:trPr>
        <w:tc>
          <w:tcPr>
            <w:tcW w:w="3320" w:type="dxa"/>
            <w:vAlign w:val="bottom"/>
          </w:tcPr>
          <w:p>
            <w:pPr>
              <w:spacing w:after="0"/>
              <w:rPr>
                <w:sz w:val="12"/>
                <w:szCs w:val="12"/>
                <w:color w:val="auto"/>
              </w:rPr>
            </w:pPr>
          </w:p>
        </w:tc>
        <w:tc>
          <w:tcPr>
            <w:tcW w:w="48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London SE1 2RE</w:t>
            </w:r>
          </w:p>
        </w:tc>
        <w:tc>
          <w:tcPr>
            <w:tcW w:w="3180" w:type="dxa"/>
            <w:vAlign w:val="bottom"/>
          </w:tcPr>
          <w:p>
            <w:pPr>
              <w:spacing w:after="0"/>
              <w:rPr>
                <w:sz w:val="12"/>
                <w:szCs w:val="12"/>
                <w:color w:val="auto"/>
              </w:rPr>
            </w:pPr>
          </w:p>
        </w:tc>
      </w:tr>
      <w:tr>
        <w:trPr>
          <w:trHeight w:val="144"/>
        </w:trPr>
        <w:tc>
          <w:tcPr>
            <w:tcW w:w="3320" w:type="dxa"/>
            <w:vAlign w:val="bottom"/>
          </w:tcPr>
          <w:p>
            <w:pPr>
              <w:spacing w:after="0"/>
              <w:rPr>
                <w:sz w:val="12"/>
                <w:szCs w:val="12"/>
                <w:color w:val="auto"/>
              </w:rPr>
            </w:pPr>
          </w:p>
        </w:tc>
        <w:tc>
          <w:tcPr>
            <w:tcW w:w="48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United Kingdom</w:t>
            </w:r>
          </w:p>
        </w:tc>
        <w:tc>
          <w:tcPr>
            <w:tcW w:w="3180" w:type="dxa"/>
            <w:vAlign w:val="bottom"/>
          </w:tcPr>
          <w:p>
            <w:pPr>
              <w:spacing w:after="0"/>
              <w:rPr>
                <w:sz w:val="12"/>
                <w:szCs w:val="12"/>
                <w:color w:val="auto"/>
              </w:rPr>
            </w:pPr>
          </w:p>
        </w:tc>
      </w:tr>
      <w:tr>
        <w:trPr>
          <w:trHeight w:val="159"/>
        </w:trPr>
        <w:tc>
          <w:tcPr>
            <w:tcW w:w="3320" w:type="dxa"/>
            <w:vAlign w:val="bottom"/>
          </w:tcPr>
          <w:p>
            <w:pPr>
              <w:spacing w:after="0"/>
              <w:rPr>
                <w:sz w:val="13"/>
                <w:szCs w:val="1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(Zip Code)</w:t>
            </w:r>
          </w:p>
        </w:tc>
        <w:tc>
          <w:tcPr>
            <w:tcW w:w="3180" w:type="dxa"/>
            <w:vAlign w:val="bottom"/>
          </w:tcPr>
          <w:p>
            <w:pPr>
              <w:spacing w:after="0"/>
              <w:rPr>
                <w:sz w:val="13"/>
                <w:szCs w:val="13"/>
                <w:color w:val="auto"/>
              </w:rPr>
            </w:pPr>
          </w:p>
        </w:tc>
      </w:tr>
      <w:tr>
        <w:trPr>
          <w:trHeight w:val="273"/>
        </w:trPr>
        <w:tc>
          <w:tcPr>
            <w:tcW w:w="3320" w:type="dxa"/>
            <w:vAlign w:val="bottom"/>
          </w:tcPr>
          <w:p>
            <w:pPr>
              <w:spacing w:after="0"/>
              <w:rPr>
                <w:sz w:val="23"/>
                <w:szCs w:val="2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+44 203 283 4200</w:t>
            </w:r>
          </w:p>
        </w:tc>
        <w:tc>
          <w:tcPr>
            <w:tcW w:w="3180" w:type="dxa"/>
            <w:vAlign w:val="bottom"/>
          </w:tcPr>
          <w:p>
            <w:pPr>
              <w:spacing w:after="0"/>
              <w:rPr>
                <w:sz w:val="23"/>
                <w:szCs w:val="23"/>
                <w:color w:val="auto"/>
              </w:rPr>
            </w:pPr>
          </w:p>
        </w:tc>
      </w:tr>
      <w:tr>
        <w:trPr>
          <w:trHeight w:val="159"/>
        </w:trPr>
        <w:tc>
          <w:tcPr>
            <w:tcW w:w="3320" w:type="dxa"/>
            <w:vAlign w:val="bottom"/>
          </w:tcPr>
          <w:p>
            <w:pPr>
              <w:spacing w:after="0"/>
              <w:rPr>
                <w:sz w:val="13"/>
                <w:szCs w:val="13"/>
                <w:color w:val="auto"/>
              </w:rPr>
            </w:pPr>
          </w:p>
        </w:tc>
        <w:tc>
          <w:tcPr>
            <w:tcW w:w="48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3180" w:type="dxa"/>
            <w:vAlign w:val="bottom"/>
          </w:tcPr>
          <w:p>
            <w:pPr>
              <w:spacing w:after="0"/>
              <w:rPr>
                <w:sz w:val="13"/>
                <w:szCs w:val="13"/>
                <w:color w:val="auto"/>
              </w:rPr>
            </w:pPr>
          </w:p>
        </w:tc>
      </w:tr>
      <w:tr>
        <w:trPr>
          <w:trHeight w:val="273"/>
        </w:trPr>
        <w:tc>
          <w:tcPr>
            <w:tcW w:w="3320" w:type="dxa"/>
            <w:vAlign w:val="bottom"/>
          </w:tcPr>
          <w:p>
            <w:pPr>
              <w:spacing w:after="0"/>
              <w:rPr>
                <w:sz w:val="23"/>
                <w:szCs w:val="2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3180" w:type="dxa"/>
            <w:vAlign w:val="bottom"/>
          </w:tcPr>
          <w:p>
            <w:pPr>
              <w:spacing w:after="0"/>
              <w:rPr>
                <w:sz w:val="23"/>
                <w:szCs w:val="23"/>
                <w:color w:val="auto"/>
              </w:rPr>
            </w:pPr>
          </w:p>
        </w:tc>
      </w:tr>
      <w:tr>
        <w:trPr>
          <w:trHeight w:val="159"/>
        </w:trPr>
        <w:tc>
          <w:tcPr>
            <w:tcW w:w="3320" w:type="dxa"/>
            <w:vAlign w:val="bottom"/>
          </w:tcPr>
          <w:p>
            <w:pPr>
              <w:spacing w:after="0"/>
              <w:rPr>
                <w:sz w:val="13"/>
                <w:szCs w:val="13"/>
                <w:color w:val="auto"/>
              </w:rPr>
            </w:pPr>
          </w:p>
        </w:tc>
        <w:tc>
          <w:tcPr>
            <w:tcW w:w="48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3180" w:type="dxa"/>
            <w:vAlign w:val="bottom"/>
          </w:tcPr>
          <w:p>
            <w:pPr>
              <w:spacing w:after="0"/>
              <w:rPr>
                <w:sz w:val="13"/>
                <w:szCs w:val="13"/>
                <w:color w:val="auto"/>
              </w:rPr>
            </w:pPr>
          </w:p>
        </w:tc>
      </w:tr>
      <w:tr>
        <w:trPr>
          <w:trHeight w:val="162"/>
        </w:trPr>
        <w:tc>
          <w:tcPr>
            <w:tcW w:w="332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r>
    </w:tbl>
    <w:p>
      <w:pPr>
        <w:spacing w:after="0" w:line="31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928" w:hanging="457"/>
        <w:spacing w:after="0"/>
        <w:tabs>
          <w:tab w:leader="none" w:pos="9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339" w:lineRule="exact"/>
        <w:rPr>
          <w:rFonts w:ascii="MS PGothic" w:cs="MS PGothic" w:eastAsia="MS PGothic" w:hAnsi="MS PGothic"/>
          <w:sz w:val="12"/>
          <w:szCs w:val="12"/>
          <w:color w:val="auto"/>
        </w:rPr>
      </w:pPr>
    </w:p>
    <w:p>
      <w:pPr>
        <w:ind w:left="928" w:hanging="457"/>
        <w:spacing w:after="0"/>
        <w:tabs>
          <w:tab w:leader="none" w:pos="9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39" w:lineRule="exact"/>
        <w:rPr>
          <w:rFonts w:ascii="MS PGothic" w:cs="MS PGothic" w:eastAsia="MS PGothic" w:hAnsi="MS PGothic"/>
          <w:sz w:val="12"/>
          <w:szCs w:val="12"/>
          <w:color w:val="auto"/>
        </w:rPr>
      </w:pPr>
    </w:p>
    <w:p>
      <w:pPr>
        <w:ind w:left="928" w:hanging="457"/>
        <w:spacing w:after="0"/>
        <w:tabs>
          <w:tab w:leader="none" w:pos="9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330" w:lineRule="exact"/>
        <w:rPr>
          <w:rFonts w:ascii="MS PGothic" w:cs="MS PGothic" w:eastAsia="MS PGothic" w:hAnsi="MS PGothic"/>
          <w:sz w:val="12"/>
          <w:szCs w:val="12"/>
          <w:color w:val="auto"/>
        </w:rPr>
      </w:pPr>
    </w:p>
    <w:p>
      <w:pPr>
        <w:ind w:left="928" w:hanging="457"/>
        <w:spacing w:after="0"/>
        <w:tabs>
          <w:tab w:leader="none" w:pos="9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99"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21" w:lineRule="exact"/>
        <w:rPr>
          <w:sz w:val="24"/>
          <w:szCs w:val="24"/>
          <w:color w:val="auto"/>
        </w:rPr>
      </w:pPr>
    </w:p>
    <w:tbl>
      <w:tblPr>
        <w:tblLayout w:type="fixed"/>
        <w:tblInd w:w="98" w:type="dxa"/>
        <w:tblCellMar>
          <w:top w:w="0" w:type="dxa"/>
          <w:left w:w="0" w:type="dxa"/>
          <w:bottom w:w="0" w:type="dxa"/>
          <w:right w:w="0" w:type="dxa"/>
        </w:tblCellMar>
      </w:tblPr>
      <w:tr>
        <w:trPr>
          <w:trHeight w:val="158"/>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64"/>
        </w:trPr>
        <w:tc>
          <w:tcPr>
            <w:tcW w:w="3920" w:type="dxa"/>
            <w:vAlign w:val="bottom"/>
            <w:tcBorders>
              <w:left w:val="single" w:sz="8" w:color="auto"/>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registered</w:t>
            </w:r>
          </w:p>
        </w:tc>
      </w:tr>
      <w:tr>
        <w:trPr>
          <w:trHeight w:val="149"/>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Ordinary shares, nominal value £0.05</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VRNA</w:t>
            </w:r>
          </w:p>
        </w:tc>
        <w:tc>
          <w:tcPr>
            <w:tcW w:w="34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The Nasdaq Global Market</w:t>
            </w:r>
          </w:p>
        </w:tc>
      </w:tr>
      <w:tr>
        <w:trPr>
          <w:trHeight w:val="164"/>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 share*</w:t>
            </w:r>
          </w:p>
        </w:tc>
        <w:tc>
          <w:tcPr>
            <w:tcW w:w="38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bl>
    <w:p>
      <w:pPr>
        <w:spacing w:after="0" w:line="266" w:lineRule="exact"/>
        <w:rPr>
          <w:sz w:val="24"/>
          <w:szCs w:val="24"/>
          <w:color w:val="auto"/>
        </w:rPr>
      </w:pPr>
    </w:p>
    <w:p>
      <w:pPr>
        <w:ind w:left="8" w:right="340" w:hanging="8"/>
        <w:spacing w:after="0" w:line="283" w:lineRule="auto"/>
        <w:tabs>
          <w:tab w:leader="none" w:pos="98"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09"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808355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44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Conditions.</w:t>
      </w:r>
    </w:p>
    <w:p>
      <w:pPr>
        <w:spacing w:after="0" w:line="16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On August 9, 2022, Verona Pharma plc (the “Company”) announced its financial results for the quarter ended June 30, 2022. The full text of the press release issued in connection with the announcement is furnished as Exhibit 99.1 to this Current Report on Form 8-K (the “Current Report”).</w:t>
      </w:r>
    </w:p>
    <w:p>
      <w:pPr>
        <w:spacing w:after="0" w:line="1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information contained in this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 The Company undertakes no obligation to update, supplement or amend the materials attached hereto as Exhibit 99.1.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2"/>
          <w:szCs w:val="12"/>
          <w:color w:val="auto"/>
        </w:rPr>
        <w:t xml:space="preserve">On August 9, 2022, the Company posted a slide presentation regarding top-line data from the Phase 3 ENHANCE-2 clinical trial in the “Events &amp; Presentations” portion of its website at </w:t>
      </w:r>
      <w:r>
        <w:rPr>
          <w:rFonts w:ascii="Times New Roman" w:cs="Times New Roman" w:eastAsia="Times New Roman" w:hAnsi="Times New Roman"/>
          <w:sz w:val="12"/>
          <w:szCs w:val="12"/>
          <w:i w:val="1"/>
          <w:iCs w:val="1"/>
          <w:color w:val="auto"/>
        </w:rPr>
        <w:t>www.veronapharma.com</w:t>
      </w:r>
      <w:r>
        <w:rPr>
          <w:rFonts w:ascii="Times New Roman" w:cs="Times New Roman" w:eastAsia="Times New Roman" w:hAnsi="Times New Roman"/>
          <w:sz w:val="12"/>
          <w:szCs w:val="12"/>
          <w:color w:val="auto"/>
        </w:rPr>
        <w:t>. A copy of the slide presentation is furnished as Exhibit 99.2 to this Current Report.</w:t>
      </w:r>
    </w:p>
    <w:p>
      <w:pPr>
        <w:ind w:right="200"/>
        <w:spacing w:after="0" w:line="239" w:lineRule="auto"/>
        <w:rPr>
          <w:sz w:val="20"/>
          <w:szCs w:val="20"/>
          <w:color w:val="auto"/>
        </w:rPr>
      </w:pPr>
      <w:r>
        <w:rPr>
          <w:rFonts w:ascii="Times New Roman" w:cs="Times New Roman" w:eastAsia="Times New Roman" w:hAnsi="Times New Roman"/>
          <w:sz w:val="12"/>
          <w:szCs w:val="12"/>
          <w:color w:val="auto"/>
        </w:rPr>
        <w:t>The information contained in this Item 7.01 of this Current Report (including Exhibit 99.2 attached hereto)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 The Company undertakes no obligation to update, supplement or amend the materials attached hereto as Exhibits 99.2.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2"/>
          <w:szCs w:val="12"/>
          <w:color w:val="auto"/>
        </w:rPr>
        <w:t>On August 9, 2022, the Company announced the following top-line results from the Phase 3 ENHANCE-2 clinical trial evaluating nebulized ensifentrine for the maintenance treatment of chronic obstructive pulmonary disease (“COPD”):</w:t>
      </w:r>
    </w:p>
    <w:p>
      <w:pPr>
        <w:spacing w:after="0" w:line="124"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Study population (n=789)</w:t>
      </w:r>
      <w:r>
        <w:rPr>
          <w:rFonts w:ascii="Times New Roman" w:cs="Times New Roman" w:eastAsia="Times New Roman" w:hAnsi="Times New Roman"/>
          <w:sz w:val="12"/>
          <w:szCs w:val="12"/>
          <w:color w:val="auto"/>
        </w:rPr>
        <w:t>:</w:t>
      </w:r>
    </w:p>
    <w:p>
      <w:pPr>
        <w:spacing w:after="0" w:line="12" w:lineRule="exact"/>
        <w:rPr>
          <w:rFonts w:ascii="Arial" w:cs="Arial" w:eastAsia="Arial" w:hAnsi="Arial"/>
          <w:sz w:val="12"/>
          <w:szCs w:val="12"/>
          <w:color w:val="auto"/>
        </w:rPr>
      </w:pPr>
    </w:p>
    <w:p>
      <w:pPr>
        <w:ind w:left="860" w:hanging="220"/>
        <w:spacing w:after="0" w:line="233" w:lineRule="auto"/>
        <w:tabs>
          <w:tab w:leader="none" w:pos="860"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Subject demographics and disease characteristics were well balanced between treatment groups.</w:t>
      </w:r>
    </w:p>
    <w:p>
      <w:pPr>
        <w:ind w:left="860" w:hanging="220"/>
        <w:spacing w:after="0" w:line="242" w:lineRule="auto"/>
        <w:tabs>
          <w:tab w:leader="none" w:pos="857"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 xml:space="preserve">Approximately 52% of subjects received background COPD therapy, </w:t>
      </w:r>
      <w:r>
        <w:rPr>
          <w:rFonts w:ascii="Times New Roman" w:cs="Times New Roman" w:eastAsia="Times New Roman" w:hAnsi="Times New Roman"/>
          <w:sz w:val="12"/>
          <w:szCs w:val="12"/>
          <w:color w:val="232323"/>
        </w:rPr>
        <w:t>either a long-acting muscarinic antagonist (“LAMA”) or a long-acting beta-agonist (“LABA”). Additionally,</w:t>
      </w:r>
      <w:r>
        <w:rPr>
          <w:rFonts w:ascii="Times New Roman" w:cs="Times New Roman" w:eastAsia="Times New Roman" w:hAnsi="Times New Roman"/>
          <w:sz w:val="12"/>
          <w:szCs w:val="12"/>
          <w:color w:val="auto"/>
        </w:rPr>
        <w:t xml:space="preserve"> 15% of all subjects received inhaled corticosteroids (“ICS”) with concomitant LAMA or LABA.</w:t>
      </w:r>
    </w:p>
    <w:p>
      <w:pPr>
        <w:spacing w:after="0" w:line="9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Primary endpoint met (FEV</w:t>
      </w:r>
      <w:r>
        <w:rPr>
          <w:rFonts w:ascii="Times New Roman" w:cs="Times New Roman" w:eastAsia="Times New Roman" w:hAnsi="Times New Roman"/>
          <w:sz w:val="15"/>
          <w:szCs w:val="15"/>
          <w:b w:val="1"/>
          <w:bCs w:val="1"/>
          <w:color w:val="auto"/>
          <w:vertAlign w:val="subscript"/>
        </w:rPr>
        <w:t>1</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AUC 0-12 hr)</w:t>
      </w:r>
      <w:r>
        <w:rPr>
          <w:rFonts w:ascii="Times New Roman" w:cs="Times New Roman" w:eastAsia="Times New Roman" w:hAnsi="Times New Roman"/>
          <w:sz w:val="12"/>
          <w:szCs w:val="12"/>
          <w:color w:val="auto"/>
        </w:rPr>
        <w:t>:</w:t>
      </w:r>
    </w:p>
    <w:p>
      <w:pPr>
        <w:spacing w:after="0" w:line="21" w:lineRule="exact"/>
        <w:rPr>
          <w:rFonts w:ascii="Arial" w:cs="Arial" w:eastAsia="Arial" w:hAnsi="Arial"/>
          <w:sz w:val="12"/>
          <w:szCs w:val="12"/>
          <w:color w:val="auto"/>
        </w:rPr>
      </w:pPr>
    </w:p>
    <w:p>
      <w:pPr>
        <w:ind w:left="860" w:hanging="220"/>
        <w:spacing w:after="0" w:line="187" w:lineRule="auto"/>
        <w:tabs>
          <w:tab w:leader="none" w:pos="860"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Placebo corrected, average FEV</w:t>
      </w:r>
      <w:r>
        <w:rPr>
          <w:rFonts w:ascii="Times New Roman" w:cs="Times New Roman" w:eastAsia="Times New Roman" w:hAnsi="Times New Roman"/>
          <w:sz w:val="15"/>
          <w:szCs w:val="15"/>
          <w:color w:val="auto"/>
          <w:vertAlign w:val="subscript"/>
        </w:rPr>
        <w:t>1</w:t>
      </w:r>
      <w:r>
        <w:rPr>
          <w:rFonts w:ascii="Times New Roman" w:cs="Times New Roman" w:eastAsia="Times New Roman" w:hAnsi="Times New Roman"/>
          <w:sz w:val="12"/>
          <w:szCs w:val="12"/>
          <w:color w:val="auto"/>
        </w:rPr>
        <w:t xml:space="preserve"> area under the curve 0-12 hours post dose at week 12 was 94 mL (p&lt;0.0001) for ensifentrine.</w:t>
      </w:r>
    </w:p>
    <w:p>
      <w:pPr>
        <w:ind w:left="860" w:hanging="220"/>
        <w:spacing w:after="0" w:line="217" w:lineRule="auto"/>
        <w:tabs>
          <w:tab w:leader="none" w:pos="857"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Statistically significant and clinically meaningful improvements with ensifentrine demonstrated across all subgroups including gender, age, smoking status, COPD severity, background medication, ICS use, chronic bronchitis, FEV</w:t>
      </w:r>
      <w:r>
        <w:rPr>
          <w:rFonts w:ascii="Times New Roman" w:cs="Times New Roman" w:eastAsia="Times New Roman" w:hAnsi="Times New Roman"/>
          <w:sz w:val="15"/>
          <w:szCs w:val="15"/>
          <w:color w:val="auto"/>
          <w:vertAlign w:val="subscript"/>
        </w:rPr>
        <w:t>1</w:t>
      </w:r>
      <w:r>
        <w:rPr>
          <w:rFonts w:ascii="Times New Roman" w:cs="Times New Roman" w:eastAsia="Times New Roman" w:hAnsi="Times New Roman"/>
          <w:sz w:val="12"/>
          <w:szCs w:val="12"/>
          <w:color w:val="auto"/>
        </w:rPr>
        <w:t xml:space="preserve"> reversibility, and geographic region.</w:t>
      </w:r>
    </w:p>
    <w:p>
      <w:pPr>
        <w:spacing w:after="0" w:line="13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Secondary endpoints of lung function met</w:t>
      </w:r>
      <w:r>
        <w:rPr>
          <w:rFonts w:ascii="Times New Roman" w:cs="Times New Roman" w:eastAsia="Times New Roman" w:hAnsi="Times New Roman"/>
          <w:sz w:val="12"/>
          <w:szCs w:val="12"/>
          <w:color w:val="auto"/>
        </w:rPr>
        <w:t>:</w:t>
      </w:r>
    </w:p>
    <w:p>
      <w:pPr>
        <w:spacing w:after="0" w:line="12" w:lineRule="exact"/>
        <w:rPr>
          <w:rFonts w:ascii="Arial" w:cs="Arial" w:eastAsia="Arial" w:hAnsi="Arial"/>
          <w:sz w:val="12"/>
          <w:szCs w:val="12"/>
          <w:color w:val="auto"/>
        </w:rPr>
      </w:pPr>
    </w:p>
    <w:p>
      <w:pPr>
        <w:ind w:left="860" w:hanging="220"/>
        <w:spacing w:after="0" w:line="233" w:lineRule="auto"/>
        <w:tabs>
          <w:tab w:leader="none" w:pos="860"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Placebo corrected, increase in peak FEV</w:t>
      </w:r>
      <w:r>
        <w:rPr>
          <w:rFonts w:ascii="Times New Roman" w:cs="Times New Roman" w:eastAsia="Times New Roman" w:hAnsi="Times New Roman"/>
          <w:sz w:val="7"/>
          <w:szCs w:val="7"/>
          <w:color w:val="auto"/>
        </w:rPr>
        <w:t>1</w:t>
      </w:r>
      <w:r>
        <w:rPr>
          <w:rFonts w:ascii="Times New Roman" w:cs="Times New Roman" w:eastAsia="Times New Roman" w:hAnsi="Times New Roman"/>
          <w:sz w:val="12"/>
          <w:szCs w:val="12"/>
          <w:color w:val="auto"/>
        </w:rPr>
        <w:t xml:space="preserve"> of 146 mL (p&lt;0.0001) 0-4 hours post dose at week 12.</w:t>
      </w:r>
    </w:p>
    <w:p>
      <w:pPr>
        <w:ind w:left="860" w:hanging="220"/>
        <w:spacing w:after="0"/>
        <w:tabs>
          <w:tab w:leader="none" w:pos="860"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Placebo corrected, increase in morning trough FEV</w:t>
      </w:r>
      <w:r>
        <w:rPr>
          <w:rFonts w:ascii="Times New Roman" w:cs="Times New Roman" w:eastAsia="Times New Roman" w:hAnsi="Times New Roman"/>
          <w:sz w:val="7"/>
          <w:szCs w:val="7"/>
          <w:color w:val="auto"/>
        </w:rPr>
        <w:t>1</w:t>
      </w:r>
      <w:r>
        <w:rPr>
          <w:rFonts w:ascii="Times New Roman" w:cs="Times New Roman" w:eastAsia="Times New Roman" w:hAnsi="Times New Roman"/>
          <w:sz w:val="12"/>
          <w:szCs w:val="12"/>
          <w:color w:val="auto"/>
        </w:rPr>
        <w:t xml:space="preserve"> of 49 mL (p=0.0017) at week 12, supporting twice daily dosing regimen.</w:t>
      </w:r>
    </w:p>
    <w:p>
      <w:pPr>
        <w:spacing w:after="0" w:line="13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Exacerbation rate reduced</w:t>
      </w:r>
      <w:r>
        <w:rPr>
          <w:rFonts w:ascii="Times New Roman" w:cs="Times New Roman" w:eastAsia="Times New Roman" w:hAnsi="Times New Roman"/>
          <w:sz w:val="12"/>
          <w:szCs w:val="12"/>
          <w:color w:val="auto"/>
        </w:rPr>
        <w:t>:</w:t>
      </w:r>
    </w:p>
    <w:p>
      <w:pPr>
        <w:spacing w:after="0" w:line="12" w:lineRule="exact"/>
        <w:rPr>
          <w:rFonts w:ascii="Arial" w:cs="Arial" w:eastAsia="Arial" w:hAnsi="Arial"/>
          <w:sz w:val="12"/>
          <w:szCs w:val="12"/>
          <w:color w:val="auto"/>
        </w:rPr>
      </w:pPr>
    </w:p>
    <w:p>
      <w:pPr>
        <w:ind w:left="860" w:hanging="220"/>
        <w:spacing w:after="0" w:line="233" w:lineRule="auto"/>
        <w:tabs>
          <w:tab w:leader="none" w:pos="860"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Subjects receiving ensifentrine demonstrated a 42% reduction in the rate of moderate to severe COPD exacerbations over 24 weeks compared to those receiving placebo (p=0.0109).</w:t>
      </w:r>
    </w:p>
    <w:p>
      <w:pPr>
        <w:ind w:left="860" w:hanging="220"/>
        <w:spacing w:after="0"/>
        <w:tabs>
          <w:tab w:leader="none" w:pos="860" w:val="left"/>
        </w:tabs>
        <w:numPr>
          <w:ilvl w:val="1"/>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Treatment with ensifentrine significantly decreased the risk of a moderate/severe exacerbation as measured by time to first exacerbation when compared with placebo by 42% (p=0.0088).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892810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4" w:right="299" w:bottom="1440" w:gutter="0" w:footer="0" w:header="0"/>
        </w:sectPr>
      </w:pPr>
    </w:p>
    <w:bookmarkStart w:id="2" w:name="page3"/>
    <w:bookmarkEnd w:id="2"/>
    <w:p>
      <w:pPr>
        <w:ind w:left="420" w:hanging="212"/>
        <w:spacing w:after="0"/>
        <w:tabs>
          <w:tab w:leader="none" w:pos="420"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COPD symptoms and Quality of Life (“QOL”)</w:t>
      </w:r>
      <w:r>
        <w:rPr>
          <w:rFonts w:ascii="Times New Roman" w:cs="Times New Roman" w:eastAsia="Times New Roman" w:hAnsi="Times New Roman"/>
          <w:sz w:val="12"/>
          <w:szCs w:val="12"/>
          <w:color w:val="auto"/>
        </w:rPr>
        <w:t>:</w:t>
      </w:r>
    </w:p>
    <w:p>
      <w:pPr>
        <w:spacing w:after="0" w:line="12" w:lineRule="exact"/>
        <w:rPr>
          <w:rFonts w:ascii="Arial" w:cs="Arial" w:eastAsia="Arial" w:hAnsi="Arial"/>
          <w:sz w:val="12"/>
          <w:szCs w:val="12"/>
          <w:color w:val="auto"/>
        </w:rPr>
      </w:pPr>
    </w:p>
    <w:p>
      <w:pPr>
        <w:jc w:val="both"/>
        <w:ind w:left="860" w:hanging="220"/>
        <w:spacing w:after="0" w:line="239" w:lineRule="auto"/>
        <w:tabs>
          <w:tab w:leader="none" w:pos="857" w:val="left"/>
        </w:tabs>
        <w:numPr>
          <w:ilvl w:val="1"/>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Daily symptoms and QOL as measured by E-RS** Total Score and SGRQ** Total Score in the ensifentrine group improved from baseline to greater than the minimal clinically important difference (“MCID”) of -2 units and -4 units, respectively, at week 24. Improvements in these measures were seen as early as 6 weeks and showed continued improvement at 12 and 24 weeks, numerically exceeding placebo at each measurement. Statistical significance was not achieved due to improvements in the placebo group over time.</w:t>
      </w:r>
    </w:p>
    <w:p>
      <w:pPr>
        <w:spacing w:after="0" w:line="13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Favorable safety results:</w:t>
      </w:r>
    </w:p>
    <w:p>
      <w:pPr>
        <w:spacing w:after="0" w:line="12" w:lineRule="exact"/>
        <w:rPr>
          <w:rFonts w:ascii="Arial" w:cs="Arial" w:eastAsia="Arial" w:hAnsi="Arial"/>
          <w:sz w:val="12"/>
          <w:szCs w:val="12"/>
          <w:color w:val="auto"/>
        </w:rPr>
      </w:pPr>
    </w:p>
    <w:p>
      <w:pPr>
        <w:ind w:left="860" w:hanging="220"/>
        <w:spacing w:after="0"/>
        <w:tabs>
          <w:tab w:leader="none" w:pos="860" w:val="left"/>
        </w:tabs>
        <w:numPr>
          <w:ilvl w:val="1"/>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Ensifentrine was well tolerated with safety results similar to placebo, including occurrence of pneumonia, gastrointestinal and cardiovascular adverse events.</w:t>
      </w:r>
    </w:p>
    <w:p>
      <w:pPr>
        <w:spacing w:after="0" w:line="144" w:lineRule="exact"/>
        <w:rPr>
          <w:sz w:val="20"/>
          <w:szCs w:val="20"/>
          <w:color w:val="auto"/>
        </w:rPr>
      </w:pPr>
    </w:p>
    <w:p>
      <w:pPr>
        <w:ind w:left="420" w:right="4100"/>
        <w:spacing w:after="0" w:line="252" w:lineRule="auto"/>
        <w:rPr>
          <w:sz w:val="20"/>
          <w:szCs w:val="20"/>
          <w:color w:val="auto"/>
        </w:rPr>
      </w:pPr>
      <w:r>
        <w:rPr>
          <w:rFonts w:ascii="Times New Roman" w:cs="Times New Roman" w:eastAsia="Times New Roman" w:hAnsi="Times New Roman"/>
          <w:sz w:val="12"/>
          <w:szCs w:val="12"/>
          <w:i w:val="1"/>
          <w:iCs w:val="1"/>
          <w:color w:val="auto"/>
        </w:rPr>
        <w:t>*FEV</w:t>
      </w:r>
      <w:r>
        <w:rPr>
          <w:rFonts w:ascii="Times New Roman" w:cs="Times New Roman" w:eastAsia="Times New Roman" w:hAnsi="Times New Roman"/>
          <w:sz w:val="7"/>
          <w:szCs w:val="7"/>
          <w:i w:val="1"/>
          <w:iCs w:val="1"/>
          <w:color w:val="auto"/>
        </w:rPr>
        <w:t>1</w:t>
      </w:r>
      <w:r>
        <w:rPr>
          <w:rFonts w:ascii="Times New Roman" w:cs="Times New Roman" w:eastAsia="Times New Roman" w:hAnsi="Times New Roman"/>
          <w:sz w:val="12"/>
          <w:szCs w:val="12"/>
          <w:i w:val="1"/>
          <w:iCs w:val="1"/>
          <w:color w:val="auto"/>
        </w:rPr>
        <w:t>: Forced Expiratory Volume in one second, a standard measure of lung function **E-RS, Evaluating Respiratory Symptoms, and SGRQ, St. George’s Respiratory Questionnaire, are validated patient reported outcome tools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data, along with results from the Company’s ongoing Phase 3 ENHANCE-1 clinical trial, which is on track to be reported around the end of 2022, are expected to support the submission of a New Drug Application to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Food and Drug Administration (the “FDA”) in the first half of 2023.</w:t>
      </w:r>
    </w:p>
    <w:p>
      <w:pPr>
        <w:spacing w:after="0" w:line="147"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2"/>
          <w:szCs w:val="12"/>
          <w:color w:val="auto"/>
        </w:rPr>
        <w:t>In 2020, there were approximately 6 million patients on maintenance treatment for COPD in the United States, with approximately 5 million patients receiving two or more therapies or alternative therapies. Of those patients, approximately 40% remain symptomatic, resulting in more than 1 million patients that the Company believes has the potential to be treated with ensifentrine. As of December 2021, 35 payers covered more than 200 million lives, or 85% of all lives covered, for nebulizers, with the majority of claims for nebulizers in the United States reimbursed through Medicare Part B. If ensifentrine is approved, the Company plans to target the approximately 12,000 pulmonologists in the United States and expects that it will need approximately 100 sales representatives.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Exhibits 99.1 and 99.2 relating to Items 2.02 and 7.01 shall be deemed to be furnished, and not filed: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60" w:type="dxa"/>
            <w:vAlign w:val="bottom"/>
          </w:tcPr>
          <w:p>
            <w:pPr>
              <w:spacing w:after="0"/>
              <w:rPr>
                <w:sz w:val="12"/>
                <w:szCs w:val="12"/>
                <w:color w:val="auto"/>
              </w:rPr>
            </w:pPr>
          </w:p>
        </w:tc>
      </w:tr>
      <w:tr>
        <w:trPr>
          <w:trHeight w:val="168"/>
        </w:trPr>
        <w:tc>
          <w:tcPr>
            <w:tcW w:w="380" w:type="dxa"/>
            <w:vAlign w:val="bottom"/>
          </w:tcPr>
          <w:p>
            <w:pPr>
              <w:spacing w:after="0"/>
              <w:rPr>
                <w:sz w:val="14"/>
                <w:szCs w:val="14"/>
                <w:color w:val="auto"/>
              </w:rPr>
            </w:pPr>
          </w:p>
        </w:tc>
        <w:tc>
          <w:tcPr>
            <w:tcW w:w="66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No.</w:t>
            </w:r>
          </w:p>
        </w:tc>
        <w:tc>
          <w:tcPr>
            <w:tcW w:w="20" w:type="dxa"/>
            <w:vAlign w:val="bottom"/>
          </w:tcPr>
          <w:p>
            <w:pPr>
              <w:spacing w:after="0"/>
              <w:rPr>
                <w:sz w:val="14"/>
                <w:szCs w:val="14"/>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313"/>
        </w:trPr>
        <w:tc>
          <w:tcPr>
            <w:tcW w:w="580" w:type="dxa"/>
            <w:vAlign w:val="bottom"/>
            <w:tcBorders>
              <w:top w:val="single" w:sz="8" w:color="auto"/>
            </w:tcBorders>
            <w:gridSpan w:val="2"/>
          </w:tcPr>
          <w:p>
            <w:pPr>
              <w:jc w:val="center"/>
              <w:ind w:left="32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Press Release of Verona Pharma plc issued on August 9, 2022.</w:t>
            </w: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60"/>
        </w:trPr>
        <w:tc>
          <w:tcPr>
            <w:tcW w:w="58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ENHANCE-2 Data Slide Presentation of Verona Pharma plc.</w:t>
            </w: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87"/>
        </w:trPr>
        <w:tc>
          <w:tcPr>
            <w:tcW w:w="38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bl>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2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2"/>
          <w:szCs w:val="12"/>
          <w:i w:val="1"/>
          <w:iCs w:val="1"/>
          <w:color w:val="auto"/>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development of ensifentrine and the progress and timing of clinical trials and data, the timing of data from the Company’s clinical trials, the Company’s ability to submit a New Drug Application to the FDA and the timing for such an application, the potential number of patients that could be treated with ensifentrine, and the Company’s expectations regarding the commercialization resources needed for ensifentrine, if approved. These forward-looking statements are based on management's current expectations. These statements are neither promises nor guarantees, but involve known and unknown risks, uncertainties and other important factors that may cause the Company’s actual results, performance or achievements to be materially different from its expectations expressed or implied by the forward-looking statements, including without limitation: general business, financial and accounting risks;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575310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3" w:name="page4"/>
    <w:bookmarkEnd w:id="3"/>
    <w:p>
      <w:pPr>
        <w:spacing w:after="0" w:line="267" w:lineRule="auto"/>
        <w:rPr>
          <w:sz w:val="20"/>
          <w:szCs w:val="20"/>
          <w:color w:val="auto"/>
        </w:rPr>
      </w:pPr>
      <w:r>
        <w:rPr>
          <w:rFonts w:ascii="Times New Roman" w:cs="Times New Roman" w:eastAsia="Times New Roman" w:hAnsi="Times New Roman"/>
          <w:sz w:val="11"/>
          <w:szCs w:val="11"/>
          <w:i w:val="1"/>
          <w:iCs w:val="1"/>
          <w:color w:val="auto"/>
        </w:rPr>
        <w:t>Company’s need for additional funding to complete development and commercialization of ensifentrine, which may not be available and which may force the Company to delay, reduce or eliminate development or commercialization efforts; the reliance of the Company’s business on the success of ensifentrine, its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the Company’s ability to develop or commercialize ensifentrine; potential delays in enrolling patients, which could adversely affect the Company’s research and development efforts and the completion of its clinical trials; the Company’s ability to obtain approval for and commercialize ensifentrine in multiple major pharmaceutical markets; material differences between the Company’s “top-line” data and final data; the Company’s reliance on third parties, including clinical research organizations, clinical investigators, manufacturers and suppliers, and the risks related to these parties’ ability to successfully develop and commercialize ensifentrine; changes in the Company’s tax rates, unavailability of certain tax credits or reliefs or exposure to additional tax liabilities or assessments could affect profitability, and audits by tax authorities could result in additional tax payments for prior periods; the Company’s vulnerability to natural disasters, global economic factors and other unexpected events, including health epidemics or pandemics like the COVID-19 pandemic, which has and may continue to adversely impact the Company’s business, and Russia’s invasion of Ukraine; and the other important factors discussed under the caption “Risk Factors” in its Annual Report on Form 10-K for the year ended December 31, 2021 and as any such factors may be updated from time to time in its other filings with the SEC. Any such forward-looking statements represent management's estimates as of the date of this Current Report.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572770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6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7960" w:type="dxa"/>
            <w:vAlign w:val="bottom"/>
            <w:gridSpan w:val="2"/>
          </w:tcPr>
          <w:p>
            <w:pPr>
              <w:ind w:left="2300"/>
              <w:spacing w:after="0"/>
              <w:rPr>
                <w:sz w:val="20"/>
                <w:szCs w:val="20"/>
                <w:color w:val="auto"/>
              </w:rPr>
            </w:pPr>
            <w:r>
              <w:rPr>
                <w:rFonts w:ascii="Times New Roman" w:cs="Times New Roman" w:eastAsia="Times New Roman" w:hAnsi="Times New Roman"/>
                <w:sz w:val="12"/>
                <w:szCs w:val="12"/>
                <w:b w:val="1"/>
                <w:bCs w:val="1"/>
                <w:color w:val="auto"/>
              </w:rPr>
              <w:t>VERONA PHARMA PLC</w:t>
            </w:r>
          </w:p>
        </w:tc>
      </w:tr>
      <w:tr>
        <w:trPr>
          <w:trHeight w:val="367"/>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August 9, 2022</w:t>
            </w:r>
          </w:p>
        </w:tc>
        <w:tc>
          <w:tcPr>
            <w:tcW w:w="32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By:</w:t>
            </w:r>
          </w:p>
        </w:tc>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David Zaccardelli, Pharm. D.</w:t>
            </w:r>
          </w:p>
        </w:tc>
      </w:tr>
      <w:tr>
        <w:trPr>
          <w:trHeight w:val="162"/>
        </w:trPr>
        <w:tc>
          <w:tcPr>
            <w:tcW w:w="3340" w:type="dxa"/>
            <w:vAlign w:val="bottom"/>
          </w:tcPr>
          <w:p>
            <w:pPr>
              <w:spacing w:after="0"/>
              <w:rPr>
                <w:sz w:val="14"/>
                <w:szCs w:val="14"/>
                <w:color w:val="auto"/>
              </w:rPr>
            </w:pPr>
          </w:p>
        </w:tc>
        <w:tc>
          <w:tcPr>
            <w:tcW w:w="32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Name:</w:t>
            </w:r>
          </w:p>
        </w:tc>
        <w:tc>
          <w:tcPr>
            <w:tcW w:w="4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David Zaccardelli, Pharm. D.</w:t>
            </w:r>
          </w:p>
        </w:tc>
      </w:tr>
      <w:tr>
        <w:trPr>
          <w:trHeight w:val="180"/>
        </w:trPr>
        <w:tc>
          <w:tcPr>
            <w:tcW w:w="3340" w:type="dxa"/>
            <w:vAlign w:val="bottom"/>
          </w:tcPr>
          <w:p>
            <w:pPr>
              <w:spacing w:after="0"/>
              <w:rPr>
                <w:sz w:val="15"/>
                <w:szCs w:val="15"/>
                <w:color w:val="auto"/>
              </w:rPr>
            </w:pPr>
          </w:p>
        </w:tc>
        <w:tc>
          <w:tcPr>
            <w:tcW w:w="32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Title:</w:t>
            </w:r>
          </w:p>
        </w:tc>
        <w:tc>
          <w:tcPr>
            <w:tcW w:w="4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300"/>
          </w:cols>
          <w:pgMar w:left="300" w:top="1061"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6014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60145" cy="56578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Verona Pharma Reports Second Quarter 2022 Financial Results and Provides Corporate Update</w:t>
      </w:r>
    </w:p>
    <w:p>
      <w:pPr>
        <w:spacing w:after="0" w:line="109" w:lineRule="exact"/>
        <w:rPr>
          <w:sz w:val="20"/>
          <w:szCs w:val="20"/>
          <w:color w:val="auto"/>
        </w:rPr>
      </w:pPr>
    </w:p>
    <w:p>
      <w:pPr>
        <w:jc w:val="center"/>
        <w:ind w:right="20"/>
        <w:spacing w:after="0" w:line="342" w:lineRule="auto"/>
        <w:rPr>
          <w:sz w:val="20"/>
          <w:szCs w:val="20"/>
          <w:color w:val="auto"/>
        </w:rPr>
      </w:pPr>
      <w:r>
        <w:rPr>
          <w:rFonts w:ascii="Arial" w:cs="Arial" w:eastAsia="Arial" w:hAnsi="Arial"/>
          <w:sz w:val="14"/>
          <w:szCs w:val="14"/>
          <w:i w:val="1"/>
          <w:iCs w:val="1"/>
          <w:color w:val="auto"/>
        </w:rPr>
        <w:t>Ensifentrine met primary and secondary endpoints of evaluating lung function in Phase 3 ENHANCE-2 trial for COPD Top-line Phase 3 ENHANCE-1 data expected around the end of 2022 Conference call today at 8:30 a.m. EDT / 1:30 p.m. BST</w:t>
      </w:r>
    </w:p>
    <w:p>
      <w:pPr>
        <w:spacing w:after="0" w:line="196" w:lineRule="exact"/>
        <w:rPr>
          <w:sz w:val="20"/>
          <w:szCs w:val="20"/>
          <w:color w:val="auto"/>
        </w:rPr>
      </w:pPr>
    </w:p>
    <w:p>
      <w:pPr>
        <w:ind w:right="20"/>
        <w:spacing w:after="0" w:line="255" w:lineRule="auto"/>
        <w:rPr>
          <w:sz w:val="20"/>
          <w:szCs w:val="20"/>
          <w:color w:val="auto"/>
        </w:rPr>
      </w:pPr>
      <w:r>
        <w:rPr>
          <w:rFonts w:ascii="Arial" w:cs="Arial" w:eastAsia="Arial" w:hAnsi="Arial"/>
          <w:sz w:val="13"/>
          <w:szCs w:val="13"/>
          <w:b w:val="1"/>
          <w:bCs w:val="1"/>
          <w:color w:val="auto"/>
        </w:rPr>
        <w:t xml:space="preserve">LONDON and RALEIGH, N.C., August 9, 2022 </w:t>
      </w:r>
      <w:r>
        <w:rPr>
          <w:rFonts w:ascii="Arial" w:cs="Arial" w:eastAsia="Arial" w:hAnsi="Arial"/>
          <w:sz w:val="13"/>
          <w:szCs w:val="13"/>
          <w:color w:val="auto"/>
        </w:rPr>
        <w:t>– Verona Pharma plc (Nasdaq: VRNA) (“Verona Pharma” or the “Company”), a clinical-stage biopharmaceutical company focused on respiratory</w:t>
      </w:r>
      <w:r>
        <w:rPr>
          <w:rFonts w:ascii="Arial" w:cs="Arial" w:eastAsia="Arial" w:hAnsi="Arial"/>
          <w:sz w:val="13"/>
          <w:szCs w:val="13"/>
          <w:b w:val="1"/>
          <w:bCs w:val="1"/>
          <w:color w:val="auto"/>
        </w:rPr>
        <w:t xml:space="preserve"> </w:t>
      </w:r>
      <w:r>
        <w:rPr>
          <w:rFonts w:ascii="Arial" w:cs="Arial" w:eastAsia="Arial" w:hAnsi="Arial"/>
          <w:sz w:val="13"/>
          <w:szCs w:val="13"/>
          <w:color w:val="auto"/>
        </w:rPr>
        <w:t>diseases, announces its financial results for the three months ended June 30, 2022, and provides a corporate update.</w:t>
      </w:r>
    </w:p>
    <w:p>
      <w:pPr>
        <w:spacing w:after="0" w:line="24" w:lineRule="exact"/>
        <w:rPr>
          <w:sz w:val="20"/>
          <w:szCs w:val="20"/>
          <w:color w:val="auto"/>
        </w:rPr>
      </w:pPr>
    </w:p>
    <w:p>
      <w:pPr>
        <w:spacing w:after="0" w:line="219" w:lineRule="auto"/>
        <w:rPr>
          <w:sz w:val="20"/>
          <w:szCs w:val="20"/>
          <w:color w:val="auto"/>
        </w:rPr>
      </w:pPr>
      <w:r>
        <w:rPr>
          <w:rFonts w:ascii="Arial" w:cs="Arial" w:eastAsia="Arial" w:hAnsi="Arial"/>
          <w:sz w:val="13"/>
          <w:szCs w:val="13"/>
          <w:color w:val="auto"/>
        </w:rPr>
        <w:t>In a separate press release issued earlier today, Verona Pharma announced positive top-line results from its Phase 3 ENHANCE-2 (“Ensifentrine as a Novel inHAled Nebulized COPD thErapy”) trial evaluating nebulized ensifentrine for the maintenance treatment of chronic obstructive pulmonary disease (“COPD”). The ENHANCE-2 trial has successfully met its primary endpoint, as well</w:t>
      </w:r>
    </w:p>
    <w:p>
      <w:pPr>
        <w:spacing w:after="0" w:line="237" w:lineRule="auto"/>
        <w:rPr>
          <w:sz w:val="20"/>
          <w:szCs w:val="20"/>
          <w:color w:val="auto"/>
        </w:rPr>
      </w:pPr>
      <w:r>
        <w:rPr>
          <w:rFonts w:ascii="Arial" w:cs="Arial" w:eastAsia="Arial" w:hAnsi="Arial"/>
          <w:sz w:val="13"/>
          <w:szCs w:val="13"/>
          <w:color w:val="auto"/>
        </w:rPr>
        <w:t>as secondary endpoints demonstrating improvements in lung function, and significantly reduced the rate and risk of COPD exacerbations. Ensifentrine was well tolerated with safety results similar to placebo.</w:t>
      </w:r>
    </w:p>
    <w:p>
      <w:pPr>
        <w:spacing w:after="0" w:line="26" w:lineRule="exact"/>
        <w:rPr>
          <w:sz w:val="20"/>
          <w:szCs w:val="20"/>
          <w:color w:val="auto"/>
        </w:rPr>
      </w:pPr>
    </w:p>
    <w:p>
      <w:pPr>
        <w:spacing w:after="0" w:line="226" w:lineRule="auto"/>
        <w:rPr>
          <w:sz w:val="20"/>
          <w:szCs w:val="20"/>
          <w:color w:val="auto"/>
        </w:rPr>
      </w:pPr>
      <w:r>
        <w:rPr>
          <w:rFonts w:ascii="Arial" w:cs="Arial" w:eastAsia="Arial" w:hAnsi="Arial"/>
          <w:sz w:val="13"/>
          <w:szCs w:val="13"/>
          <w:color w:val="auto"/>
        </w:rPr>
        <w:t>David Zaccardelli, Pharm. D., President and Chief Executive Officer, said: “We are very pleased by the successful outcome of our ENHANCE-2 study and remain committed to bringing ensifentrine to COPD patients as quickly as possible. These data, along with results from our ongoing Phase 3 trial, ENHANCE-1, which are on track to be reported around the end of 2022, if</w:t>
      </w:r>
    </w:p>
    <w:p>
      <w:pPr>
        <w:spacing w:after="0" w:line="230" w:lineRule="auto"/>
        <w:rPr>
          <w:sz w:val="20"/>
          <w:szCs w:val="20"/>
          <w:color w:val="auto"/>
        </w:rPr>
      </w:pPr>
      <w:r>
        <w:rPr>
          <w:rFonts w:ascii="Arial" w:cs="Arial" w:eastAsia="Arial" w:hAnsi="Arial"/>
          <w:sz w:val="13"/>
          <w:szCs w:val="13"/>
          <w:color w:val="auto"/>
        </w:rPr>
        <w:t>similarly positive, are expected to support the submission of a New Drug Application to the US Food and Drug Administration in the first half of 2023. We want to thank all the patients and investigators for their participation in the trial to advance ensifentrine as a potential new therapy for the treatment of COPD.”</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Program Updates and Key Milestones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Based on current models of study progression, the Company’s near-term milestones include:</w:t>
      </w:r>
    </w:p>
    <w:p>
      <w:pPr>
        <w:spacing w:after="0" w:line="5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Reporting top-line data from ENHANCE-1 around the end of 2022.</w:t>
      </w:r>
    </w:p>
    <w:p>
      <w:pPr>
        <w:spacing w:after="0" w:line="47" w:lineRule="exact"/>
        <w:rPr>
          <w:rFonts w:ascii="Times New Roman" w:cs="Times New Roman" w:eastAsia="Times New Roman" w:hAnsi="Times New Roman"/>
          <w:sz w:val="13"/>
          <w:szCs w:val="13"/>
          <w:color w:val="auto"/>
        </w:rPr>
      </w:pPr>
    </w:p>
    <w:p>
      <w:pPr>
        <w:ind w:left="420" w:hanging="212"/>
        <w:spacing w:after="0" w:line="254" w:lineRule="auto"/>
        <w:tabs>
          <w:tab w:leader="none" w:pos="412"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Conditional upon positive results, the Company expects to submit a New Drug Application (“NDA”) to the US Food and Drug Administration (“FDA”) in the first half of 2023 for inhaled ensifentrine for the maintenance treatment of COPD.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With the recent sanctions and other government restrictions resulting from the Russia-Ukraine conflict and the COVID-19 pandemic continuing to impact a number of clinical trial activities, the Company continues to closely monitor these timelines.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232323"/>
        </w:rPr>
        <w:t>Second Quarter and Recent Highlights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Clinical</w:t>
      </w:r>
    </w:p>
    <w:p>
      <w:pPr>
        <w:spacing w:after="0" w:line="58" w:lineRule="exact"/>
        <w:rPr>
          <w:sz w:val="20"/>
          <w:szCs w:val="20"/>
          <w:color w:val="auto"/>
        </w:rPr>
      </w:pPr>
    </w:p>
    <w:p>
      <w:pPr>
        <w:ind w:left="420" w:hanging="212"/>
        <w:spacing w:after="0" w:line="254"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In August 2022, the Company reported positive top-line Phase 3 data from ENHANCE-2. The trial successfully met its primary endpoint and secondary endpoints evaluating lung function. Ensifentrine also significantly reduced the rate and risk of COPD exacerbations. Ensifentrine was well tolerated with safety results similar to placebo.</w:t>
      </w:r>
    </w:p>
    <w:p>
      <w:pPr>
        <w:spacing w:after="0" w:line="15" w:lineRule="exact"/>
        <w:rPr>
          <w:rFonts w:ascii="Times New Roman" w:cs="Times New Roman" w:eastAsia="Times New Roman" w:hAnsi="Times New Roman"/>
          <w:sz w:val="13"/>
          <w:szCs w:val="13"/>
          <w:color w:val="auto"/>
        </w:rPr>
      </w:pPr>
    </w:p>
    <w:p>
      <w:pPr>
        <w:jc w:val="both"/>
        <w:ind w:left="420" w:hanging="212"/>
        <w:spacing w:after="0" w:line="236"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In May 2022, the Company presented a successful thorough QT analysis demonstrating ensifentrine had no clinically relevant effect on the QT interval or cardiac conduction at the American Thoracic Society International Conference (“ATS”) 2022. The abstract is published on the ATS website and in the peer reviewed publication, </w:t>
      </w:r>
      <w:r>
        <w:rPr>
          <w:rFonts w:ascii="Arial" w:cs="Arial" w:eastAsia="Arial" w:hAnsi="Arial"/>
          <w:sz w:val="13"/>
          <w:szCs w:val="13"/>
          <w:i w:val="1"/>
          <w:iCs w:val="1"/>
          <w:color w:val="auto"/>
        </w:rPr>
        <w:t>American Journal of Respiratory</w:t>
      </w:r>
      <w:r>
        <w:rPr>
          <w:rFonts w:ascii="Arial" w:cs="Arial" w:eastAsia="Arial" w:hAnsi="Arial"/>
          <w:sz w:val="13"/>
          <w:szCs w:val="13"/>
          <w:color w:val="auto"/>
        </w:rPr>
        <w:t xml:space="preserve"> </w:t>
      </w:r>
      <w:r>
        <w:rPr>
          <w:rFonts w:ascii="Arial" w:cs="Arial" w:eastAsia="Arial" w:hAnsi="Arial"/>
          <w:sz w:val="13"/>
          <w:szCs w:val="13"/>
          <w:i w:val="1"/>
          <w:iCs w:val="1"/>
          <w:color w:val="auto"/>
        </w:rPr>
        <w:t>and Critical Care Medicine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ectPr>
          <w:pgSz w:w="11900" w:h="16838" w:orient="portrait"/>
          <w:cols w:equalWidth="0" w:num="1">
            <w:col w:w="11300"/>
          </w:cols>
          <w:pgMar w:left="300" w:top="1440" w:right="299" w:bottom="1440" w:gutter="0" w:footer="0" w:header="0"/>
        </w:sectPr>
      </w:pPr>
    </w:p>
    <w:bookmarkStart w:id="6" w:name="page7"/>
    <w:bookmarkEnd w:id="6"/>
    <w:p>
      <w:pPr>
        <w:ind w:left="420" w:hanging="212"/>
        <w:spacing w:after="0"/>
        <w:tabs>
          <w:tab w:leader="none" w:pos="42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In June 2022, the Company completed enrollment in ENHANCE-1 with more than 800 subjects randomized.</w:t>
      </w:r>
    </w:p>
    <w:p>
      <w:pPr>
        <w:spacing w:after="0" w:line="5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Second Quarter 2022 Financial Results</w:t>
      </w:r>
    </w:p>
    <w:p>
      <w:pPr>
        <w:spacing w:after="0" w:line="48" w:lineRule="exact"/>
        <w:rPr>
          <w:rFonts w:ascii="Times New Roman" w:cs="Times New Roman" w:eastAsia="Times New Roman" w:hAnsi="Times New Roman"/>
          <w:sz w:val="13"/>
          <w:szCs w:val="13"/>
          <w:color w:val="auto"/>
        </w:rPr>
      </w:pPr>
    </w:p>
    <w:p>
      <w:pPr>
        <w:jc w:val="both"/>
        <w:ind w:left="420" w:hanging="212"/>
        <w:spacing w:after="0" w:line="237" w:lineRule="auto"/>
        <w:tabs>
          <w:tab w:leader="none" w:pos="417"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b w:val="1"/>
          <w:bCs w:val="1"/>
          <w:color w:val="auto"/>
        </w:rPr>
        <w:t xml:space="preserve">Cash position: </w:t>
      </w:r>
      <w:r>
        <w:rPr>
          <w:rFonts w:ascii="Arial" w:cs="Arial" w:eastAsia="Arial" w:hAnsi="Arial"/>
          <w:sz w:val="13"/>
          <w:szCs w:val="13"/>
          <w:color w:val="auto"/>
        </w:rPr>
        <w:t>Cash and cash equivalents at June 30, 2022, were $111.5 million (March 31, 2022: $132.8 million). The Company believes cash and cash equivalents at June 30, 2022,</w:t>
      </w:r>
      <w:r>
        <w:rPr>
          <w:rFonts w:ascii="Arial" w:cs="Arial" w:eastAsia="Arial" w:hAnsi="Arial"/>
          <w:sz w:val="13"/>
          <w:szCs w:val="13"/>
          <w:b w:val="1"/>
          <w:bCs w:val="1"/>
          <w:color w:val="auto"/>
        </w:rPr>
        <w:t xml:space="preserve"> </w:t>
      </w:r>
      <w:r>
        <w:rPr>
          <w:rFonts w:ascii="Arial" w:cs="Arial" w:eastAsia="Arial" w:hAnsi="Arial"/>
          <w:sz w:val="13"/>
          <w:szCs w:val="13"/>
          <w:color w:val="auto"/>
        </w:rPr>
        <w:t>expected cash receipts from the U.K. tax credit program and funding expected to become available under the $30.0 million debt facility, will enable Verona Pharma to fund planned operating expenses and capital expenditure requirements through at least the end of 2023.</w:t>
      </w:r>
    </w:p>
    <w:p>
      <w:pPr>
        <w:spacing w:after="0" w:line="25" w:lineRule="exact"/>
        <w:rPr>
          <w:rFonts w:ascii="Times New Roman" w:cs="Times New Roman" w:eastAsia="Times New Roman" w:hAnsi="Times New Roman"/>
          <w:sz w:val="12"/>
          <w:szCs w:val="12"/>
          <w:color w:val="auto"/>
        </w:rPr>
      </w:pPr>
    </w:p>
    <w:p>
      <w:pPr>
        <w:jc w:val="both"/>
        <w:ind w:left="420" w:hanging="212"/>
        <w:spacing w:after="0" w:line="237" w:lineRule="auto"/>
        <w:tabs>
          <w:tab w:leader="none" w:pos="417"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b w:val="1"/>
          <w:bCs w:val="1"/>
          <w:color w:val="auto"/>
        </w:rPr>
        <w:t xml:space="preserve">R&amp;D Expenses: </w:t>
      </w:r>
      <w:r>
        <w:rPr>
          <w:rFonts w:ascii="Arial" w:cs="Arial" w:eastAsia="Arial" w:hAnsi="Arial"/>
          <w:sz w:val="13"/>
          <w:szCs w:val="13"/>
          <w:color w:val="auto"/>
        </w:rPr>
        <w:t>Research and development (“R&amp;D”) expenses were $15.0 million for the second quarter ended June 30, 2022 (Q2 2021: $20.6 million). The decrease of $5.6 million</w:t>
      </w:r>
      <w:r>
        <w:rPr>
          <w:rFonts w:ascii="Arial" w:cs="Arial" w:eastAsia="Arial" w:hAnsi="Arial"/>
          <w:sz w:val="13"/>
          <w:szCs w:val="13"/>
          <w:b w:val="1"/>
          <w:bCs w:val="1"/>
          <w:color w:val="auto"/>
        </w:rPr>
        <w:t xml:space="preserve"> </w:t>
      </w:r>
      <w:r>
        <w:rPr>
          <w:rFonts w:ascii="Arial" w:cs="Arial" w:eastAsia="Arial" w:hAnsi="Arial"/>
          <w:sz w:val="13"/>
          <w:szCs w:val="13"/>
          <w:color w:val="auto"/>
        </w:rPr>
        <w:t>was primarily due to a $4.2 million decrease in clinical trial and other development costs as we progressed to the later stages of our Phase 3 ENHANCE program and a $1.9 million decrease in share-based compensation.</w:t>
      </w:r>
    </w:p>
    <w:p>
      <w:pPr>
        <w:spacing w:after="0" w:line="25" w:lineRule="exact"/>
        <w:rPr>
          <w:rFonts w:ascii="Times New Roman" w:cs="Times New Roman" w:eastAsia="Times New Roman" w:hAnsi="Times New Roman"/>
          <w:sz w:val="12"/>
          <w:szCs w:val="12"/>
          <w:color w:val="auto"/>
        </w:rPr>
      </w:pPr>
    </w:p>
    <w:p>
      <w:pPr>
        <w:ind w:left="420" w:hanging="212"/>
        <w:spacing w:after="0" w:line="255" w:lineRule="auto"/>
        <w:tabs>
          <w:tab w:leader="none" w:pos="417"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b w:val="1"/>
          <w:bCs w:val="1"/>
          <w:color w:val="auto"/>
        </w:rPr>
        <w:t xml:space="preserve">SG&amp;A Expenses: </w:t>
      </w:r>
      <w:r>
        <w:rPr>
          <w:rFonts w:ascii="Arial" w:cs="Arial" w:eastAsia="Arial" w:hAnsi="Arial"/>
          <w:sz w:val="13"/>
          <w:szCs w:val="13"/>
          <w:color w:val="auto"/>
        </w:rPr>
        <w:t>Selling general and administrative expenses (“SG&amp;A”) were $5.5 million for the second quarter ended June 30, 2022 (Q2 2021: $8.0 million). The decrease of $2.5</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was primarily due to a decrease in share-based compensation.</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b w:val="1"/>
          <w:bCs w:val="1"/>
          <w:color w:val="auto"/>
        </w:rPr>
        <w:t xml:space="preserve">Net loss: </w:t>
      </w:r>
      <w:r>
        <w:rPr>
          <w:rFonts w:ascii="Arial" w:cs="Arial" w:eastAsia="Arial" w:hAnsi="Arial"/>
          <w:sz w:val="13"/>
          <w:szCs w:val="13"/>
          <w:color w:val="auto"/>
        </w:rPr>
        <w:t>Net loss was $17.8 million for the second quarter ended June 30, 2022 (Q2 2021: net loss $22.1 million).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232323"/>
        </w:rPr>
        <w:t>Conference Call and Webcast Information</w:t>
      </w:r>
    </w:p>
    <w:p>
      <w:pPr>
        <w:spacing w:after="0" w:line="58"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Verona Pharma will host an investment community webcast and conference call at 8:30 a.m. EDT / 1:30 p.m. BST on Tuesday, August 9, 2022, to discuss the ENHANCE-2 results, its second quarter financial results and the corporate update.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To p</w:t>
      </w:r>
      <w:r>
        <w:rPr>
          <w:rFonts w:ascii="Arial" w:cs="Arial" w:eastAsia="Arial" w:hAnsi="Arial"/>
          <w:sz w:val="13"/>
          <w:szCs w:val="13"/>
          <w:color w:val="auto"/>
        </w:rPr>
        <w:t>articipate, please dial one of the following numbers and reference conference ID 2165062:</w:t>
      </w:r>
    </w:p>
    <w:p>
      <w:pPr>
        <w:spacing w:after="0" w:line="176" w:lineRule="exact"/>
        <w:rPr>
          <w:sz w:val="20"/>
          <w:szCs w:val="20"/>
          <w:color w:val="auto"/>
        </w:rPr>
      </w:pPr>
    </w:p>
    <w:p>
      <w:pPr>
        <w:ind w:left="420" w:right="4840" w:hanging="212"/>
        <w:spacing w:after="0" w:line="403" w:lineRule="auto"/>
        <w:tabs>
          <w:tab w:leader="none" w:pos="412" w:val="left"/>
        </w:tabs>
        <w:numPr>
          <w:ilvl w:val="0"/>
          <w:numId w:val="8"/>
        </w:numPr>
        <w:rPr>
          <w:rFonts w:ascii="Times New Roman" w:cs="Times New Roman" w:eastAsia="Times New Roman" w:hAnsi="Times New Roman"/>
          <w:sz w:val="13"/>
          <w:szCs w:val="13"/>
          <w:color w:val="auto"/>
        </w:rPr>
      </w:pPr>
      <w:r>
        <w:rPr>
          <w:rFonts w:ascii="Arial" w:cs="Arial" w:eastAsia="Arial" w:hAnsi="Arial"/>
          <w:sz w:val="13"/>
          <w:szCs w:val="13"/>
          <w:color w:val="auto"/>
        </w:rPr>
        <w:t>Link to ENHANCE-2 and second quarter 2022 results call https://www.veronapharma.com/media/verona-pharma-announces-ensifentrine-meets-primary-endpoint</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3"/>
          <w:szCs w:val="13"/>
          <w:color w:val="auto"/>
        </w:rPr>
        <w:t>+1-888-317-6003 for callers in the United States</w:t>
      </w:r>
    </w:p>
    <w:p>
      <w:pPr>
        <w:spacing w:after="0" w:line="13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3"/>
          <w:szCs w:val="13"/>
          <w:color w:val="auto"/>
        </w:rPr>
        <w:t>+1-412-317-6061 for international callers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A live webcast will be available on the Events and Presentations link on the Investors page of the Company's website, www.veronapharma.com, and the audio replay will be available for 90 days. An electronic copy of the second quarter 2022 results press release will also be made available today on the Company’s website.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For further information please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ectPr>
          <w:pgSz w:w="11900" w:h="16838" w:orient="portrait"/>
          <w:cols w:equalWidth="0" w:num="1">
            <w:col w:w="11300"/>
          </w:cols>
          <w:pgMar w:left="300" w:top="980" w:right="29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180"/>
        </w:trPr>
        <w:tc>
          <w:tcPr>
            <w:tcW w:w="5980" w:type="dxa"/>
            <w:vAlign w:val="bottom"/>
            <w:tcBorders>
              <w:left w:val="single" w:sz="8" w:color="F2F2F2"/>
              <w:bottom w:val="single" w:sz="8" w:color="CFCFCF"/>
            </w:tcBorders>
            <w:shd w:val="clear" w:color="auto" w:fill="F2F2F2"/>
          </w:tcPr>
          <w:p>
            <w:pPr>
              <w:spacing w:after="0"/>
              <w:rPr>
                <w:sz w:val="15"/>
                <w:szCs w:val="15"/>
                <w:color w:val="auto"/>
              </w:rPr>
            </w:pPr>
          </w:p>
        </w:tc>
        <w:tc>
          <w:tcPr>
            <w:tcW w:w="80" w:type="dxa"/>
            <w:vAlign w:val="bottom"/>
            <w:tcBorders>
              <w:bottom w:val="single" w:sz="8" w:color="CFCFCF"/>
            </w:tcBorders>
          </w:tcPr>
          <w:p>
            <w:pPr>
              <w:spacing w:after="0"/>
              <w:rPr>
                <w:sz w:val="15"/>
                <w:szCs w:val="15"/>
                <w:color w:val="auto"/>
              </w:rPr>
            </w:pPr>
          </w:p>
        </w:tc>
        <w:tc>
          <w:tcPr>
            <w:tcW w:w="1620" w:type="dxa"/>
            <w:vAlign w:val="bottom"/>
            <w:tcBorders>
              <w:bottom w:val="single" w:sz="8" w:color="CFCFCF"/>
            </w:tcBorders>
          </w:tcPr>
          <w:p>
            <w:pPr>
              <w:spacing w:after="0"/>
              <w:rPr>
                <w:sz w:val="15"/>
                <w:szCs w:val="15"/>
                <w:color w:val="auto"/>
              </w:rPr>
            </w:pPr>
          </w:p>
        </w:tc>
        <w:tc>
          <w:tcPr>
            <w:tcW w:w="140" w:type="dxa"/>
            <w:vAlign w:val="bottom"/>
            <w:tcBorders>
              <w:bottom w:val="single" w:sz="8" w:color="CFCFCF"/>
            </w:tcBorders>
          </w:tcPr>
          <w:p>
            <w:pPr>
              <w:spacing w:after="0"/>
              <w:rPr>
                <w:sz w:val="15"/>
                <w:szCs w:val="15"/>
                <w:color w:val="auto"/>
              </w:rPr>
            </w:pPr>
          </w:p>
        </w:tc>
        <w:tc>
          <w:tcPr>
            <w:tcW w:w="160" w:type="dxa"/>
            <w:vAlign w:val="bottom"/>
            <w:tcBorders>
              <w:bottom w:val="single" w:sz="8" w:color="CFCFCF"/>
            </w:tcBorders>
          </w:tcPr>
          <w:p>
            <w:pPr>
              <w:spacing w:after="0"/>
              <w:rPr>
                <w:sz w:val="15"/>
                <w:szCs w:val="15"/>
                <w:color w:val="auto"/>
              </w:rPr>
            </w:pPr>
          </w:p>
        </w:tc>
        <w:tc>
          <w:tcPr>
            <w:tcW w:w="3340" w:type="dxa"/>
            <w:vAlign w:val="bottom"/>
            <w:tcBorders>
              <w:bottom w:val="single" w:sz="8" w:color="CFCFCF"/>
            </w:tcBorders>
          </w:tcPr>
          <w:p>
            <w:pPr>
              <w:spacing w:after="0"/>
              <w:rPr>
                <w:sz w:val="15"/>
                <w:szCs w:val="15"/>
                <w:color w:val="auto"/>
              </w:rPr>
            </w:pPr>
          </w:p>
        </w:tc>
      </w:tr>
      <w:tr>
        <w:trPr>
          <w:trHeight w:val="133"/>
        </w:trPr>
        <w:tc>
          <w:tcPr>
            <w:tcW w:w="5980" w:type="dxa"/>
            <w:vAlign w:val="bottom"/>
            <w:tcBorders>
              <w:left w:val="single" w:sz="8" w:color="CFCFCF"/>
            </w:tcBorders>
          </w:tcPr>
          <w:p>
            <w:pPr>
              <w:ind w:left="80"/>
              <w:spacing w:after="0" w:line="133" w:lineRule="exact"/>
              <w:rPr>
                <w:sz w:val="20"/>
                <w:szCs w:val="20"/>
                <w:color w:val="auto"/>
              </w:rPr>
            </w:pPr>
            <w:r>
              <w:rPr>
                <w:rFonts w:ascii="Arial" w:cs="Arial" w:eastAsia="Arial" w:hAnsi="Arial"/>
                <w:sz w:val="13"/>
                <w:szCs w:val="13"/>
                <w:b w:val="1"/>
                <w:bCs w:val="1"/>
                <w:color w:val="auto"/>
              </w:rPr>
              <w:t>Verona Pharma plc</w:t>
            </w:r>
          </w:p>
        </w:tc>
        <w:tc>
          <w:tcPr>
            <w:tcW w:w="5340" w:type="dxa"/>
            <w:vAlign w:val="bottom"/>
            <w:tcBorders>
              <w:left w:val="single" w:sz="8" w:color="CFCFCF"/>
              <w:right w:val="single" w:sz="8" w:color="CFCFCF"/>
            </w:tcBorders>
            <w:gridSpan w:val="5"/>
          </w:tcPr>
          <w:p>
            <w:pPr>
              <w:ind w:left="80"/>
              <w:spacing w:after="0" w:line="133" w:lineRule="exact"/>
              <w:rPr>
                <w:sz w:val="20"/>
                <w:szCs w:val="20"/>
                <w:color w:val="auto"/>
              </w:rPr>
            </w:pPr>
            <w:r>
              <w:rPr>
                <w:rFonts w:ascii="Arial" w:cs="Arial" w:eastAsia="Arial" w:hAnsi="Arial"/>
                <w:sz w:val="13"/>
                <w:szCs w:val="13"/>
                <w:color w:val="auto"/>
              </w:rPr>
              <w:t>US Tel: +1-833-417-0262</w:t>
            </w:r>
          </w:p>
        </w:tc>
      </w:tr>
      <w:tr>
        <w:trPr>
          <w:trHeight w:val="153"/>
        </w:trPr>
        <w:tc>
          <w:tcPr>
            <w:tcW w:w="5980" w:type="dxa"/>
            <w:vAlign w:val="bottom"/>
            <w:tcBorders>
              <w:left w:val="single" w:sz="8" w:color="CFCFCF"/>
              <w:bottom w:val="single" w:sz="8" w:color="CFCFCF"/>
            </w:tcBorders>
          </w:tcPr>
          <w:p>
            <w:pPr>
              <w:spacing w:after="0"/>
              <w:rPr>
                <w:sz w:val="13"/>
                <w:szCs w:val="13"/>
                <w:color w:val="auto"/>
              </w:rPr>
            </w:pPr>
          </w:p>
        </w:tc>
        <w:tc>
          <w:tcPr>
            <w:tcW w:w="5340" w:type="dxa"/>
            <w:vAlign w:val="bottom"/>
            <w:tcBorders>
              <w:left w:val="single" w:sz="8" w:color="CFCFCF"/>
              <w:bottom w:val="single" w:sz="8" w:color="CFCFCF"/>
              <w:right w:val="single" w:sz="8" w:color="CFCFCF"/>
            </w:tcBorders>
            <w:gridSpan w:val="5"/>
          </w:tcPr>
          <w:p>
            <w:pPr>
              <w:ind w:left="80"/>
              <w:spacing w:after="0"/>
              <w:rPr>
                <w:sz w:val="20"/>
                <w:szCs w:val="20"/>
                <w:color w:val="auto"/>
              </w:rPr>
            </w:pPr>
            <w:r>
              <w:rPr>
                <w:rFonts w:ascii="Arial" w:cs="Arial" w:eastAsia="Arial" w:hAnsi="Arial"/>
                <w:sz w:val="13"/>
                <w:szCs w:val="13"/>
                <w:color w:val="auto"/>
              </w:rPr>
              <w:t>UK Tel: +44 (0)203 283 4200</w:t>
            </w:r>
          </w:p>
        </w:tc>
      </w:tr>
      <w:tr>
        <w:trPr>
          <w:trHeight w:val="151"/>
        </w:trPr>
        <w:tc>
          <w:tcPr>
            <w:tcW w:w="5980" w:type="dxa"/>
            <w:vAlign w:val="bottom"/>
            <w:tcBorders>
              <w:left w:val="single" w:sz="8" w:color="CFCFCF"/>
            </w:tcBorders>
          </w:tcPr>
          <w:p>
            <w:pPr>
              <w:ind w:left="80"/>
              <w:spacing w:after="0"/>
              <w:rPr>
                <w:sz w:val="20"/>
                <w:szCs w:val="20"/>
                <w:color w:val="auto"/>
              </w:rPr>
            </w:pPr>
            <w:r>
              <w:rPr>
                <w:rFonts w:ascii="Arial" w:cs="Arial" w:eastAsia="Arial" w:hAnsi="Arial"/>
                <w:sz w:val="13"/>
                <w:szCs w:val="13"/>
                <w:color w:val="auto"/>
              </w:rPr>
              <w:t>Victoria Stewart, Director of Investor Relations and Communications</w:t>
            </w:r>
          </w:p>
        </w:tc>
        <w:tc>
          <w:tcPr>
            <w:tcW w:w="5340" w:type="dxa"/>
            <w:vAlign w:val="bottom"/>
            <w:tcBorders>
              <w:left w:val="single" w:sz="8" w:color="CFCFCF"/>
              <w:right w:val="single" w:sz="8" w:color="CFCFCF"/>
            </w:tcBorders>
            <w:gridSpan w:val="5"/>
          </w:tcPr>
          <w:p>
            <w:pPr>
              <w:ind w:left="80"/>
              <w:spacing w:after="0" w:line="151" w:lineRule="exact"/>
              <w:rPr>
                <w:sz w:val="20"/>
                <w:szCs w:val="20"/>
                <w:color w:val="auto"/>
              </w:rPr>
            </w:pPr>
            <w:r>
              <w:rPr>
                <w:rFonts w:ascii="Arial" w:cs="Arial" w:eastAsia="Arial" w:hAnsi="Arial"/>
                <w:sz w:val="14"/>
                <w:szCs w:val="14"/>
                <w:color w:val="0000FF"/>
              </w:rPr>
              <w:t>info@veronapharma.com</w:t>
            </w:r>
          </w:p>
        </w:tc>
      </w:tr>
      <w:tr>
        <w:trPr>
          <w:trHeight w:val="20"/>
        </w:trPr>
        <w:tc>
          <w:tcPr>
            <w:tcW w:w="5980" w:type="dxa"/>
            <w:vAlign w:val="bottom"/>
            <w:tcBorders>
              <w:left w:val="single" w:sz="8" w:color="CFCFCF"/>
              <w:bottom w:val="single" w:sz="8" w:color="CFCFCF"/>
            </w:tcBorders>
          </w:tcPr>
          <w:p>
            <w:pPr>
              <w:spacing w:after="0" w:line="20" w:lineRule="exact"/>
              <w:rPr>
                <w:sz w:val="1"/>
                <w:szCs w:val="1"/>
                <w:color w:val="auto"/>
              </w:rPr>
            </w:pPr>
          </w:p>
        </w:tc>
        <w:tc>
          <w:tcPr>
            <w:tcW w:w="80" w:type="dxa"/>
            <w:vAlign w:val="bottom"/>
            <w:tcBorders>
              <w:left w:val="single" w:sz="8" w:color="CFCFCF"/>
              <w:bottom w:val="single" w:sz="8" w:color="CFCFCF"/>
            </w:tcBorders>
          </w:tcPr>
          <w:p>
            <w:pPr>
              <w:spacing w:after="0" w:line="20" w:lineRule="exact"/>
              <w:rPr>
                <w:sz w:val="1"/>
                <w:szCs w:val="1"/>
                <w:color w:val="auto"/>
              </w:rPr>
            </w:pPr>
          </w:p>
        </w:tc>
        <w:tc>
          <w:tcPr>
            <w:tcW w:w="1620" w:type="dxa"/>
            <w:vAlign w:val="bottom"/>
            <w:tcBorders>
              <w:top w:val="single" w:sz="8" w:color="0000FF"/>
              <w:bottom w:val="single" w:sz="8" w:color="CFCFCF"/>
            </w:tcBorders>
          </w:tcPr>
          <w:p>
            <w:pPr>
              <w:spacing w:after="0" w:line="20" w:lineRule="exact"/>
              <w:rPr>
                <w:sz w:val="1"/>
                <w:szCs w:val="1"/>
                <w:color w:val="auto"/>
              </w:rPr>
            </w:pPr>
          </w:p>
        </w:tc>
        <w:tc>
          <w:tcPr>
            <w:tcW w:w="140" w:type="dxa"/>
            <w:vAlign w:val="bottom"/>
            <w:tcBorders>
              <w:bottom w:val="single" w:sz="8" w:color="CFCFCF"/>
            </w:tcBorders>
          </w:tcPr>
          <w:p>
            <w:pPr>
              <w:spacing w:after="0" w:line="20" w:lineRule="exact"/>
              <w:rPr>
                <w:sz w:val="1"/>
                <w:szCs w:val="1"/>
                <w:color w:val="auto"/>
              </w:rPr>
            </w:pPr>
          </w:p>
        </w:tc>
        <w:tc>
          <w:tcPr>
            <w:tcW w:w="160" w:type="dxa"/>
            <w:vAlign w:val="bottom"/>
            <w:tcBorders>
              <w:bottom w:val="single" w:sz="8" w:color="CFCFCF"/>
            </w:tcBorders>
          </w:tcPr>
          <w:p>
            <w:pPr>
              <w:spacing w:after="0" w:line="20" w:lineRule="exact"/>
              <w:rPr>
                <w:sz w:val="1"/>
                <w:szCs w:val="1"/>
                <w:color w:val="auto"/>
              </w:rPr>
            </w:pPr>
          </w:p>
        </w:tc>
        <w:tc>
          <w:tcPr>
            <w:tcW w:w="3340" w:type="dxa"/>
            <w:vAlign w:val="bottom"/>
            <w:tcBorders>
              <w:bottom w:val="single" w:sz="8" w:color="CFCFCF"/>
              <w:right w:val="single" w:sz="8" w:color="CFCFCF"/>
            </w:tcBorders>
          </w:tcPr>
          <w:p>
            <w:pPr>
              <w:spacing w:after="0" w:line="20" w:lineRule="exact"/>
              <w:rPr>
                <w:sz w:val="1"/>
                <w:szCs w:val="1"/>
                <w:color w:val="auto"/>
              </w:rPr>
            </w:pPr>
          </w:p>
        </w:tc>
      </w:tr>
      <w:tr>
        <w:trPr>
          <w:trHeight w:val="84"/>
        </w:trPr>
        <w:tc>
          <w:tcPr>
            <w:tcW w:w="5980" w:type="dxa"/>
            <w:vAlign w:val="bottom"/>
            <w:tcBorders>
              <w:left w:val="single" w:sz="8" w:color="CFCFCF"/>
              <w:bottom w:val="single" w:sz="8" w:color="CFCFCF"/>
            </w:tcBorders>
          </w:tcPr>
          <w:p>
            <w:pPr>
              <w:spacing w:after="0"/>
              <w:rPr>
                <w:sz w:val="7"/>
                <w:szCs w:val="7"/>
                <w:color w:val="auto"/>
              </w:rPr>
            </w:pPr>
          </w:p>
        </w:tc>
        <w:tc>
          <w:tcPr>
            <w:tcW w:w="80" w:type="dxa"/>
            <w:vAlign w:val="bottom"/>
            <w:tcBorders>
              <w:left w:val="single" w:sz="8" w:color="CFCFCF"/>
              <w:bottom w:val="single" w:sz="8" w:color="CFCFCF"/>
            </w:tcBorders>
          </w:tcPr>
          <w:p>
            <w:pPr>
              <w:spacing w:after="0"/>
              <w:rPr>
                <w:sz w:val="7"/>
                <w:szCs w:val="7"/>
                <w:color w:val="auto"/>
              </w:rPr>
            </w:pPr>
          </w:p>
        </w:tc>
        <w:tc>
          <w:tcPr>
            <w:tcW w:w="1620" w:type="dxa"/>
            <w:vAlign w:val="bottom"/>
            <w:tcBorders>
              <w:bottom w:val="single" w:sz="8" w:color="CFCFCF"/>
            </w:tcBorders>
          </w:tcPr>
          <w:p>
            <w:pPr>
              <w:spacing w:after="0"/>
              <w:rPr>
                <w:sz w:val="7"/>
                <w:szCs w:val="7"/>
                <w:color w:val="auto"/>
              </w:rPr>
            </w:pPr>
          </w:p>
        </w:tc>
        <w:tc>
          <w:tcPr>
            <w:tcW w:w="140" w:type="dxa"/>
            <w:vAlign w:val="bottom"/>
            <w:tcBorders>
              <w:bottom w:val="single" w:sz="8" w:color="CFCFCF"/>
            </w:tcBorders>
          </w:tcPr>
          <w:p>
            <w:pPr>
              <w:spacing w:after="0"/>
              <w:rPr>
                <w:sz w:val="7"/>
                <w:szCs w:val="7"/>
                <w:color w:val="auto"/>
              </w:rPr>
            </w:pPr>
          </w:p>
        </w:tc>
        <w:tc>
          <w:tcPr>
            <w:tcW w:w="160" w:type="dxa"/>
            <w:vAlign w:val="bottom"/>
            <w:tcBorders>
              <w:bottom w:val="single" w:sz="8" w:color="CFCFCF"/>
            </w:tcBorders>
          </w:tcPr>
          <w:p>
            <w:pPr>
              <w:spacing w:after="0"/>
              <w:rPr>
                <w:sz w:val="7"/>
                <w:szCs w:val="7"/>
                <w:color w:val="auto"/>
              </w:rPr>
            </w:pPr>
          </w:p>
        </w:tc>
        <w:tc>
          <w:tcPr>
            <w:tcW w:w="3340" w:type="dxa"/>
            <w:vAlign w:val="bottom"/>
            <w:tcBorders>
              <w:bottom w:val="single" w:sz="8" w:color="CFCFCF"/>
              <w:right w:val="single" w:sz="8" w:color="CFCFCF"/>
            </w:tcBorders>
          </w:tcPr>
          <w:p>
            <w:pPr>
              <w:spacing w:after="0"/>
              <w:rPr>
                <w:sz w:val="7"/>
                <w:szCs w:val="7"/>
                <w:color w:val="auto"/>
              </w:rPr>
            </w:pPr>
          </w:p>
        </w:tc>
      </w:tr>
      <w:tr>
        <w:trPr>
          <w:trHeight w:val="142"/>
        </w:trPr>
        <w:tc>
          <w:tcPr>
            <w:tcW w:w="5980" w:type="dxa"/>
            <w:vAlign w:val="bottom"/>
            <w:tcBorders>
              <w:left w:val="single" w:sz="8" w:color="CFCFCF"/>
            </w:tcBorders>
          </w:tcPr>
          <w:p>
            <w:pPr>
              <w:ind w:left="80"/>
              <w:spacing w:after="0" w:line="142" w:lineRule="exact"/>
              <w:rPr>
                <w:sz w:val="20"/>
                <w:szCs w:val="20"/>
                <w:color w:val="auto"/>
              </w:rPr>
            </w:pPr>
            <w:r>
              <w:rPr>
                <w:rFonts w:ascii="Arial" w:cs="Arial" w:eastAsia="Arial" w:hAnsi="Arial"/>
                <w:sz w:val="13"/>
                <w:szCs w:val="13"/>
                <w:b w:val="1"/>
                <w:bCs w:val="1"/>
                <w:color w:val="auto"/>
              </w:rPr>
              <w:t>Argot Partners</w:t>
            </w:r>
          </w:p>
        </w:tc>
        <w:tc>
          <w:tcPr>
            <w:tcW w:w="5340" w:type="dxa"/>
            <w:vAlign w:val="bottom"/>
            <w:tcBorders>
              <w:left w:val="single" w:sz="8" w:color="CFCFCF"/>
              <w:right w:val="single" w:sz="8" w:color="CFCFCF"/>
            </w:tcBorders>
            <w:gridSpan w:val="5"/>
          </w:tcPr>
          <w:p>
            <w:pPr>
              <w:ind w:left="80"/>
              <w:spacing w:after="0" w:line="142" w:lineRule="exact"/>
              <w:rPr>
                <w:sz w:val="20"/>
                <w:szCs w:val="20"/>
                <w:color w:val="auto"/>
              </w:rPr>
            </w:pPr>
            <w:r>
              <w:rPr>
                <w:rFonts w:ascii="Arial" w:cs="Arial" w:eastAsia="Arial" w:hAnsi="Arial"/>
                <w:sz w:val="14"/>
                <w:szCs w:val="14"/>
                <w:color w:val="auto"/>
              </w:rPr>
              <w:t>Tel: +1-212-600-1902</w:t>
            </w:r>
          </w:p>
        </w:tc>
      </w:tr>
      <w:tr>
        <w:trPr>
          <w:trHeight w:val="135"/>
        </w:trPr>
        <w:tc>
          <w:tcPr>
            <w:tcW w:w="5980" w:type="dxa"/>
            <w:vAlign w:val="bottom"/>
            <w:tcBorders>
              <w:left w:val="single" w:sz="8" w:color="CFCFCF"/>
            </w:tcBorders>
          </w:tcPr>
          <w:p>
            <w:pPr>
              <w:ind w:left="80"/>
              <w:spacing w:after="0" w:line="115" w:lineRule="exact"/>
              <w:rPr>
                <w:sz w:val="20"/>
                <w:szCs w:val="20"/>
                <w:color w:val="auto"/>
              </w:rPr>
            </w:pPr>
            <w:r>
              <w:rPr>
                <w:rFonts w:ascii="Arial" w:cs="Arial" w:eastAsia="Arial" w:hAnsi="Arial"/>
                <w:sz w:val="13"/>
                <w:szCs w:val="13"/>
                <w:color w:val="auto"/>
              </w:rPr>
              <w:t>(US Investor Enquiries)</w:t>
            </w:r>
          </w:p>
        </w:tc>
        <w:tc>
          <w:tcPr>
            <w:tcW w:w="5340" w:type="dxa"/>
            <w:vAlign w:val="bottom"/>
            <w:tcBorders>
              <w:left w:val="single" w:sz="8" w:color="CFCFCF"/>
              <w:right w:val="single" w:sz="8" w:color="CFCFCF"/>
            </w:tcBorders>
            <w:gridSpan w:val="5"/>
          </w:tcPr>
          <w:p>
            <w:pPr>
              <w:ind w:left="80"/>
              <w:spacing w:after="0" w:line="115" w:lineRule="exact"/>
              <w:rPr>
                <w:sz w:val="20"/>
                <w:szCs w:val="20"/>
                <w:color w:val="auto"/>
              </w:rPr>
            </w:pPr>
            <w:r>
              <w:rPr>
                <w:rFonts w:ascii="Arial" w:cs="Arial" w:eastAsia="Arial" w:hAnsi="Arial"/>
                <w:sz w:val="13"/>
                <w:szCs w:val="13"/>
                <w:color w:val="0000FF"/>
              </w:rPr>
              <w:t>verona@argotpartners.com</w:t>
            </w:r>
          </w:p>
        </w:tc>
      </w:tr>
      <w:tr>
        <w:trPr>
          <w:trHeight w:val="20"/>
        </w:trPr>
        <w:tc>
          <w:tcPr>
            <w:tcW w:w="5980" w:type="dxa"/>
            <w:vAlign w:val="bottom"/>
            <w:tcBorders>
              <w:left w:val="single" w:sz="8" w:color="CFCFCF"/>
              <w:bottom w:val="single" w:sz="8" w:color="CFCFCF"/>
            </w:tcBorders>
          </w:tcPr>
          <w:p>
            <w:pPr>
              <w:spacing w:after="0" w:line="20" w:lineRule="exact"/>
              <w:rPr>
                <w:sz w:val="1"/>
                <w:szCs w:val="1"/>
                <w:color w:val="auto"/>
              </w:rPr>
            </w:pPr>
          </w:p>
        </w:tc>
        <w:tc>
          <w:tcPr>
            <w:tcW w:w="80" w:type="dxa"/>
            <w:vAlign w:val="bottom"/>
            <w:tcBorders>
              <w:left w:val="single" w:sz="8" w:color="CFCFCF"/>
              <w:bottom w:val="single" w:sz="8" w:color="CFCFCF"/>
            </w:tcBorders>
          </w:tcPr>
          <w:p>
            <w:pPr>
              <w:spacing w:after="0" w:line="20" w:lineRule="exact"/>
              <w:rPr>
                <w:sz w:val="1"/>
                <w:szCs w:val="1"/>
                <w:color w:val="auto"/>
              </w:rPr>
            </w:pPr>
          </w:p>
        </w:tc>
        <w:tc>
          <w:tcPr>
            <w:tcW w:w="1620" w:type="dxa"/>
            <w:vAlign w:val="bottom"/>
            <w:tcBorders>
              <w:top w:val="single" w:sz="8" w:color="0000FF"/>
              <w:bottom w:val="single" w:sz="8" w:color="CFCFCF"/>
            </w:tcBorders>
          </w:tcPr>
          <w:p>
            <w:pPr>
              <w:spacing w:after="0" w:line="20" w:lineRule="exact"/>
              <w:rPr>
                <w:sz w:val="1"/>
                <w:szCs w:val="1"/>
                <w:color w:val="auto"/>
              </w:rPr>
            </w:pPr>
          </w:p>
        </w:tc>
        <w:tc>
          <w:tcPr>
            <w:tcW w:w="140" w:type="dxa"/>
            <w:vAlign w:val="bottom"/>
            <w:tcBorders>
              <w:top w:val="single" w:sz="8" w:color="0000FF"/>
              <w:bottom w:val="single" w:sz="8" w:color="CFCFCF"/>
            </w:tcBorders>
          </w:tcPr>
          <w:p>
            <w:pPr>
              <w:spacing w:after="0" w:line="20" w:lineRule="exact"/>
              <w:rPr>
                <w:sz w:val="1"/>
                <w:szCs w:val="1"/>
                <w:color w:val="auto"/>
              </w:rPr>
            </w:pPr>
          </w:p>
        </w:tc>
        <w:tc>
          <w:tcPr>
            <w:tcW w:w="160" w:type="dxa"/>
            <w:vAlign w:val="bottom"/>
            <w:tcBorders>
              <w:bottom w:val="single" w:sz="8" w:color="CFCFCF"/>
            </w:tcBorders>
          </w:tcPr>
          <w:p>
            <w:pPr>
              <w:spacing w:after="0" w:line="20" w:lineRule="exact"/>
              <w:rPr>
                <w:sz w:val="1"/>
                <w:szCs w:val="1"/>
                <w:color w:val="auto"/>
              </w:rPr>
            </w:pPr>
          </w:p>
        </w:tc>
        <w:tc>
          <w:tcPr>
            <w:tcW w:w="3340" w:type="dxa"/>
            <w:vAlign w:val="bottom"/>
            <w:tcBorders>
              <w:bottom w:val="single" w:sz="8" w:color="CFCFCF"/>
              <w:right w:val="single" w:sz="8" w:color="CFCFCF"/>
            </w:tcBorders>
          </w:tcPr>
          <w:p>
            <w:pPr>
              <w:spacing w:after="0" w:line="20" w:lineRule="exact"/>
              <w:rPr>
                <w:sz w:val="1"/>
                <w:szCs w:val="1"/>
                <w:color w:val="auto"/>
              </w:rPr>
            </w:pPr>
          </w:p>
        </w:tc>
      </w:tr>
      <w:tr>
        <w:trPr>
          <w:trHeight w:val="177"/>
        </w:trPr>
        <w:tc>
          <w:tcPr>
            <w:tcW w:w="5980" w:type="dxa"/>
            <w:vAlign w:val="bottom"/>
            <w:tcBorders>
              <w:left w:val="single" w:sz="8" w:color="CFCFCF"/>
              <w:bottom w:val="single" w:sz="8" w:color="CFCFCF"/>
            </w:tcBorders>
          </w:tcPr>
          <w:p>
            <w:pPr>
              <w:ind w:left="80"/>
              <w:spacing w:after="0"/>
              <w:rPr>
                <w:sz w:val="20"/>
                <w:szCs w:val="20"/>
                <w:color w:val="auto"/>
              </w:rPr>
            </w:pPr>
            <w:r>
              <w:rPr>
                <w:rFonts w:ascii="Arial" w:cs="Arial" w:eastAsia="Arial" w:hAnsi="Arial"/>
                <w:sz w:val="13"/>
                <w:szCs w:val="13"/>
                <w:color w:val="auto"/>
              </w:rPr>
              <w:t>Kimberly Minarovich / Michael Barron</w:t>
            </w:r>
          </w:p>
        </w:tc>
        <w:tc>
          <w:tcPr>
            <w:tcW w:w="80" w:type="dxa"/>
            <w:vAlign w:val="bottom"/>
            <w:tcBorders>
              <w:left w:val="single" w:sz="8" w:color="CFCFCF"/>
              <w:bottom w:val="single" w:sz="8" w:color="CFCFCF"/>
            </w:tcBorders>
          </w:tcPr>
          <w:p>
            <w:pPr>
              <w:spacing w:after="0"/>
              <w:rPr>
                <w:sz w:val="15"/>
                <w:szCs w:val="15"/>
                <w:color w:val="auto"/>
              </w:rPr>
            </w:pPr>
          </w:p>
        </w:tc>
        <w:tc>
          <w:tcPr>
            <w:tcW w:w="1620" w:type="dxa"/>
            <w:vAlign w:val="bottom"/>
            <w:tcBorders>
              <w:bottom w:val="single" w:sz="8" w:color="CFCFCF"/>
            </w:tcBorders>
          </w:tcPr>
          <w:p>
            <w:pPr>
              <w:spacing w:after="0"/>
              <w:rPr>
                <w:sz w:val="15"/>
                <w:szCs w:val="15"/>
                <w:color w:val="auto"/>
              </w:rPr>
            </w:pPr>
          </w:p>
        </w:tc>
        <w:tc>
          <w:tcPr>
            <w:tcW w:w="140" w:type="dxa"/>
            <w:vAlign w:val="bottom"/>
            <w:tcBorders>
              <w:bottom w:val="single" w:sz="8" w:color="CFCFCF"/>
            </w:tcBorders>
          </w:tcPr>
          <w:p>
            <w:pPr>
              <w:spacing w:after="0"/>
              <w:rPr>
                <w:sz w:val="15"/>
                <w:szCs w:val="15"/>
                <w:color w:val="auto"/>
              </w:rPr>
            </w:pPr>
          </w:p>
        </w:tc>
        <w:tc>
          <w:tcPr>
            <w:tcW w:w="160" w:type="dxa"/>
            <w:vAlign w:val="bottom"/>
            <w:tcBorders>
              <w:bottom w:val="single" w:sz="8" w:color="CFCFCF"/>
            </w:tcBorders>
          </w:tcPr>
          <w:p>
            <w:pPr>
              <w:spacing w:after="0"/>
              <w:rPr>
                <w:sz w:val="15"/>
                <w:szCs w:val="15"/>
                <w:color w:val="auto"/>
              </w:rPr>
            </w:pPr>
          </w:p>
        </w:tc>
        <w:tc>
          <w:tcPr>
            <w:tcW w:w="3340" w:type="dxa"/>
            <w:vAlign w:val="bottom"/>
            <w:tcBorders>
              <w:bottom w:val="single" w:sz="8" w:color="CFCFCF"/>
              <w:right w:val="single" w:sz="8" w:color="CFCFCF"/>
            </w:tcBorders>
          </w:tcPr>
          <w:p>
            <w:pPr>
              <w:spacing w:after="0"/>
              <w:rPr>
                <w:sz w:val="15"/>
                <w:szCs w:val="15"/>
                <w:color w:val="auto"/>
              </w:rPr>
            </w:pPr>
          </w:p>
        </w:tc>
      </w:tr>
      <w:tr>
        <w:trPr>
          <w:trHeight w:val="85"/>
        </w:trPr>
        <w:tc>
          <w:tcPr>
            <w:tcW w:w="5980" w:type="dxa"/>
            <w:vAlign w:val="bottom"/>
            <w:tcBorders>
              <w:left w:val="single" w:sz="8" w:color="CFCFCF"/>
              <w:bottom w:val="single" w:sz="8" w:color="CFCFCF"/>
            </w:tcBorders>
          </w:tcPr>
          <w:p>
            <w:pPr>
              <w:spacing w:after="0"/>
              <w:rPr>
                <w:sz w:val="7"/>
                <w:szCs w:val="7"/>
                <w:color w:val="auto"/>
              </w:rPr>
            </w:pPr>
          </w:p>
        </w:tc>
        <w:tc>
          <w:tcPr>
            <w:tcW w:w="80" w:type="dxa"/>
            <w:vAlign w:val="bottom"/>
            <w:tcBorders>
              <w:left w:val="single" w:sz="8" w:color="CFCFCF"/>
              <w:bottom w:val="single" w:sz="8" w:color="CFCFCF"/>
            </w:tcBorders>
          </w:tcPr>
          <w:p>
            <w:pPr>
              <w:spacing w:after="0"/>
              <w:rPr>
                <w:sz w:val="7"/>
                <w:szCs w:val="7"/>
                <w:color w:val="auto"/>
              </w:rPr>
            </w:pPr>
          </w:p>
        </w:tc>
        <w:tc>
          <w:tcPr>
            <w:tcW w:w="1620" w:type="dxa"/>
            <w:vAlign w:val="bottom"/>
            <w:tcBorders>
              <w:bottom w:val="single" w:sz="8" w:color="CFCFCF"/>
            </w:tcBorders>
          </w:tcPr>
          <w:p>
            <w:pPr>
              <w:spacing w:after="0"/>
              <w:rPr>
                <w:sz w:val="7"/>
                <w:szCs w:val="7"/>
                <w:color w:val="auto"/>
              </w:rPr>
            </w:pPr>
          </w:p>
        </w:tc>
        <w:tc>
          <w:tcPr>
            <w:tcW w:w="140" w:type="dxa"/>
            <w:vAlign w:val="bottom"/>
            <w:tcBorders>
              <w:bottom w:val="single" w:sz="8" w:color="CFCFCF"/>
            </w:tcBorders>
          </w:tcPr>
          <w:p>
            <w:pPr>
              <w:spacing w:after="0"/>
              <w:rPr>
                <w:sz w:val="7"/>
                <w:szCs w:val="7"/>
                <w:color w:val="auto"/>
              </w:rPr>
            </w:pPr>
          </w:p>
        </w:tc>
        <w:tc>
          <w:tcPr>
            <w:tcW w:w="160" w:type="dxa"/>
            <w:vAlign w:val="bottom"/>
            <w:tcBorders>
              <w:bottom w:val="single" w:sz="8" w:color="CFCFCF"/>
            </w:tcBorders>
          </w:tcPr>
          <w:p>
            <w:pPr>
              <w:spacing w:after="0"/>
              <w:rPr>
                <w:sz w:val="7"/>
                <w:szCs w:val="7"/>
                <w:color w:val="auto"/>
              </w:rPr>
            </w:pPr>
          </w:p>
        </w:tc>
        <w:tc>
          <w:tcPr>
            <w:tcW w:w="3340" w:type="dxa"/>
            <w:vAlign w:val="bottom"/>
            <w:tcBorders>
              <w:bottom w:val="single" w:sz="8" w:color="CFCFCF"/>
              <w:right w:val="single" w:sz="8" w:color="CFCFCF"/>
            </w:tcBorders>
          </w:tcPr>
          <w:p>
            <w:pPr>
              <w:spacing w:after="0"/>
              <w:rPr>
                <w:sz w:val="7"/>
                <w:szCs w:val="7"/>
                <w:color w:val="auto"/>
              </w:rPr>
            </w:pPr>
          </w:p>
        </w:tc>
      </w:tr>
      <w:tr>
        <w:trPr>
          <w:trHeight w:val="142"/>
        </w:trPr>
        <w:tc>
          <w:tcPr>
            <w:tcW w:w="5980" w:type="dxa"/>
            <w:vAlign w:val="bottom"/>
            <w:tcBorders>
              <w:left w:val="single" w:sz="8" w:color="CFCFCF"/>
            </w:tcBorders>
          </w:tcPr>
          <w:p>
            <w:pPr>
              <w:ind w:left="80"/>
              <w:spacing w:after="0" w:line="142" w:lineRule="exact"/>
              <w:rPr>
                <w:sz w:val="20"/>
                <w:szCs w:val="20"/>
                <w:color w:val="auto"/>
              </w:rPr>
            </w:pPr>
            <w:r>
              <w:rPr>
                <w:rFonts w:ascii="Arial" w:cs="Arial" w:eastAsia="Arial" w:hAnsi="Arial"/>
                <w:sz w:val="13"/>
                <w:szCs w:val="13"/>
                <w:b w:val="1"/>
                <w:bCs w:val="1"/>
                <w:color w:val="auto"/>
              </w:rPr>
              <w:t>Optimum Strategic Communications</w:t>
            </w:r>
          </w:p>
        </w:tc>
        <w:tc>
          <w:tcPr>
            <w:tcW w:w="5340" w:type="dxa"/>
            <w:vAlign w:val="bottom"/>
            <w:tcBorders>
              <w:left w:val="single" w:sz="8" w:color="CFCFCF"/>
              <w:right w:val="single" w:sz="8" w:color="CFCFCF"/>
            </w:tcBorders>
            <w:gridSpan w:val="5"/>
          </w:tcPr>
          <w:p>
            <w:pPr>
              <w:ind w:left="80"/>
              <w:spacing w:after="0" w:line="142" w:lineRule="exact"/>
              <w:rPr>
                <w:sz w:val="20"/>
                <w:szCs w:val="20"/>
                <w:color w:val="auto"/>
              </w:rPr>
            </w:pPr>
            <w:r>
              <w:rPr>
                <w:rFonts w:ascii="Arial" w:cs="Arial" w:eastAsia="Arial" w:hAnsi="Arial"/>
                <w:sz w:val="14"/>
                <w:szCs w:val="14"/>
                <w:color w:val="auto"/>
              </w:rPr>
              <w:t>Tel: +44 (0)203 882 9621</w:t>
            </w:r>
          </w:p>
        </w:tc>
      </w:tr>
      <w:tr>
        <w:trPr>
          <w:trHeight w:val="135"/>
        </w:trPr>
        <w:tc>
          <w:tcPr>
            <w:tcW w:w="5980" w:type="dxa"/>
            <w:vAlign w:val="bottom"/>
            <w:tcBorders>
              <w:left w:val="single" w:sz="8" w:color="CFCFCF"/>
            </w:tcBorders>
          </w:tcPr>
          <w:p>
            <w:pPr>
              <w:ind w:left="80"/>
              <w:spacing w:after="0" w:line="115" w:lineRule="exact"/>
              <w:rPr>
                <w:sz w:val="20"/>
                <w:szCs w:val="20"/>
                <w:color w:val="auto"/>
              </w:rPr>
            </w:pPr>
            <w:r>
              <w:rPr>
                <w:rFonts w:ascii="Arial" w:cs="Arial" w:eastAsia="Arial" w:hAnsi="Arial"/>
                <w:sz w:val="13"/>
                <w:szCs w:val="13"/>
                <w:color w:val="auto"/>
              </w:rPr>
              <w:t>(International Media and European Investor Enquiries)</w:t>
            </w:r>
          </w:p>
        </w:tc>
        <w:tc>
          <w:tcPr>
            <w:tcW w:w="5340" w:type="dxa"/>
            <w:vAlign w:val="bottom"/>
            <w:tcBorders>
              <w:left w:val="single" w:sz="8" w:color="CFCFCF"/>
              <w:right w:val="single" w:sz="8" w:color="CFCFCF"/>
            </w:tcBorders>
            <w:gridSpan w:val="5"/>
          </w:tcPr>
          <w:p>
            <w:pPr>
              <w:ind w:left="80"/>
              <w:spacing w:after="0" w:line="115" w:lineRule="exact"/>
              <w:rPr>
                <w:sz w:val="20"/>
                <w:szCs w:val="20"/>
                <w:color w:val="auto"/>
              </w:rPr>
            </w:pPr>
            <w:r>
              <w:rPr>
                <w:rFonts w:ascii="Arial" w:cs="Arial" w:eastAsia="Arial" w:hAnsi="Arial"/>
                <w:sz w:val="13"/>
                <w:szCs w:val="13"/>
                <w:color w:val="0000FF"/>
              </w:rPr>
              <w:t>verona@optimumcomms.com</w:t>
            </w:r>
          </w:p>
        </w:tc>
      </w:tr>
      <w:tr>
        <w:trPr>
          <w:trHeight w:val="20"/>
        </w:trPr>
        <w:tc>
          <w:tcPr>
            <w:tcW w:w="5980" w:type="dxa"/>
            <w:vAlign w:val="bottom"/>
            <w:tcBorders>
              <w:left w:val="single" w:sz="8" w:color="CFCFCF"/>
              <w:bottom w:val="single" w:sz="8" w:color="CFCFCF"/>
            </w:tcBorders>
          </w:tcPr>
          <w:p>
            <w:pPr>
              <w:spacing w:after="0" w:line="20" w:lineRule="exact"/>
              <w:rPr>
                <w:sz w:val="1"/>
                <w:szCs w:val="1"/>
                <w:color w:val="auto"/>
              </w:rPr>
            </w:pPr>
          </w:p>
        </w:tc>
        <w:tc>
          <w:tcPr>
            <w:tcW w:w="80" w:type="dxa"/>
            <w:vAlign w:val="bottom"/>
            <w:tcBorders>
              <w:left w:val="single" w:sz="8" w:color="CFCFCF"/>
              <w:bottom w:val="single" w:sz="8" w:color="CFCFCF"/>
            </w:tcBorders>
          </w:tcPr>
          <w:p>
            <w:pPr>
              <w:spacing w:after="0" w:line="20" w:lineRule="exact"/>
              <w:rPr>
                <w:sz w:val="1"/>
                <w:szCs w:val="1"/>
                <w:color w:val="auto"/>
              </w:rPr>
            </w:pPr>
          </w:p>
        </w:tc>
        <w:tc>
          <w:tcPr>
            <w:tcW w:w="1620" w:type="dxa"/>
            <w:vAlign w:val="bottom"/>
            <w:tcBorders>
              <w:top w:val="single" w:sz="8" w:color="0000FF"/>
              <w:bottom w:val="single" w:sz="8" w:color="CFCFCF"/>
            </w:tcBorders>
          </w:tcPr>
          <w:p>
            <w:pPr>
              <w:spacing w:after="0" w:line="20" w:lineRule="exact"/>
              <w:rPr>
                <w:sz w:val="1"/>
                <w:szCs w:val="1"/>
                <w:color w:val="auto"/>
              </w:rPr>
            </w:pPr>
          </w:p>
        </w:tc>
        <w:tc>
          <w:tcPr>
            <w:tcW w:w="140" w:type="dxa"/>
            <w:vAlign w:val="bottom"/>
            <w:tcBorders>
              <w:top w:val="single" w:sz="8" w:color="0000FF"/>
              <w:bottom w:val="single" w:sz="8" w:color="CFCFCF"/>
            </w:tcBorders>
          </w:tcPr>
          <w:p>
            <w:pPr>
              <w:spacing w:after="0" w:line="20" w:lineRule="exact"/>
              <w:rPr>
                <w:sz w:val="1"/>
                <w:szCs w:val="1"/>
                <w:color w:val="auto"/>
              </w:rPr>
            </w:pPr>
          </w:p>
        </w:tc>
        <w:tc>
          <w:tcPr>
            <w:tcW w:w="160" w:type="dxa"/>
            <w:vAlign w:val="bottom"/>
            <w:tcBorders>
              <w:top w:val="single" w:sz="8" w:color="0000FF"/>
              <w:bottom w:val="single" w:sz="8" w:color="CFCFCF"/>
            </w:tcBorders>
          </w:tcPr>
          <w:p>
            <w:pPr>
              <w:spacing w:after="0" w:line="20" w:lineRule="exact"/>
              <w:rPr>
                <w:sz w:val="1"/>
                <w:szCs w:val="1"/>
                <w:color w:val="auto"/>
              </w:rPr>
            </w:pPr>
          </w:p>
        </w:tc>
        <w:tc>
          <w:tcPr>
            <w:tcW w:w="3340" w:type="dxa"/>
            <w:vAlign w:val="bottom"/>
            <w:tcBorders>
              <w:bottom w:val="single" w:sz="8" w:color="CFCFCF"/>
              <w:right w:val="single" w:sz="8" w:color="CFCFCF"/>
            </w:tcBorders>
          </w:tcPr>
          <w:p>
            <w:pPr>
              <w:spacing w:after="0" w:line="20" w:lineRule="exact"/>
              <w:rPr>
                <w:sz w:val="1"/>
                <w:szCs w:val="1"/>
                <w:color w:val="auto"/>
              </w:rPr>
            </w:pPr>
          </w:p>
        </w:tc>
      </w:tr>
      <w:tr>
        <w:trPr>
          <w:trHeight w:val="177"/>
        </w:trPr>
        <w:tc>
          <w:tcPr>
            <w:tcW w:w="5980" w:type="dxa"/>
            <w:vAlign w:val="bottom"/>
            <w:tcBorders>
              <w:left w:val="single" w:sz="8" w:color="CFCFCF"/>
              <w:bottom w:val="single" w:sz="8" w:color="CFCFCF"/>
            </w:tcBorders>
          </w:tcPr>
          <w:p>
            <w:pPr>
              <w:ind w:left="80"/>
              <w:spacing w:after="0"/>
              <w:rPr>
                <w:sz w:val="20"/>
                <w:szCs w:val="20"/>
                <w:color w:val="auto"/>
              </w:rPr>
            </w:pPr>
            <w:r>
              <w:rPr>
                <w:rFonts w:ascii="Arial" w:cs="Arial" w:eastAsia="Arial" w:hAnsi="Arial"/>
                <w:sz w:val="13"/>
                <w:szCs w:val="13"/>
                <w:color w:val="auto"/>
              </w:rPr>
              <w:t>Mary Clark / Rebecca Noonan / Zoe Bolt</w:t>
            </w:r>
          </w:p>
        </w:tc>
        <w:tc>
          <w:tcPr>
            <w:tcW w:w="80" w:type="dxa"/>
            <w:vAlign w:val="bottom"/>
            <w:tcBorders>
              <w:left w:val="single" w:sz="8" w:color="CFCFCF"/>
              <w:bottom w:val="single" w:sz="8" w:color="CFCFCF"/>
            </w:tcBorders>
          </w:tcPr>
          <w:p>
            <w:pPr>
              <w:spacing w:after="0"/>
              <w:rPr>
                <w:sz w:val="15"/>
                <w:szCs w:val="15"/>
                <w:color w:val="auto"/>
              </w:rPr>
            </w:pPr>
          </w:p>
        </w:tc>
        <w:tc>
          <w:tcPr>
            <w:tcW w:w="1620" w:type="dxa"/>
            <w:vAlign w:val="bottom"/>
            <w:tcBorders>
              <w:bottom w:val="single" w:sz="8" w:color="CFCFCF"/>
            </w:tcBorders>
          </w:tcPr>
          <w:p>
            <w:pPr>
              <w:spacing w:after="0"/>
              <w:rPr>
                <w:sz w:val="15"/>
                <w:szCs w:val="15"/>
                <w:color w:val="auto"/>
              </w:rPr>
            </w:pPr>
          </w:p>
        </w:tc>
        <w:tc>
          <w:tcPr>
            <w:tcW w:w="140" w:type="dxa"/>
            <w:vAlign w:val="bottom"/>
            <w:tcBorders>
              <w:bottom w:val="single" w:sz="8" w:color="CFCFCF"/>
            </w:tcBorders>
          </w:tcPr>
          <w:p>
            <w:pPr>
              <w:spacing w:after="0"/>
              <w:rPr>
                <w:sz w:val="15"/>
                <w:szCs w:val="15"/>
                <w:color w:val="auto"/>
              </w:rPr>
            </w:pPr>
          </w:p>
        </w:tc>
        <w:tc>
          <w:tcPr>
            <w:tcW w:w="160" w:type="dxa"/>
            <w:vAlign w:val="bottom"/>
            <w:tcBorders>
              <w:bottom w:val="single" w:sz="8" w:color="CFCFCF"/>
            </w:tcBorders>
          </w:tcPr>
          <w:p>
            <w:pPr>
              <w:spacing w:after="0"/>
              <w:rPr>
                <w:sz w:val="15"/>
                <w:szCs w:val="15"/>
                <w:color w:val="auto"/>
              </w:rPr>
            </w:pPr>
          </w:p>
        </w:tc>
        <w:tc>
          <w:tcPr>
            <w:tcW w:w="3340" w:type="dxa"/>
            <w:vAlign w:val="bottom"/>
            <w:tcBorders>
              <w:bottom w:val="single" w:sz="8" w:color="CFCFCF"/>
              <w:right w:val="single" w:sz="8" w:color="CFCFCF"/>
            </w:tcBorders>
          </w:tcPr>
          <w:p>
            <w:pPr>
              <w:spacing w:after="0"/>
              <w:rPr>
                <w:sz w:val="15"/>
                <w:szCs w:val="15"/>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Verona Pharma</w:t>
      </w:r>
    </w:p>
    <w:p>
      <w:pPr>
        <w:spacing w:after="0" w:line="49" w:lineRule="exact"/>
        <w:rPr>
          <w:sz w:val="20"/>
          <w:szCs w:val="20"/>
          <w:color w:val="auto"/>
        </w:rPr>
      </w:pPr>
    </w:p>
    <w:p>
      <w:pPr>
        <w:jc w:val="both"/>
        <w:ind w:right="20"/>
        <w:spacing w:after="0" w:line="226" w:lineRule="auto"/>
        <w:rPr>
          <w:sz w:val="20"/>
          <w:szCs w:val="20"/>
          <w:color w:val="auto"/>
        </w:rPr>
      </w:pPr>
      <w:r>
        <w:rPr>
          <w:rFonts w:ascii="Arial" w:cs="Arial" w:eastAsia="Arial" w:hAnsi="Arial"/>
          <w:sz w:val="13"/>
          <w:szCs w:val="13"/>
          <w:color w:val="auto"/>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w:t>
      </w:r>
    </w:p>
    <w:p>
      <w:pPr>
        <w:jc w:val="both"/>
        <w:spacing w:after="0" w:line="209" w:lineRule="auto"/>
        <w:rPr>
          <w:sz w:val="20"/>
          <w:szCs w:val="20"/>
          <w:color w:val="auto"/>
        </w:rPr>
      </w:pPr>
      <w:r>
        <w:rPr>
          <w:rFonts w:ascii="Arial" w:cs="Arial" w:eastAsia="Arial" w:hAnsi="Arial"/>
          <w:sz w:val="13"/>
          <w:szCs w:val="13"/>
          <w:color w:val="auto"/>
        </w:rPr>
        <w:t>combines bronchodilator and anti-inflammatory activities in one compound. The Company is evaluating nebulized ensifentrine in its Phase 3 clinical program ENHANCE (“Ensifentrine as a Novel inHAled Nebulized COPD thErapy”) for COPD maintenance treatment. Ensifentrine met the primary endpoint in ENHANCE-2 demonstrating a statistically significant and clinically meaningful</w:t>
      </w:r>
    </w:p>
    <w:p>
      <w:pPr>
        <w:spacing w:after="0" w:line="217" w:lineRule="auto"/>
        <w:rPr>
          <w:sz w:val="20"/>
          <w:szCs w:val="20"/>
          <w:color w:val="auto"/>
        </w:rPr>
      </w:pPr>
      <w:r>
        <w:rPr>
          <w:rFonts w:ascii="Arial" w:cs="Arial" w:eastAsia="Arial" w:hAnsi="Arial"/>
          <w:sz w:val="13"/>
          <w:szCs w:val="13"/>
          <w:color w:val="auto"/>
        </w:rPr>
        <w:t>improvement in lung function. In addition, ensifentrine significantly reduced the rate of COPD exacerbations. Two additional formulations of ensifentrine are in Phase 2 development for the</w:t>
      </w:r>
    </w:p>
    <w:p>
      <w:pPr>
        <w:spacing w:after="0" w:line="203" w:lineRule="auto"/>
        <w:rPr>
          <w:sz w:val="20"/>
          <w:szCs w:val="20"/>
          <w:color w:val="auto"/>
        </w:rPr>
      </w:pPr>
      <w:r>
        <w:rPr>
          <w:rFonts w:ascii="Arial" w:cs="Arial" w:eastAsia="Arial" w:hAnsi="Arial"/>
          <w:sz w:val="13"/>
          <w:szCs w:val="13"/>
          <w:color w:val="auto"/>
        </w:rPr>
        <w:t>treatment of COPD: dry powder inhaler (“DPI”) and pressurized metered-dose inhaler (“pMDI”). Ensifentrine has potential applications in cystic fibrosis, asthma and other respiratory diseases.</w:t>
      </w:r>
    </w:p>
    <w:p>
      <w:pPr>
        <w:spacing w:after="0"/>
        <w:rPr>
          <w:sz w:val="20"/>
          <w:szCs w:val="20"/>
          <w:color w:val="auto"/>
        </w:rPr>
      </w:pPr>
      <w:r>
        <w:rPr>
          <w:rFonts w:ascii="Arial" w:cs="Arial" w:eastAsia="Arial" w:hAnsi="Arial"/>
          <w:sz w:val="13"/>
          <w:szCs w:val="13"/>
          <w:color w:val="auto"/>
        </w:rPr>
        <w:t xml:space="preserve">For more information, please visit </w:t>
      </w:r>
      <w:r>
        <w:rPr>
          <w:rFonts w:ascii="Arial" w:cs="Arial" w:eastAsia="Arial" w:hAnsi="Arial"/>
          <w:sz w:val="13"/>
          <w:szCs w:val="13"/>
          <w:u w:val="single" w:color="auto"/>
          <w:color w:val="0000FF"/>
        </w:rPr>
        <w:t>www.veronapharma.com</w:t>
      </w:r>
      <w:r>
        <w:rPr>
          <w:rFonts w:ascii="Arial" w:cs="Arial" w:eastAsia="Arial" w:hAnsi="Arial"/>
          <w:sz w:val="13"/>
          <w:szCs w:val="13"/>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COVID-19 Impact</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Verona Pharma continues to monitor the impact of the COVID-19 pandemic on its operations and clinical trials, in particular the timelines and costs of its Phase 3 clinical program ENHANCE. The pandemic and government and other measures in response continue to impact a number of clinical trial activities and the Company will provide an update if it becomes aware of any meaningful disruption caused by the pandemic to its clinical trials.</w:t>
      </w:r>
    </w:p>
    <w:p>
      <w:pPr>
        <w:spacing w:after="0" w:line="25"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To help protect the health and safety of the subjects,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in an effort to ensure the safety of study participants, minimize risks to study integrity, and maintain compliance with good clinical practice.</w:t>
      </w:r>
    </w:p>
    <w:p>
      <w:pPr>
        <w:spacing w:after="0" w:line="25"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The COVID-19 pandemic is disrupting supply chains, and employee retention and recruitment, globally and the Company is closely monitoring this situation and will provide an update if it becomes aware of any meaningful disruption caused by the pandemic to the supply of ensifentrine and drug-related products, equipment and services for its clinical trials.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Russia-Ukraine Conflict</w:t>
      </w:r>
    </w:p>
    <w:p>
      <w:pPr>
        <w:spacing w:after="0" w:line="58" w:lineRule="exact"/>
        <w:rPr>
          <w:sz w:val="20"/>
          <w:szCs w:val="20"/>
          <w:color w:val="auto"/>
        </w:rPr>
      </w:pPr>
    </w:p>
    <w:p>
      <w:pPr>
        <w:jc w:val="both"/>
        <w:spacing w:after="0" w:line="219" w:lineRule="auto"/>
        <w:rPr>
          <w:sz w:val="20"/>
          <w:szCs w:val="20"/>
          <w:color w:val="auto"/>
        </w:rPr>
      </w:pPr>
      <w:r>
        <w:rPr>
          <w:rFonts w:ascii="Arial" w:cs="Arial" w:eastAsia="Arial" w:hAnsi="Arial"/>
          <w:sz w:val="13"/>
          <w:szCs w:val="13"/>
          <w:color w:val="auto"/>
        </w:rPr>
        <w:t>Verona Pharma is conducting ENHANCE-1 at a number of clinical trial sites in Russia and Europe (but not including Ukraine). The sanctions and other restrictions imposed by the U.S. and other countries as a result of the current conflict between Russia and Ukraine are impacting, and may continue to impact, the Company’s outsourced clinical research vendor’s ability to pay the clinical</w:t>
      </w:r>
    </w:p>
    <w:p>
      <w:pPr>
        <w:spacing w:after="0" w:line="217" w:lineRule="auto"/>
        <w:rPr>
          <w:sz w:val="20"/>
          <w:szCs w:val="20"/>
          <w:color w:val="auto"/>
        </w:rPr>
      </w:pPr>
      <w:r>
        <w:rPr>
          <w:rFonts w:ascii="Arial" w:cs="Arial" w:eastAsia="Arial" w:hAnsi="Arial"/>
          <w:sz w:val="13"/>
          <w:szCs w:val="13"/>
          <w:color w:val="auto"/>
        </w:rPr>
        <w:t>trial sites and investigators in Russia and may impact the vendor’s ability to supply ensifentrine and equipment to the sites and validate their trial data. If the conflict extends into other countries in</w:t>
      </w:r>
    </w:p>
    <w:p>
      <w:pPr>
        <w:jc w:val="both"/>
        <w:spacing w:after="0" w:line="230" w:lineRule="auto"/>
        <w:rPr>
          <w:sz w:val="20"/>
          <w:szCs w:val="20"/>
          <w:color w:val="auto"/>
        </w:rPr>
      </w:pPr>
      <w:r>
        <w:rPr>
          <w:rFonts w:ascii="Arial" w:cs="Arial" w:eastAsia="Arial" w:hAnsi="Arial"/>
          <w:sz w:val="13"/>
          <w:szCs w:val="13"/>
          <w:color w:val="auto"/>
        </w:rPr>
        <w:t>Europe where the Company’s clinical trials are being conducted, its clinical trial activities in those countries may also be impacted. The Company is closely monitoring the Russia-Ukraine conflict and will provide an update if it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ectPr>
          <w:pgSz w:w="11900" w:h="16838" w:orient="portrait"/>
          <w:cols w:equalWidth="0" w:num="1">
            <w:col w:w="11300"/>
          </w:cols>
          <w:pgMar w:left="300" w:top="1022" w:right="299"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aware of any meaningful disruption to the cost and timelines of our Phase 3 program or its plans to submit an NDA for ensifentrine.</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This press release contains forward-looking statements. All statements contained in this press release that do not relate to matters of historical fact should be considered forward-looking</w:t>
      </w:r>
    </w:p>
    <w:p>
      <w:pPr>
        <w:spacing w:after="0" w:line="209" w:lineRule="auto"/>
        <w:rPr>
          <w:sz w:val="20"/>
          <w:szCs w:val="20"/>
          <w:color w:val="auto"/>
        </w:rPr>
      </w:pPr>
      <w:r>
        <w:rPr>
          <w:rFonts w:ascii="Arial" w:cs="Arial" w:eastAsia="Arial" w:hAnsi="Arial"/>
          <w:sz w:val="13"/>
          <w:szCs w:val="13"/>
          <w:color w:val="auto"/>
        </w:rPr>
        <w:t>statements, including, but not limited to, statements regarding our operational review, outlook and financial review, the development of ensifentrine and the progress and timing of clinical trials and data, the goals and design of clinical trials, the assumptions underlying the Company’s models on clinical trial recruitment and progress, including the potential impact of the COVID-19</w:t>
      </w:r>
    </w:p>
    <w:p>
      <w:pPr>
        <w:spacing w:after="0" w:line="217" w:lineRule="auto"/>
        <w:rPr>
          <w:sz w:val="20"/>
          <w:szCs w:val="20"/>
          <w:color w:val="auto"/>
        </w:rPr>
      </w:pPr>
      <w:r>
        <w:rPr>
          <w:rFonts w:ascii="Arial" w:cs="Arial" w:eastAsia="Arial" w:hAnsi="Arial"/>
          <w:sz w:val="13"/>
          <w:szCs w:val="13"/>
          <w:color w:val="auto"/>
        </w:rPr>
        <w:t>pandemic and the Russia-Ukraine conflict on such progress and on our business and operations and the Company’s future financial results, the timing of submission of an NDA for ensifentrine,</w:t>
      </w:r>
    </w:p>
    <w:p>
      <w:pPr>
        <w:spacing w:after="0" w:line="209" w:lineRule="auto"/>
        <w:rPr>
          <w:sz w:val="20"/>
          <w:szCs w:val="20"/>
          <w:color w:val="auto"/>
        </w:rPr>
      </w:pPr>
      <w:r>
        <w:rPr>
          <w:rFonts w:ascii="Arial" w:cs="Arial" w:eastAsia="Arial" w:hAnsi="Arial"/>
          <w:sz w:val="13"/>
          <w:szCs w:val="13"/>
          <w:color w:val="auto"/>
        </w:rPr>
        <w:t>the potential for ensifentrine to be the first therapy for the treatment of respiratory diseases to combine bronchodilator and anti-inflammatory effects in one compound, the potential of ensifentrine in the treatment of COPD, cystic fibrosis, asthma and other respiratory diseases, as well as the potential of the DPI and pMDI formulations of ensifentrine, the funding we expect to become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available under the $30.0 million debt financing facility and from cash receipts from U.K. tax credits, and the sufficiency of cash and cash equivalents.</w:t>
      </w:r>
    </w:p>
    <w:p>
      <w:pPr>
        <w:spacing w:after="0" w:line="46" w:lineRule="exact"/>
        <w:rPr>
          <w:sz w:val="20"/>
          <w:szCs w:val="20"/>
          <w:color w:val="auto"/>
        </w:rPr>
      </w:pPr>
    </w:p>
    <w:p>
      <w:pPr>
        <w:spacing w:after="0" w:line="219" w:lineRule="auto"/>
        <w:rPr>
          <w:sz w:val="20"/>
          <w:szCs w:val="20"/>
          <w:color w:val="auto"/>
        </w:rPr>
      </w:pPr>
      <w:r>
        <w:rPr>
          <w:rFonts w:ascii="Arial" w:cs="Arial" w:eastAsia="Arial" w:hAnsi="Arial"/>
          <w:sz w:val="13"/>
          <w:szCs w:val="13"/>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w:t>
      </w:r>
    </w:p>
    <w:p>
      <w:pPr>
        <w:spacing w:after="0" w:line="217" w:lineRule="auto"/>
        <w:rPr>
          <w:sz w:val="20"/>
          <w:szCs w:val="20"/>
          <w:color w:val="auto"/>
        </w:rPr>
      </w:pPr>
      <w:r>
        <w:rPr>
          <w:rFonts w:ascii="Arial" w:cs="Arial" w:eastAsia="Arial" w:hAnsi="Arial"/>
          <w:sz w:val="13"/>
          <w:szCs w:val="13"/>
          <w:color w:val="auto"/>
        </w:rPr>
        <w:t>statements, including, but not limited to, the following: our limited operating history; our need for additional funding to complete development and commercialization of ensifentrine, which may not</w:t>
      </w:r>
    </w:p>
    <w:p>
      <w:pPr>
        <w:ind w:right="20"/>
        <w:spacing w:after="0" w:line="209" w:lineRule="auto"/>
        <w:rPr>
          <w:sz w:val="20"/>
          <w:szCs w:val="20"/>
          <w:color w:val="auto"/>
        </w:rPr>
      </w:pPr>
      <w:r>
        <w:rPr>
          <w:rFonts w:ascii="Arial" w:cs="Arial" w:eastAsia="Arial" w:hAnsi="Arial"/>
          <w:sz w:val="13"/>
          <w:szCs w:val="13"/>
          <w:color w:val="auto"/>
        </w:rPr>
        <w:t>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w:t>
      </w:r>
    </w:p>
    <w:p>
      <w:pPr>
        <w:spacing w:after="0" w:line="217" w:lineRule="auto"/>
        <w:rPr>
          <w:sz w:val="20"/>
          <w:szCs w:val="20"/>
          <w:color w:val="auto"/>
        </w:rPr>
      </w:pPr>
      <w:r>
        <w:rPr>
          <w:rFonts w:ascii="Arial" w:cs="Arial" w:eastAsia="Arial" w:hAnsi="Arial"/>
          <w:sz w:val="13"/>
          <w:szCs w:val="13"/>
          <w:color w:val="auto"/>
        </w:rPr>
        <w:t>uncertain outcome; serious adverse, undesirable or unacceptable side effects associated with ensifentrine, which could adversely affect our ability to develop or commercialize ensifentrine;</w:t>
      </w:r>
    </w:p>
    <w:p>
      <w:pPr>
        <w:spacing w:after="0" w:line="209" w:lineRule="auto"/>
        <w:rPr>
          <w:sz w:val="20"/>
          <w:szCs w:val="20"/>
          <w:color w:val="auto"/>
        </w:rPr>
      </w:pPr>
      <w:r>
        <w:rPr>
          <w:rFonts w:ascii="Arial" w:cs="Arial" w:eastAsia="Arial" w:hAnsi="Arial"/>
          <w:sz w:val="13"/>
          <w:szCs w:val="13"/>
          <w:color w:val="auto"/>
        </w:rPr>
        <w:t>potential delays in enrolling subjects,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3"/>
          <w:szCs w:val="13"/>
          <w:color w:val="auto"/>
        </w:rPr>
        <w:t>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w:t>
      </w:r>
    </w:p>
    <w:p>
      <w:pPr>
        <w:spacing w:after="0" w:line="217" w:lineRule="auto"/>
        <w:rPr>
          <w:sz w:val="20"/>
          <w:szCs w:val="20"/>
          <w:color w:val="auto"/>
        </w:rPr>
      </w:pPr>
      <w:r>
        <w:rPr>
          <w:rFonts w:ascii="Arial" w:cs="Arial" w:eastAsia="Arial" w:hAnsi="Arial"/>
          <w:sz w:val="13"/>
          <w:szCs w:val="13"/>
          <w:color w:val="auto"/>
        </w:rPr>
        <w:t>“top-line” data and final data; our reliance on third parties, including clinical research organizations, clinical investigators, manufacturers and suppliers, and the risks related to these parties’ ability</w:t>
      </w:r>
    </w:p>
    <w:p>
      <w:pPr>
        <w:spacing w:after="0" w:line="209" w:lineRule="auto"/>
        <w:rPr>
          <w:sz w:val="20"/>
          <w:szCs w:val="20"/>
          <w:color w:val="auto"/>
        </w:rPr>
      </w:pPr>
      <w:r>
        <w:rPr>
          <w:rFonts w:ascii="Arial" w:cs="Arial" w:eastAsia="Arial" w:hAnsi="Arial"/>
          <w:sz w:val="13"/>
          <w:szCs w:val="13"/>
          <w:color w:val="auto"/>
        </w:rPr>
        <w:t>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w:t>
      </w:r>
    </w:p>
    <w:p>
      <w:pPr>
        <w:spacing w:after="0" w:line="217" w:lineRule="auto"/>
        <w:rPr>
          <w:sz w:val="20"/>
          <w:szCs w:val="20"/>
          <w:color w:val="auto"/>
        </w:rPr>
      </w:pPr>
      <w:r>
        <w:rPr>
          <w:rFonts w:ascii="Arial" w:cs="Arial" w:eastAsia="Arial" w:hAnsi="Arial"/>
          <w:sz w:val="13"/>
          <w:szCs w:val="13"/>
          <w:color w:val="auto"/>
        </w:rPr>
        <w:t>exposure to additional tax liabilities or assessments could affect our profitability, and audits by tax authorities could result in additional tax payments for prior periods; and our vulnerability to</w:t>
      </w:r>
    </w:p>
    <w:p>
      <w:pPr>
        <w:spacing w:after="0" w:line="209" w:lineRule="auto"/>
        <w:rPr>
          <w:sz w:val="20"/>
          <w:szCs w:val="20"/>
          <w:color w:val="auto"/>
        </w:rPr>
      </w:pPr>
      <w:r>
        <w:rPr>
          <w:rFonts w:ascii="Arial" w:cs="Arial" w:eastAsia="Arial" w:hAnsi="Arial"/>
          <w:sz w:val="13"/>
          <w:szCs w:val="13"/>
          <w:color w:val="auto"/>
        </w:rPr>
        <w:t>natural disasters, global economic factors, geo-political 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w:t>
      </w:r>
    </w:p>
    <w:p>
      <w:pPr>
        <w:spacing w:after="0" w:line="217" w:lineRule="auto"/>
        <w:rPr>
          <w:sz w:val="20"/>
          <w:szCs w:val="20"/>
          <w:color w:val="auto"/>
        </w:rPr>
      </w:pPr>
      <w:r>
        <w:rPr>
          <w:rFonts w:ascii="Arial" w:cs="Arial" w:eastAsia="Arial" w:hAnsi="Arial"/>
          <w:sz w:val="13"/>
          <w:szCs w:val="13"/>
          <w:color w:val="auto"/>
        </w:rPr>
        <w:t>year ended December 31, 2021, and our other reports filed with the SEC, could cause actual results to differ materially from those indicated by the forward-looking statements made in this press</w:t>
      </w:r>
    </w:p>
    <w:p>
      <w:pPr>
        <w:spacing w:after="0" w:line="209" w:lineRule="auto"/>
        <w:rPr>
          <w:sz w:val="20"/>
          <w:szCs w:val="20"/>
          <w:color w:val="auto"/>
        </w:rPr>
      </w:pPr>
      <w:r>
        <w:rPr>
          <w:rFonts w:ascii="Arial" w:cs="Arial" w:eastAsia="Arial" w:hAnsi="Arial"/>
          <w:sz w:val="13"/>
          <w:szCs w:val="13"/>
          <w:color w:val="auto"/>
        </w:rPr>
        <w:t>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ectPr>
          <w:pgSz w:w="11900" w:h="16838" w:orient="portrait"/>
          <w:cols w:equalWidth="0" w:num="1">
            <w:col w:w="11300"/>
          </w:cols>
          <w:pgMar w:left="300" w:top="980"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232323"/>
        </w:rPr>
        <w:t>Verona Pharma plc</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2323"/>
        </w:rPr>
        <w:t>Consolidated Financial Summary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2323"/>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71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820" w:type="dxa"/>
            <w:vAlign w:val="bottom"/>
            <w:tcBorders>
              <w:top w:val="single" w:sz="8" w:color="auto"/>
              <w:left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3"/>
          </w:tcPr>
          <w:p>
            <w:pPr>
              <w:ind w:left="240"/>
              <w:spacing w:after="0"/>
              <w:rPr>
                <w:sz w:val="20"/>
                <w:szCs w:val="20"/>
                <w:color w:val="auto"/>
              </w:rPr>
            </w:pPr>
            <w:r>
              <w:rPr>
                <w:rFonts w:ascii="Arial" w:cs="Arial" w:eastAsia="Arial" w:hAnsi="Arial"/>
                <w:sz w:val="12"/>
                <w:szCs w:val="12"/>
                <w:color w:val="auto"/>
              </w:rPr>
              <w:t>Three months ended June 30,</w:t>
            </w:r>
          </w:p>
        </w:tc>
        <w:tc>
          <w:tcPr>
            <w:tcW w:w="1760" w:type="dxa"/>
            <w:vAlign w:val="bottom"/>
            <w:tcBorders>
              <w:top w:val="single" w:sz="8" w:color="auto"/>
              <w:right w:val="single" w:sz="8" w:color="auto"/>
            </w:tcBorders>
          </w:tcPr>
          <w:p>
            <w:pPr>
              <w:spacing w:after="0"/>
              <w:rPr>
                <w:sz w:val="15"/>
                <w:szCs w:val="15"/>
                <w:color w:val="auto"/>
              </w:rPr>
            </w:pPr>
          </w:p>
        </w:tc>
      </w:tr>
      <w:tr>
        <w:trPr>
          <w:trHeight w:val="198"/>
        </w:trPr>
        <w:tc>
          <w:tcPr>
            <w:tcW w:w="7520" w:type="dxa"/>
            <w:vAlign w:val="bottom"/>
            <w:tcBorders>
              <w:left w:val="single" w:sz="8" w:color="auto"/>
            </w:tcBorders>
            <w:gridSpan w:val="2"/>
          </w:tcPr>
          <w:p>
            <w:pPr>
              <w:jc w:val="center"/>
              <w:ind w:left="6639"/>
              <w:spacing w:after="0"/>
              <w:rPr>
                <w:sz w:val="20"/>
                <w:szCs w:val="20"/>
                <w:color w:val="auto"/>
              </w:rPr>
            </w:pPr>
            <w:r>
              <w:rPr>
                <w:rFonts w:ascii="Arial" w:cs="Arial" w:eastAsia="Arial" w:hAnsi="Arial"/>
                <w:sz w:val="12"/>
                <w:szCs w:val="12"/>
                <w:color w:val="auto"/>
                <w:w w:val="97"/>
              </w:rPr>
              <w:t>2022</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Borders>
              <w:right w:val="single" w:sz="8" w:color="auto"/>
            </w:tcBorders>
          </w:tcPr>
          <w:p>
            <w:pPr>
              <w:jc w:val="center"/>
              <w:ind w:right="760"/>
              <w:spacing w:after="0"/>
              <w:rPr>
                <w:sz w:val="20"/>
                <w:szCs w:val="20"/>
                <w:color w:val="auto"/>
              </w:rPr>
            </w:pPr>
            <w:r>
              <w:rPr>
                <w:rFonts w:ascii="Arial" w:cs="Arial" w:eastAsia="Arial" w:hAnsi="Arial"/>
                <w:sz w:val="12"/>
                <w:szCs w:val="12"/>
                <w:color w:val="auto"/>
                <w:w w:val="97"/>
              </w:rPr>
              <w:t>2021</w:t>
            </w:r>
          </w:p>
        </w:tc>
      </w:tr>
      <w:tr>
        <w:trPr>
          <w:trHeight w:val="34"/>
        </w:trPr>
        <w:tc>
          <w:tcPr>
            <w:tcW w:w="5820" w:type="dxa"/>
            <w:vAlign w:val="bottom"/>
            <w:tcBorders>
              <w:lef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173"/>
        </w:trPr>
        <w:tc>
          <w:tcPr>
            <w:tcW w:w="5820" w:type="dxa"/>
            <w:vAlign w:val="bottom"/>
            <w:tcBorders>
              <w:left w:val="single" w:sz="8" w:color="auto"/>
            </w:tcBorders>
          </w:tcPr>
          <w:p>
            <w:pPr>
              <w:spacing w:after="0"/>
              <w:rPr>
                <w:sz w:val="15"/>
                <w:szCs w:val="15"/>
                <w:color w:val="auto"/>
              </w:rPr>
            </w:pPr>
          </w:p>
        </w:tc>
        <w:tc>
          <w:tcPr>
            <w:tcW w:w="1700" w:type="dxa"/>
            <w:vAlign w:val="bottom"/>
          </w:tcPr>
          <w:p>
            <w:pPr>
              <w:jc w:val="center"/>
              <w:ind w:left="837"/>
              <w:spacing w:after="0"/>
              <w:rPr>
                <w:sz w:val="20"/>
                <w:szCs w:val="20"/>
                <w:color w:val="auto"/>
              </w:rPr>
            </w:pPr>
            <w:r>
              <w:rPr>
                <w:rFonts w:ascii="Times New Roman" w:cs="Times New Roman" w:eastAsia="Times New Roman" w:hAnsi="Times New Roman"/>
                <w:sz w:val="13"/>
                <w:szCs w:val="13"/>
                <w:color w:val="auto"/>
                <w:w w:val="99"/>
              </w:rPr>
              <w:t>($000’s)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60" w:type="dxa"/>
            <w:vAlign w:val="bottom"/>
            <w:tcBorders>
              <w:right w:val="single" w:sz="8" w:color="auto"/>
            </w:tcBorders>
          </w:tcPr>
          <w:p>
            <w:pPr>
              <w:jc w:val="center"/>
              <w:ind w:right="760"/>
              <w:spacing w:after="0"/>
              <w:rPr>
                <w:sz w:val="20"/>
                <w:szCs w:val="20"/>
                <w:color w:val="auto"/>
              </w:rPr>
            </w:pPr>
            <w:r>
              <w:rPr>
                <w:rFonts w:ascii="Arial" w:cs="Arial" w:eastAsia="Arial" w:hAnsi="Arial"/>
                <w:sz w:val="12"/>
                <w:szCs w:val="12"/>
                <w:color w:val="auto"/>
                <w:w w:val="96"/>
              </w:rPr>
              <w:t>($000’s)</w:t>
            </w:r>
          </w:p>
        </w:tc>
      </w:tr>
      <w:tr>
        <w:trPr>
          <w:trHeight w:val="184"/>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Operating expenses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192"/>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Research and development</w:t>
            </w:r>
          </w:p>
        </w:tc>
        <w:tc>
          <w:tcPr>
            <w:tcW w:w="900" w:type="dxa"/>
            <w:vAlign w:val="bottom"/>
          </w:tcPr>
          <w:p>
            <w:pPr>
              <w:jc w:val="right"/>
              <w:spacing w:after="0"/>
              <w:rPr>
                <w:sz w:val="20"/>
                <w:szCs w:val="20"/>
                <w:color w:val="auto"/>
              </w:rPr>
            </w:pPr>
            <w:r>
              <w:rPr>
                <w:rFonts w:ascii="Arial" w:cs="Arial" w:eastAsia="Arial" w:hAnsi="Arial"/>
                <w:sz w:val="12"/>
                <w:szCs w:val="12"/>
                <w:color w:val="auto"/>
              </w:rPr>
              <w:t>$ 14,982</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$ 20,563</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Selling, general and administrative</w:t>
            </w:r>
          </w:p>
        </w:tc>
        <w:tc>
          <w:tcPr>
            <w:tcW w:w="900" w:type="dxa"/>
            <w:vAlign w:val="bottom"/>
          </w:tcPr>
          <w:p>
            <w:pPr>
              <w:jc w:val="right"/>
              <w:spacing w:after="0"/>
              <w:rPr>
                <w:sz w:val="20"/>
                <w:szCs w:val="20"/>
                <w:color w:val="auto"/>
              </w:rPr>
            </w:pPr>
            <w:r>
              <w:rPr>
                <w:rFonts w:ascii="Arial" w:cs="Arial" w:eastAsia="Arial" w:hAnsi="Arial"/>
                <w:sz w:val="12"/>
                <w:szCs w:val="12"/>
                <w:color w:val="auto"/>
              </w:rPr>
              <w:t>5,526</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7,985</w:t>
            </w:r>
          </w:p>
        </w:tc>
      </w:tr>
      <w:tr>
        <w:trPr>
          <w:trHeight w:val="25"/>
        </w:trPr>
        <w:tc>
          <w:tcPr>
            <w:tcW w:w="7520" w:type="dxa"/>
            <w:vAlign w:val="bottom"/>
            <w:tcBorders>
              <w:left w:val="single" w:sz="8" w:color="auto"/>
            </w:tcBorders>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r>
      <w:tr>
        <w:trPr>
          <w:trHeight w:val="153"/>
        </w:trPr>
        <w:tc>
          <w:tcPr>
            <w:tcW w:w="58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Total operating expenses</w:t>
            </w:r>
          </w:p>
        </w:tc>
        <w:tc>
          <w:tcPr>
            <w:tcW w:w="17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20,508</w:t>
            </w:r>
          </w:p>
        </w:tc>
        <w:tc>
          <w:tcPr>
            <w:tcW w:w="3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28,548</w:t>
            </w:r>
          </w:p>
        </w:tc>
      </w:tr>
      <w:tr>
        <w:trPr>
          <w:trHeight w:val="25"/>
        </w:trPr>
        <w:tc>
          <w:tcPr>
            <w:tcW w:w="7520" w:type="dxa"/>
            <w:vAlign w:val="bottom"/>
            <w:tcBorders>
              <w:left w:val="single" w:sz="8" w:color="auto"/>
            </w:tcBorders>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r>
      <w:tr>
        <w:trPr>
          <w:trHeight w:val="153"/>
        </w:trPr>
        <w:tc>
          <w:tcPr>
            <w:tcW w:w="58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Operating loss</w:t>
            </w:r>
          </w:p>
        </w:tc>
        <w:tc>
          <w:tcPr>
            <w:tcW w:w="17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(20,508)</w:t>
            </w:r>
          </w:p>
        </w:tc>
        <w:tc>
          <w:tcPr>
            <w:tcW w:w="3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(28,548)</w:t>
            </w:r>
          </w:p>
        </w:tc>
      </w:tr>
      <w:tr>
        <w:trPr>
          <w:trHeight w:val="195"/>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Other income/(expense)</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192"/>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Benefit from R&amp;D tax credit</w:t>
            </w:r>
          </w:p>
        </w:tc>
        <w:tc>
          <w:tcPr>
            <w:tcW w:w="900" w:type="dxa"/>
            <w:vAlign w:val="bottom"/>
          </w:tcPr>
          <w:p>
            <w:pPr>
              <w:jc w:val="right"/>
              <w:spacing w:after="0"/>
              <w:rPr>
                <w:sz w:val="20"/>
                <w:szCs w:val="20"/>
                <w:color w:val="auto"/>
              </w:rPr>
            </w:pPr>
            <w:r>
              <w:rPr>
                <w:rFonts w:ascii="Arial" w:cs="Arial" w:eastAsia="Arial" w:hAnsi="Arial"/>
                <w:sz w:val="12"/>
                <w:szCs w:val="12"/>
                <w:color w:val="auto"/>
              </w:rPr>
              <w:t>5,409</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3,836</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Interest income</w:t>
            </w:r>
          </w:p>
        </w:tc>
        <w:tc>
          <w:tcPr>
            <w:tcW w:w="900" w:type="dxa"/>
            <w:vAlign w:val="bottom"/>
          </w:tcPr>
          <w:p>
            <w:pPr>
              <w:jc w:val="right"/>
              <w:spacing w:after="0"/>
              <w:rPr>
                <w:sz w:val="20"/>
                <w:szCs w:val="20"/>
                <w:color w:val="auto"/>
              </w:rPr>
            </w:pPr>
            <w:r>
              <w:rPr>
                <w:rFonts w:ascii="Arial" w:cs="Arial" w:eastAsia="Arial" w:hAnsi="Arial"/>
                <w:sz w:val="12"/>
                <w:szCs w:val="12"/>
                <w:color w:val="auto"/>
              </w:rPr>
              <w:t>165</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Interest expense</w:t>
            </w:r>
          </w:p>
        </w:tc>
        <w:tc>
          <w:tcPr>
            <w:tcW w:w="900" w:type="dxa"/>
            <w:vAlign w:val="bottom"/>
          </w:tcPr>
          <w:p>
            <w:pPr>
              <w:jc w:val="right"/>
              <w:spacing w:after="0"/>
              <w:rPr>
                <w:sz w:val="20"/>
                <w:szCs w:val="20"/>
                <w:color w:val="auto"/>
              </w:rPr>
            </w:pPr>
            <w:r>
              <w:rPr>
                <w:rFonts w:ascii="Arial" w:cs="Arial" w:eastAsia="Arial" w:hAnsi="Arial"/>
                <w:sz w:val="12"/>
                <w:szCs w:val="12"/>
                <w:color w:val="auto"/>
              </w:rPr>
              <w:t>(91)</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(85)</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Fair value movement on warrants</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2,711</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Foreign exchange (loss) / gain</w:t>
            </w:r>
          </w:p>
        </w:tc>
        <w:tc>
          <w:tcPr>
            <w:tcW w:w="900" w:type="dxa"/>
            <w:vAlign w:val="bottom"/>
          </w:tcPr>
          <w:p>
            <w:pPr>
              <w:jc w:val="right"/>
              <w:spacing w:after="0"/>
              <w:rPr>
                <w:sz w:val="20"/>
                <w:szCs w:val="20"/>
                <w:color w:val="auto"/>
              </w:rPr>
            </w:pPr>
            <w:r>
              <w:rPr>
                <w:rFonts w:ascii="Arial" w:cs="Arial" w:eastAsia="Arial" w:hAnsi="Arial"/>
                <w:sz w:val="12"/>
                <w:szCs w:val="12"/>
                <w:color w:val="auto"/>
              </w:rPr>
              <w:t>(2,662)</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40</w:t>
            </w:r>
          </w:p>
        </w:tc>
      </w:tr>
      <w:tr>
        <w:trPr>
          <w:trHeight w:val="25"/>
        </w:trPr>
        <w:tc>
          <w:tcPr>
            <w:tcW w:w="7520" w:type="dxa"/>
            <w:vAlign w:val="bottom"/>
            <w:tcBorders>
              <w:left w:val="single" w:sz="8" w:color="auto"/>
            </w:tcBorders>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r>
      <w:tr>
        <w:trPr>
          <w:trHeight w:val="153"/>
        </w:trPr>
        <w:tc>
          <w:tcPr>
            <w:tcW w:w="58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Total other income, net</w:t>
            </w:r>
          </w:p>
        </w:tc>
        <w:tc>
          <w:tcPr>
            <w:tcW w:w="17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2,821</w:t>
            </w:r>
          </w:p>
        </w:tc>
        <w:tc>
          <w:tcPr>
            <w:tcW w:w="3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6,505</w:t>
            </w:r>
          </w:p>
        </w:tc>
      </w:tr>
      <w:tr>
        <w:trPr>
          <w:trHeight w:val="25"/>
        </w:trPr>
        <w:tc>
          <w:tcPr>
            <w:tcW w:w="7520" w:type="dxa"/>
            <w:vAlign w:val="bottom"/>
            <w:tcBorders>
              <w:left w:val="single" w:sz="8" w:color="auto"/>
            </w:tcBorders>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53"/>
        </w:trPr>
        <w:tc>
          <w:tcPr>
            <w:tcW w:w="58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Loss before income taxes</w:t>
            </w:r>
          </w:p>
        </w:tc>
        <w:tc>
          <w:tcPr>
            <w:tcW w:w="17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(17,687)</w:t>
            </w:r>
          </w:p>
        </w:tc>
        <w:tc>
          <w:tcPr>
            <w:tcW w:w="3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(22,043)</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Income tax expense</w:t>
            </w:r>
          </w:p>
        </w:tc>
        <w:tc>
          <w:tcPr>
            <w:tcW w:w="900" w:type="dxa"/>
            <w:vAlign w:val="bottom"/>
          </w:tcPr>
          <w:p>
            <w:pPr>
              <w:jc w:val="right"/>
              <w:spacing w:after="0"/>
              <w:rPr>
                <w:sz w:val="20"/>
                <w:szCs w:val="20"/>
                <w:color w:val="auto"/>
              </w:rPr>
            </w:pPr>
            <w:r>
              <w:rPr>
                <w:rFonts w:ascii="Arial" w:cs="Arial" w:eastAsia="Arial" w:hAnsi="Arial"/>
                <w:sz w:val="12"/>
                <w:szCs w:val="12"/>
                <w:color w:val="auto"/>
              </w:rPr>
              <w:t>(79)</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(25)</w:t>
            </w:r>
          </w:p>
        </w:tc>
      </w:tr>
      <w:tr>
        <w:trPr>
          <w:trHeight w:val="25"/>
        </w:trPr>
        <w:tc>
          <w:tcPr>
            <w:tcW w:w="5820" w:type="dxa"/>
            <w:vAlign w:val="bottom"/>
            <w:tcBorders>
              <w:lef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196"/>
        </w:trPr>
        <w:tc>
          <w:tcPr>
            <w:tcW w:w="58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Net loss</w:t>
            </w:r>
          </w:p>
        </w:tc>
        <w:tc>
          <w:tcPr>
            <w:tcW w:w="1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(17,766)</w:t>
            </w:r>
          </w:p>
        </w:tc>
        <w:tc>
          <w:tcPr>
            <w:tcW w:w="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 (22,068)</w:t>
            </w:r>
          </w:p>
        </w:tc>
      </w:tr>
      <w:tr>
        <w:trPr>
          <w:trHeight w:val="351"/>
        </w:trPr>
        <w:tc>
          <w:tcPr>
            <w:tcW w:w="752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3"/>
                <w:szCs w:val="13"/>
                <w:color w:val="auto"/>
              </w:rPr>
              <w:t>Weighted-average shares outstanding – basic and diluted</w:t>
            </w:r>
          </w:p>
        </w:tc>
        <w:tc>
          <w:tcPr>
            <w:tcW w:w="900" w:type="dxa"/>
            <w:vAlign w:val="bottom"/>
          </w:tcPr>
          <w:p>
            <w:pPr>
              <w:jc w:val="right"/>
              <w:spacing w:after="0"/>
              <w:rPr>
                <w:sz w:val="20"/>
                <w:szCs w:val="20"/>
                <w:color w:val="auto"/>
              </w:rPr>
            </w:pPr>
            <w:r>
              <w:rPr>
                <w:rFonts w:ascii="Arial" w:cs="Arial" w:eastAsia="Arial" w:hAnsi="Arial"/>
                <w:sz w:val="12"/>
                <w:szCs w:val="12"/>
                <w:color w:val="auto"/>
              </w:rPr>
              <w:t>484,777,837</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470,786,767</w:t>
            </w:r>
          </w:p>
        </w:tc>
      </w:tr>
      <w:tr>
        <w:trPr>
          <w:trHeight w:val="198"/>
        </w:trPr>
        <w:tc>
          <w:tcPr>
            <w:tcW w:w="752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3"/>
                <w:szCs w:val="13"/>
                <w:color w:val="auto"/>
              </w:rPr>
              <w:t>Loss per ordinary share – basic and diluted</w:t>
            </w:r>
          </w:p>
        </w:tc>
        <w:tc>
          <w:tcPr>
            <w:tcW w:w="900" w:type="dxa"/>
            <w:vAlign w:val="bottom"/>
          </w:tcPr>
          <w:p>
            <w:pPr>
              <w:jc w:val="right"/>
              <w:spacing w:after="0"/>
              <w:rPr>
                <w:sz w:val="20"/>
                <w:szCs w:val="20"/>
                <w:color w:val="auto"/>
              </w:rPr>
            </w:pPr>
            <w:r>
              <w:rPr>
                <w:rFonts w:ascii="Arial" w:cs="Arial" w:eastAsia="Arial" w:hAnsi="Arial"/>
                <w:sz w:val="12"/>
                <w:szCs w:val="12"/>
                <w:color w:val="auto"/>
              </w:rPr>
              <w:t>$ (0.04)</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 (0.05)</w:t>
            </w:r>
          </w:p>
        </w:tc>
      </w:tr>
      <w:tr>
        <w:trPr>
          <w:trHeight w:val="32"/>
        </w:trPr>
        <w:tc>
          <w:tcPr>
            <w:tcW w:w="5820" w:type="dxa"/>
            <w:vAlign w:val="bottom"/>
            <w:tcBorders>
              <w:lef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317"/>
        </w:trPr>
        <w:tc>
          <w:tcPr>
            <w:tcW w:w="5820" w:type="dxa"/>
            <w:vAlign w:val="bottom"/>
            <w:tcBorders>
              <w:left w:val="single" w:sz="8" w:color="auto"/>
            </w:tcBorders>
          </w:tcPr>
          <w:p>
            <w:pPr>
              <w:spacing w:after="0"/>
              <w:rPr>
                <w:sz w:val="24"/>
                <w:szCs w:val="24"/>
                <w:color w:val="auto"/>
              </w:rPr>
            </w:pPr>
          </w:p>
        </w:tc>
        <w:tc>
          <w:tcPr>
            <w:tcW w:w="1700" w:type="dxa"/>
            <w:vAlign w:val="bottom"/>
          </w:tcPr>
          <w:p>
            <w:pPr>
              <w:ind w:left="1080"/>
              <w:spacing w:after="0"/>
              <w:rPr>
                <w:sz w:val="20"/>
                <w:szCs w:val="20"/>
                <w:color w:val="auto"/>
              </w:rPr>
            </w:pPr>
            <w:r>
              <w:rPr>
                <w:rFonts w:ascii="Arial" w:cs="Arial" w:eastAsia="Arial" w:hAnsi="Arial"/>
                <w:sz w:val="12"/>
                <w:szCs w:val="12"/>
                <w:color w:val="auto"/>
              </w:rPr>
              <w:t>June 30</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Borders>
              <w:right w:val="single" w:sz="8" w:color="auto"/>
            </w:tcBorders>
          </w:tcPr>
          <w:p>
            <w:pPr>
              <w:jc w:val="right"/>
              <w:ind w:right="980"/>
              <w:spacing w:after="0"/>
              <w:rPr>
                <w:sz w:val="20"/>
                <w:szCs w:val="20"/>
                <w:color w:val="auto"/>
              </w:rPr>
            </w:pPr>
            <w:r>
              <w:rPr>
                <w:rFonts w:ascii="Arial" w:cs="Arial" w:eastAsia="Arial" w:hAnsi="Arial"/>
                <w:sz w:val="12"/>
                <w:szCs w:val="12"/>
                <w:color w:val="auto"/>
              </w:rPr>
              <w:t>March 31</w:t>
            </w:r>
          </w:p>
        </w:tc>
      </w:tr>
      <w:tr>
        <w:trPr>
          <w:trHeight w:val="162"/>
        </w:trPr>
        <w:tc>
          <w:tcPr>
            <w:tcW w:w="7520" w:type="dxa"/>
            <w:vAlign w:val="bottom"/>
            <w:tcBorders>
              <w:left w:val="single" w:sz="8" w:color="auto"/>
            </w:tcBorders>
            <w:gridSpan w:val="2"/>
          </w:tcPr>
          <w:p>
            <w:pPr>
              <w:jc w:val="center"/>
              <w:ind w:left="6639"/>
              <w:spacing w:after="0"/>
              <w:rPr>
                <w:sz w:val="20"/>
                <w:szCs w:val="20"/>
                <w:color w:val="auto"/>
              </w:rPr>
            </w:pPr>
            <w:r>
              <w:rPr>
                <w:rFonts w:ascii="Arial" w:cs="Arial" w:eastAsia="Arial" w:hAnsi="Arial"/>
                <w:sz w:val="12"/>
                <w:szCs w:val="12"/>
                <w:color w:val="auto"/>
                <w:w w:val="97"/>
              </w:rPr>
              <w:t>2022</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tcBorders>
              <w:right w:val="single" w:sz="8" w:color="auto"/>
            </w:tcBorders>
          </w:tcPr>
          <w:p>
            <w:pPr>
              <w:jc w:val="center"/>
              <w:ind w:right="760"/>
              <w:spacing w:after="0"/>
              <w:rPr>
                <w:sz w:val="20"/>
                <w:szCs w:val="20"/>
                <w:color w:val="auto"/>
              </w:rPr>
            </w:pPr>
            <w:r>
              <w:rPr>
                <w:rFonts w:ascii="Arial" w:cs="Arial" w:eastAsia="Arial" w:hAnsi="Arial"/>
                <w:sz w:val="12"/>
                <w:szCs w:val="12"/>
                <w:color w:val="auto"/>
                <w:w w:val="97"/>
              </w:rPr>
              <w:t>2022</w:t>
            </w:r>
          </w:p>
        </w:tc>
      </w:tr>
      <w:tr>
        <w:trPr>
          <w:trHeight w:val="34"/>
        </w:trPr>
        <w:tc>
          <w:tcPr>
            <w:tcW w:w="5820" w:type="dxa"/>
            <w:vAlign w:val="bottom"/>
            <w:tcBorders>
              <w:lef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351"/>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Cash and cash equivalents</w:t>
            </w:r>
          </w:p>
        </w:tc>
        <w:tc>
          <w:tcPr>
            <w:tcW w:w="900" w:type="dxa"/>
            <w:vAlign w:val="bottom"/>
          </w:tcPr>
          <w:p>
            <w:pPr>
              <w:jc w:val="right"/>
              <w:spacing w:after="0"/>
              <w:rPr>
                <w:sz w:val="20"/>
                <w:szCs w:val="20"/>
                <w:color w:val="auto"/>
              </w:rPr>
            </w:pPr>
            <w:r>
              <w:rPr>
                <w:rFonts w:ascii="Arial" w:cs="Arial" w:eastAsia="Arial" w:hAnsi="Arial"/>
                <w:sz w:val="12"/>
                <w:szCs w:val="12"/>
                <w:color w:val="auto"/>
              </w:rPr>
              <w:t>$ 111,510</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$ 132,764</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Total assets</w:t>
            </w:r>
          </w:p>
        </w:tc>
        <w:tc>
          <w:tcPr>
            <w:tcW w:w="900" w:type="dxa"/>
            <w:vAlign w:val="bottom"/>
          </w:tcPr>
          <w:p>
            <w:pPr>
              <w:jc w:val="right"/>
              <w:spacing w:after="0"/>
              <w:rPr>
                <w:sz w:val="20"/>
                <w:szCs w:val="20"/>
                <w:color w:val="auto"/>
              </w:rPr>
            </w:pPr>
            <w:r>
              <w:rPr>
                <w:rFonts w:ascii="Arial" w:cs="Arial" w:eastAsia="Arial" w:hAnsi="Arial"/>
                <w:sz w:val="12"/>
                <w:szCs w:val="12"/>
                <w:color w:val="auto"/>
              </w:rPr>
              <w:t>$ 154,856</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$ 169,315</w:t>
            </w:r>
          </w:p>
        </w:tc>
      </w:tr>
      <w:tr>
        <w:trPr>
          <w:trHeight w:val="189"/>
        </w:trPr>
        <w:tc>
          <w:tcPr>
            <w:tcW w:w="75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Equity</w:t>
            </w:r>
          </w:p>
        </w:tc>
        <w:tc>
          <w:tcPr>
            <w:tcW w:w="900" w:type="dxa"/>
            <w:vAlign w:val="bottom"/>
          </w:tcPr>
          <w:p>
            <w:pPr>
              <w:jc w:val="right"/>
              <w:spacing w:after="0"/>
              <w:rPr>
                <w:sz w:val="20"/>
                <w:szCs w:val="20"/>
                <w:color w:val="auto"/>
              </w:rPr>
            </w:pPr>
            <w:r>
              <w:rPr>
                <w:rFonts w:ascii="Arial" w:cs="Arial" w:eastAsia="Arial" w:hAnsi="Arial"/>
                <w:sz w:val="12"/>
                <w:szCs w:val="12"/>
                <w:color w:val="auto"/>
              </w:rPr>
              <w:t>$ 110,880</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$ 126,307</w:t>
            </w:r>
          </w:p>
        </w:tc>
      </w:tr>
      <w:tr>
        <w:trPr>
          <w:trHeight w:val="214"/>
        </w:trPr>
        <w:tc>
          <w:tcPr>
            <w:tcW w:w="5820" w:type="dxa"/>
            <w:vAlign w:val="bottom"/>
            <w:tcBorders>
              <w:left w:val="single" w:sz="8" w:color="auto"/>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ectPr>
          <w:pgSz w:w="11900" w:h="16838" w:orient="portrait"/>
          <w:cols w:equalWidth="0" w:num="1">
            <w:col w:w="11300"/>
          </w:cols>
          <w:pgMar w:left="300" w:top="1003" w:right="29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3657600</wp:posOffset>
            </wp:positionV>
            <wp:extent cx="713041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2022-08-09T07:19:47Z</dcterms:created>
  <dcterms:modified xsi:type="dcterms:W3CDTF">2022-08-09T07:19:47Z</dcterms:modified>
</cp:coreProperties>
</file>