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0"/>
          <w:szCs w:val="40"/>
          <w:b w:val="1"/>
          <w:bCs w:val="1"/>
          <w:color w:val="auto"/>
        </w:rPr>
        <w:t>Verona Pharma plc</w:t>
      </w:r>
    </w:p>
    <w:p>
      <w:pPr>
        <w:spacing w:after="0" w:line="4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July 17, 2024</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984" w:right="8780" w:firstLine="7"/>
        <w:spacing w:after="0" w:line="226" w:lineRule="exact"/>
        <w:tabs>
          <w:tab w:leader="none" w:pos="1191"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1204" w:hanging="213"/>
        <w:spacing w:after="0"/>
        <w:tabs>
          <w:tab w:leader="none" w:pos="120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32" w:lineRule="exact"/>
        <w:rPr>
          <w:rFonts w:ascii="MS PGothic" w:cs="MS PGothic" w:eastAsia="MS PGothic" w:hAnsi="MS PGothic"/>
          <w:sz w:val="18"/>
          <w:szCs w:val="18"/>
          <w:color w:val="auto"/>
        </w:rPr>
      </w:pPr>
    </w:p>
    <w:p>
      <w:pPr>
        <w:ind w:left="424" w:right="40" w:hanging="432"/>
        <w:spacing w:after="0" w:line="261"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424" w:hanging="424"/>
        <w:spacing w:after="0" w:line="26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is for the American Depositary Shares that trade on the NASDAQ Global Market, each representing eight ordinary shares. No CUSIP number has been assigned to the ordinary shares.</w:t>
      </w:r>
    </w:p>
    <w:p>
      <w:pPr>
        <w:spacing w:after="0" w:line="181" w:lineRule="exact"/>
        <w:rPr>
          <w:sz w:val="24"/>
          <w:szCs w:val="24"/>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376"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266"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Advisors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5,118,145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4" w:hanging="81"/>
        <w:spacing w:after="0"/>
        <w:tabs>
          <w:tab w:leader="none" w:pos="1944"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5,118,145 (1)</w:t>
      </w:r>
    </w:p>
    <w:p>
      <w:pPr>
        <w:spacing w:after="0" w:line="59" w:lineRule="exact"/>
        <w:rPr>
          <w:rFonts w:ascii="Times New Roman" w:cs="Times New Roman" w:eastAsia="Times New Roman" w:hAnsi="Times New Roman"/>
          <w:sz w:val="16"/>
          <w:szCs w:val="16"/>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5,118,145 (1)</w:t>
      </w:r>
    </w:p>
    <w:p>
      <w:pPr>
        <w:spacing w:after="0" w:line="36" w:lineRule="exact"/>
        <w:rPr>
          <w:sz w:val="20"/>
          <w:szCs w:val="20"/>
          <w:color w:val="auto"/>
        </w:rPr>
      </w:pPr>
    </w:p>
    <w:p>
      <w:pPr>
        <w:ind w:left="524" w:hanging="367"/>
        <w:spacing w:after="0"/>
        <w:tabs>
          <w:tab w:leader="none" w:pos="5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79"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4,618,145 American Depositary Shares (“ADSs”) representing 36,945,160 Ordinary Shares of the Issuer and (ii) 500,000 ADS issuable upon exercise of options held by the Reporting Persons representing 4,000,000 Ordinary Shares of the Issuer. Each ADS represents eight Ordinary Shares.</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925050106**</w:t>
      </w:r>
    </w:p>
    <w:p>
      <w:pPr>
        <w:spacing w:after="0" w:line="266" w:lineRule="exact"/>
        <w:rPr>
          <w:sz w:val="20"/>
          <w:szCs w:val="20"/>
          <w:color w:val="auto"/>
        </w:rPr>
      </w:pP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Edelman</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864" w:hanging="312"/>
        <w:spacing w:after="0"/>
        <w:tabs>
          <w:tab w:leader="none" w:pos="18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5,118,145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4" w:hanging="81"/>
        <w:spacing w:after="0"/>
        <w:tabs>
          <w:tab w:leader="none" w:pos="1944"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5,118,145 (1)</w:t>
      </w:r>
    </w:p>
    <w:p>
      <w:pPr>
        <w:spacing w:after="0" w:line="59" w:lineRule="exact"/>
        <w:rPr>
          <w:rFonts w:ascii="Times New Roman" w:cs="Times New Roman" w:eastAsia="Times New Roman" w:hAnsi="Times New Roman"/>
          <w:sz w:val="16"/>
          <w:szCs w:val="16"/>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5,118,145 (1)</w:t>
      </w:r>
    </w:p>
    <w:p>
      <w:pPr>
        <w:spacing w:after="0" w:line="36" w:lineRule="exact"/>
        <w:rPr>
          <w:sz w:val="20"/>
          <w:szCs w:val="20"/>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4,618,145 ADSs representing 36,945,160 Ordinary Shares of the Issuer and (ii) 500,000 ADS issuable upon exercise of options held by the Reporting Persons representing 4,000,000 Ordinary Shares of the Issuer. Each ADS represents eight Ordinary Shares.</w:t>
      </w:r>
    </w:p>
    <w:p>
      <w:pPr>
        <w:sectPr>
          <w:pgSz w:w="11900" w:h="16838" w:orient="portrait"/>
          <w:cols w:equalWidth="0" w:num="1">
            <w:col w:w="11004"/>
          </w:cols>
          <w:pgMar w:left="436"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266" w:lineRule="exact"/>
        <w:rPr>
          <w:sz w:val="20"/>
          <w:szCs w:val="20"/>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Life Sciences Master Fund, Ltd.</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864" w:hanging="312"/>
        <w:spacing w:after="0"/>
        <w:tabs>
          <w:tab w:leader="none" w:pos="18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5,118,145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4" w:hanging="81"/>
        <w:spacing w:after="0"/>
        <w:tabs>
          <w:tab w:leader="none" w:pos="1944" w:val="left"/>
        </w:tabs>
        <w:numPr>
          <w:ilvl w:val="2"/>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5,118,145 (1)</w:t>
      </w:r>
    </w:p>
    <w:p>
      <w:pPr>
        <w:spacing w:after="0" w:line="59" w:lineRule="exact"/>
        <w:rPr>
          <w:rFonts w:ascii="Times New Roman" w:cs="Times New Roman" w:eastAsia="Times New Roman" w:hAnsi="Times New Roman"/>
          <w:sz w:val="16"/>
          <w:szCs w:val="16"/>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5,118,145 (1)</w:t>
      </w:r>
    </w:p>
    <w:p>
      <w:pPr>
        <w:spacing w:after="0" w:line="36" w:lineRule="exact"/>
        <w:rPr>
          <w:sz w:val="20"/>
          <w:szCs w:val="20"/>
          <w:color w:val="auto"/>
        </w:rPr>
      </w:pPr>
    </w:p>
    <w:p>
      <w:pPr>
        <w:ind w:left="524" w:hanging="367"/>
        <w:spacing w:after="0"/>
        <w:tabs>
          <w:tab w:leader="none" w:pos="5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4,618,145 ADSs representing 36,945,160 Ordinary Shares of the Issuer and (ii) 500,000 ADS issuable upon exercise of options held by the Reporting Persons representing 4,000,000 Ordinary Shares of the Issuer. Each ADS represents eight Ordinary Shares.</w:t>
      </w:r>
    </w:p>
    <w:p>
      <w:pPr>
        <w:sectPr>
          <w:pgSz w:w="11900" w:h="16838" w:orient="portrait"/>
          <w:cols w:equalWidth="0" w:num="1">
            <w:col w:w="11004"/>
          </w:cols>
          <w:pgMar w:left="436" w:top="270" w:right="45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Verona Pharma plc (the “Issuer”)</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More London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Riverside London SE1 2RE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United Kingdom</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LLC (“Perceptive Advisors”)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Joseph Edelman (“Mr. Edelman”)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Life Sciences Master Fund, Ltd. (the “Master Fund”)</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is a Delaware limited liability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Mr. Edelman is a United States citizen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Master Fund is a Cayman Islands corporation</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Ordinary shares, nominal value £0.05 per share (“Ordinary Shares”)</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925050106</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CUSIP number is for the American Depositary Shares (“ADSs”) that trade on the NASDAQ Global Market, each representing eight Ordinary Shares. No CUSIP number has been assigned to the Ordinary Shares.</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40"/>
          </w:cols>
          <w:pgMar w:left="440" w:top="266" w:right="61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right="1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 The ownership percentages are based on 648,654,174 outstanding Ordinary Shares, which if all held in ADS form, would be represented by 81,081,772 ADSs, as reported in the Issuer’s Form 10-Q filed on May 10, 2024.</w:t>
      </w:r>
    </w:p>
    <w:p>
      <w:pPr>
        <w:spacing w:after="0" w:line="176" w:lineRule="exact"/>
        <w:rPr>
          <w:sz w:val="20"/>
          <w:szCs w:val="20"/>
          <w:color w:val="auto"/>
        </w:rPr>
      </w:pPr>
    </w:p>
    <w:p>
      <w:pPr>
        <w:ind w:left="980" w:right="160"/>
        <w:spacing w:after="0" w:line="261" w:lineRule="auto"/>
        <w:rPr>
          <w:sz w:val="20"/>
          <w:szCs w:val="20"/>
          <w:color w:val="auto"/>
        </w:rPr>
      </w:pPr>
      <w:r>
        <w:rPr>
          <w:rFonts w:ascii="Times New Roman" w:cs="Times New Roman" w:eastAsia="Times New Roman" w:hAnsi="Times New Roman"/>
          <w:sz w:val="18"/>
          <w:szCs w:val="18"/>
          <w:color w:val="auto"/>
        </w:rPr>
        <w:t>Neither Perceptive Advisors nor Mr. Edelman directly holds any Ordinary Shares. The Master Fund directly holds (i) 4,618,145 ADSs representing 36,945,160 Ordinary Shares, and (ii) 500,000 ADS issuable upon exercise of options held by the Master Fund representing 4,000,000 Ordinary Shares. Each ADS represents eight Ordinary Shares. Perceptive Advisors serves as the investment manager to the Master Fund. Mr. Edelman is the managing member of Perceptive Advisors.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0"/>
        </w:trPr>
        <w:tc>
          <w:tcPr>
            <w:tcW w:w="98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w:t>
            </w:r>
          </w:p>
        </w:tc>
      </w:tr>
      <w:tr>
        <w:trPr>
          <w:trHeight w:val="303"/>
        </w:trPr>
        <w:tc>
          <w:tcPr>
            <w:tcW w:w="980" w:type="dxa"/>
            <w:vAlign w:val="bottom"/>
          </w:tcPr>
          <w:p>
            <w:pPr>
              <w:spacing w:after="0"/>
              <w:rPr>
                <w:sz w:val="24"/>
                <w:szCs w:val="24"/>
                <w:color w:val="auto"/>
              </w:rPr>
            </w:pPr>
          </w:p>
        </w:tc>
        <w:tc>
          <w:tcPr>
            <w:tcW w:w="996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5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345"/>
        </w:trPr>
        <w:tc>
          <w:tcPr>
            <w:tcW w:w="980" w:type="dxa"/>
            <w:vAlign w:val="bottom"/>
          </w:tcPr>
          <w:p>
            <w:pPr>
              <w:spacing w:after="0"/>
              <w:rPr>
                <w:sz w:val="24"/>
                <w:szCs w:val="24"/>
                <w:color w:val="auto"/>
              </w:rPr>
            </w:pPr>
          </w:p>
        </w:tc>
        <w:tc>
          <w:tcPr>
            <w:tcW w:w="5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820" w:type="dxa"/>
            <w:vAlign w:val="bottom"/>
            <w:gridSpan w:val="2"/>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c>
          <w:tcPr>
            <w:tcW w:w="6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344"/>
        </w:trPr>
        <w:tc>
          <w:tcPr>
            <w:tcW w:w="980" w:type="dxa"/>
            <w:vAlign w:val="bottom"/>
          </w:tcPr>
          <w:p>
            <w:pPr>
              <w:spacing w:after="0"/>
              <w:rPr>
                <w:sz w:val="24"/>
                <w:szCs w:val="24"/>
                <w:color w:val="auto"/>
              </w:rPr>
            </w:pPr>
          </w:p>
        </w:tc>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780" w:type="dxa"/>
            <w:vAlign w:val="bottom"/>
            <w:gridSpan w:val="6"/>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345"/>
        </w:trPr>
        <w:tc>
          <w:tcPr>
            <w:tcW w:w="980" w:type="dxa"/>
            <w:vAlign w:val="bottom"/>
          </w:tcPr>
          <w:p>
            <w:pPr>
              <w:spacing w:after="0"/>
              <w:rPr>
                <w:sz w:val="24"/>
                <w:szCs w:val="24"/>
                <w:color w:val="auto"/>
              </w:rPr>
            </w:pPr>
          </w:p>
        </w:tc>
        <w:tc>
          <w:tcPr>
            <w:tcW w:w="44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500" w:type="dxa"/>
            <w:vAlign w:val="bottom"/>
            <w:gridSpan w:val="3"/>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345"/>
        </w:trPr>
        <w:tc>
          <w:tcPr>
            <w:tcW w:w="980" w:type="dxa"/>
            <w:vAlign w:val="bottom"/>
          </w:tcPr>
          <w:p>
            <w:pPr>
              <w:spacing w:after="0"/>
              <w:rPr>
                <w:sz w:val="24"/>
                <w:szCs w:val="24"/>
                <w:color w:val="auto"/>
              </w:rPr>
            </w:pPr>
          </w:p>
        </w:tc>
        <w:tc>
          <w:tcPr>
            <w:tcW w:w="2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20" w:type="dxa"/>
            <w:vAlign w:val="bottom"/>
            <w:gridSpan w:val="5"/>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980" w:type="dxa"/>
            <w:vAlign w:val="bottom"/>
            <w:gridSpan w:val="7"/>
          </w:tcPr>
          <w:p>
            <w:pPr>
              <w:spacing w:after="0" w:line="20" w:lineRule="exact"/>
              <w:rPr>
                <w:sz w:val="1"/>
                <w:szCs w:val="1"/>
                <w:color w:val="auto"/>
              </w:rPr>
            </w:pPr>
          </w:p>
        </w:tc>
      </w:tr>
      <w:tr>
        <w:trPr>
          <w:trHeight w:val="326"/>
        </w:trPr>
        <w:tc>
          <w:tcPr>
            <w:tcW w:w="98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By signing below I certify that, to the best of my knowledge and belief, the securities referred to above were not acquired and are not held</w:t>
            </w:r>
          </w:p>
        </w:tc>
      </w:tr>
      <w:tr>
        <w:trPr>
          <w:trHeight w:val="216"/>
        </w:trPr>
        <w:tc>
          <w:tcPr>
            <w:tcW w:w="98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 the purpose of or with the effect of changing or influencing the control of the issuer of the securities and were not acquired and are not</w:t>
            </w:r>
          </w:p>
        </w:tc>
      </w:tr>
      <w:tr>
        <w:trPr>
          <w:trHeight w:val="216"/>
        </w:trPr>
        <w:tc>
          <w:tcPr>
            <w:tcW w:w="98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held in connection with or as a participant in any transaction having that purpose or effect, other than activities solely in connection with a</w:t>
            </w:r>
          </w:p>
        </w:tc>
      </w:tr>
      <w:tr>
        <w:trPr>
          <w:trHeight w:val="234"/>
        </w:trPr>
        <w:tc>
          <w:tcPr>
            <w:tcW w:w="980" w:type="dxa"/>
            <w:vAlign w:val="bottom"/>
          </w:tcPr>
          <w:p>
            <w:pPr>
              <w:spacing w:after="0"/>
              <w:rPr>
                <w:sz w:val="20"/>
                <w:szCs w:val="20"/>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nomination under § 240.14a-11.</w:t>
            </w:r>
          </w:p>
        </w:tc>
      </w:tr>
    </w:tbl>
    <w:p>
      <w:pPr>
        <w:sectPr>
          <w:pgSz w:w="11900" w:h="16838" w:orient="portrait"/>
          <w:cols w:equalWidth="0" w:num="1">
            <w:col w:w="10940"/>
          </w:cols>
          <w:pgMar w:left="440" w:top="266" w:right="519" w:bottom="1440" w:gutter="0" w:footer="0" w:header="0"/>
        </w:sectPr>
      </w:pPr>
    </w:p>
    <w:bookmarkStart w:id="6" w:name="page7"/>
    <w:bookmarkEnd w:id="6"/>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Member</w:t>
      </w:r>
    </w:p>
    <w:p>
      <w:pPr>
        <w:sectPr>
          <w:pgSz w:w="11900" w:h="16838" w:orient="portrait"/>
          <w:cols w:equalWidth="0" w:num="1">
            <w:col w:w="10320"/>
          </w:cols>
          <w:pgMar w:left="440" w:top="270" w:right="11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Member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 "/>
      <w:numFmt w:val="bullet"/>
      <w:start w:val="1"/>
    </w:lvl>
    <w:lvl w:ilvl="1">
      <w:lvlJc w:val="left"/>
      <w:lvlText w:val=" "/>
      <w:numFmt w:val="bullet"/>
      <w:start w:val="1"/>
    </w:lvl>
  </w:abstractNum>
  <w:abstractNum w:abstractNumId="3">
    <w:nsid w:val="1190CDE7"/>
    <w:multiLevelType w:val="hybridMultilevel"/>
    <w:lvl w:ilvl="0">
      <w:lvlJc w:val="left"/>
      <w:lvlText w:val=" "/>
      <w:numFmt w:val="bullet"/>
      <w:start w:val="1"/>
    </w:lvl>
  </w:abstractNum>
  <w:abstractNum w:abstractNumId="4">
    <w:nsid w:val="66EF438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140E0F76"/>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6">
    <w:nsid w:val="3352255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7">
    <w:nsid w:val="109CF92E"/>
    <w:multiLevelType w:val="hybridMultilevel"/>
    <w:lvl w:ilvl="0">
      <w:lvlJc w:val="left"/>
      <w:lvlText w:val=" "/>
      <w:numFmt w:val="bullet"/>
      <w:start w:val="1"/>
    </w:lvl>
    <w:lvl w:ilvl="1">
      <w:lvlJc w:val="left"/>
      <w:lvlText w:val=" "/>
      <w:numFmt w:val="bullet"/>
      <w:start w:val="1"/>
    </w:lvl>
  </w:abstractNum>
  <w:abstractNum w:abstractNumId="8">
    <w:nsid w:val="DED7263"/>
    <w:multiLevelType w:val="hybridMultilevel"/>
    <w:lvl w:ilvl="0">
      <w:lvlJc w:val="left"/>
      <w:lvlText w:val=" "/>
      <w:numFmt w:val="bullet"/>
      <w:start w:val="1"/>
    </w:lvl>
  </w:abstractNum>
  <w:abstractNum w:abstractNumId="9">
    <w:nsid w:val="7FDCC233"/>
    <w:multiLevelType w:val="hybridMultilevel"/>
    <w:lvl w:ilvl="0">
      <w:lvlJc w:val="left"/>
      <w:lvlText w:val="5"/>
      <w:numFmt w:val="bullet"/>
      <w:start w:val="1"/>
    </w:lvl>
  </w:abstractNum>
  <w:abstractNum w:abstractNumId="10">
    <w:nsid w:val="1BEFD79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41A7C4C9"/>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2">
    <w:nsid w:val="6B68079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4E6AFB66"/>
    <w:multiLevelType w:val="hybridMultilevel"/>
    <w:lvl w:ilvl="0">
      <w:lvlJc w:val="left"/>
      <w:lvlText w:val=" "/>
      <w:numFmt w:val="bullet"/>
      <w:start w:val="1"/>
    </w:lvl>
    <w:lvl w:ilvl="1">
      <w:lvlJc w:val="left"/>
      <w:lvlText w:val=" "/>
      <w:numFmt w:val="bullet"/>
      <w:start w:val="1"/>
    </w:lvl>
  </w:abstractNum>
  <w:abstractNum w:abstractNumId="14">
    <w:nsid w:val="25E45D32"/>
    <w:multiLevelType w:val="hybridMultilevel"/>
    <w:lvl w:ilvl="0">
      <w:lvlJc w:val="left"/>
      <w:lvlText w:val=" "/>
      <w:numFmt w:val="bullet"/>
      <w:start w:val="1"/>
    </w:lvl>
  </w:abstractNum>
  <w:abstractNum w:abstractNumId="15">
    <w:nsid w:val="519B500D"/>
    <w:multiLevelType w:val="hybridMultilevel"/>
    <w:lvl w:ilvl="0">
      <w:lvlJc w:val="left"/>
      <w:lvlText w:val="5"/>
      <w:numFmt w:val="bullet"/>
      <w:start w:val="1"/>
    </w:lvl>
  </w:abstractNum>
  <w:abstractNum w:abstractNumId="16">
    <w:nsid w:val="431BD7B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7">
    <w:nsid w:val="3F2DBA31"/>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8">
    <w:nsid w:val="7C83E458"/>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2024-07-29T20:47:26Z</dcterms:created>
  <dcterms:modified xsi:type="dcterms:W3CDTF">2024-07-29T20:47:26Z</dcterms:modified>
</cp:coreProperties>
</file>