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Verona Pharma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 nominal value 0.05 GBP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925050106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925050106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Maverick Capital,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TEXAS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25,028,128.00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25,028,128.00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25,028,128.00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925050106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Maverick Capital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TEXAS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25,028,128.00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25,028,128.00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25,028,128.00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3.8 %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925050106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Lee S. Ainslie III</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25,028,128.00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25,028,128.00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25,028,128.00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Verona Pharma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3739"/>
        <w:spacing w:after="0"/>
        <w:rPr>
          <w:sz w:val="20"/>
          <w:szCs w:val="20"/>
          <w:color w:val="auto"/>
        </w:rPr>
      </w:pPr>
      <w:r>
        <w:rPr>
          <w:rFonts w:ascii="Times New Roman" w:cs="Times New Roman" w:eastAsia="Times New Roman" w:hAnsi="Times New Roman"/>
          <w:sz w:val="22"/>
          <w:szCs w:val="22"/>
          <w:color w:val="auto"/>
        </w:rPr>
        <w:t>3 More London Riverside, London SE1 2RE, United Kingdom</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hanging="912"/>
        <w:spacing w:after="0" w:line="193" w:lineRule="auto"/>
        <w:tabs>
          <w:tab w:leader="none" w:pos="920" w:val="left"/>
        </w:tabs>
        <w:numPr>
          <w:ilvl w:val="0"/>
          <w:numId w:val="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This Schedule 13G (the "Schedule 13G") is being filed on behalf of each of the following persons (each, a "Reporting Person"): (i) Maverick Capital, Ltd. ("Maverick"); (ii) Maverick Capital Management, LLC ("Maverick Capital Management"); and (iii) Lee S. Ainslie III ("Mr. Ainslie"). This Schedule 13G relates to Ordinary Shares (as defined herein) held for the accounts of Maverick's clients.</w:t>
      </w:r>
    </w:p>
    <w:p>
      <w:pPr>
        <w:spacing w:after="0" w:line="18"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43"/>
          <w:szCs w:val="43"/>
          <w:color w:val="auto"/>
          <w:vertAlign w:val="subscript"/>
        </w:rPr>
      </w:pPr>
    </w:p>
    <w:p>
      <w:pPr>
        <w:jc w:val="both"/>
        <w:ind w:left="920" w:right="460" w:hanging="912"/>
        <w:spacing w:after="0" w:line="24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address of the principal business office of (i) Maverick and Maverick Capital Management is 1900 N. Pearl Street, 20th Floor, Dallas, Texas 75201, and (ii) Mr. Ainslie is 360 South Rosemary Ave., Suite 1440, West Palm Beach, Florida 33401.</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22"/>
          <w:szCs w:val="22"/>
          <w:color w:val="auto"/>
        </w:rPr>
      </w:pPr>
    </w:p>
    <w:p>
      <w:pPr>
        <w:ind w:left="920" w:right="20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(i) Maverick is a Texas limited partnership; (ii) Maverick Capital Management is a Texas limited liability company; and (iii) Mr. Ainslie is a United States citizen.</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Ordinary Shares, nominal value 0.05 GBP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925050106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line="244" w:lineRule="auto"/>
        <w:rPr>
          <w:sz w:val="20"/>
          <w:szCs w:val="20"/>
          <w:color w:val="auto"/>
        </w:rPr>
      </w:pPr>
      <w:r>
        <w:rPr>
          <w:rFonts w:ascii="Times New Roman" w:cs="Times New Roman" w:eastAsia="Times New Roman" w:hAnsi="Times New Roman"/>
          <w:sz w:val="21"/>
          <w:szCs w:val="21"/>
          <w:color w:val="auto"/>
        </w:rPr>
        <w:t>Ownership as of December 31, 2024 is incorporated by reference to items (5) - (9) and (11) of the cover page of the Reporting Persons. The Ordinary Shares, nominal value 0.05 GBP per share (the "Ordinary Shares"), of Verona Pharma Plc (the "Issuer") are held in the form of 3,128,516 American Depositary Shares, with each ADS representing eight Ordinary Shares. The ownership percentages are based on 654,649,358 outstanding Ordinary Shares, which if all held in ADS form would be represented by 81,831,170 ADSs, as reported in the Issuer's Quarterly Report on Form 10-Q filed with the Securities and Exchange Commission on November 4, 2024.The CUSIP number contained herein is for the ADSs that trade on the NASDAQ Global Market, each representing eight Ordinary Shares. No CUSIP number has been assigned to the Ordinary Shares. Maverick is the investment advisor of (i) Maverick Fund USA,</w:t>
      </w:r>
    </w:p>
    <w:p>
      <w:pPr>
        <w:spacing w:after="0" w:line="4" w:lineRule="exact"/>
        <w:rPr>
          <w:sz w:val="20"/>
          <w:szCs w:val="20"/>
          <w:color w:val="auto"/>
        </w:rPr>
      </w:pPr>
    </w:p>
    <w:p>
      <w:pPr>
        <w:ind w:left="920" w:right="80" w:hanging="912"/>
        <w:spacing w:after="0" w:line="231"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Ltd, a Texas limited partnership, which holds 703,641 ADSs representing 5,629,128 Ordinary Shares, (ii) Maverick Fund II, Ltd., a Cayman exempt corporation, which holds 630,334 ADSs representing 5,042,672 Ordinary Shares, (iii) Maverick Long Enhanced Fund, Ltd, a Cayman exempt corporation, which holds 709,882 ADSs representing 5,679,056 Ordinary Shares, (iv) Maverick HP, L.P., a Delaware limited partnership, which holds 602,630 ADSs representing 4,821,040 Ordinary Shares, (v) Maverick Long Fund, Ltd., a Cayman exempt corporation, which holds 355,934 ADSs representing 2,847,472 Ordinary Shares, and (vi) certain separately managed accounts which collectively hold 126,095 ADSs representing 1,008,760 Ordinary Shares. Maverick is an investment adviser registered under Section 203 of the Investment Advisers Act of 1940 and, as such, may be deemed to have beneficial ownership of the Ordinary Shares which are the subject of this filing through the investment discretion it exercises over its clients' accounts. Maverick Capital Management is the General Partner of Maverick. Mr. Ainslie is the manager of Maverick Capital Management and the Managing Partner of Maverick.</w:t>
      </w:r>
    </w:p>
    <w:p>
      <w:pPr>
        <w:spacing w:after="0" w:line="2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1120"/>
          </w:cols>
          <w:pgMar w:left="360" w:top="112" w:right="419" w:bottom="46" w:gutter="0" w:footer="0" w:header="0"/>
        </w:sectPr>
      </w:pPr>
    </w:p>
    <w:bookmarkStart w:id="4" w:name="page5"/>
    <w:bookmarkEnd w:id="4"/>
    <w:p>
      <w:pPr>
        <w:ind w:left="960"/>
        <w:spacing w:after="0"/>
        <w:rPr>
          <w:sz w:val="20"/>
          <w:szCs w:val="20"/>
          <w:color w:val="auto"/>
        </w:rPr>
      </w:pPr>
      <w:r>
        <w:rPr>
          <w:rFonts w:ascii="Times New Roman" w:cs="Times New Roman" w:eastAsia="Times New Roman" w:hAnsi="Times New Roman"/>
          <w:sz w:val="22"/>
          <w:szCs w:val="22"/>
          <w:color w:val="auto"/>
        </w:rPr>
        <w:t>Maverick: 3.8% Maverick Capital Management: 3.8% Mr. Ainslie: 3.8 %</w:t>
      </w:r>
    </w:p>
    <w:p>
      <w:pPr>
        <w:spacing w:after="0" w:line="45" w:lineRule="exact"/>
        <w:rPr>
          <w:sz w:val="20"/>
          <w:szCs w:val="20"/>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Maverick: 0 Maverick Capital Management: 0 Mr. Ainslie: 0</w:t>
      </w:r>
    </w:p>
    <w:p>
      <w:pPr>
        <w:spacing w:after="0" w:line="28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jc w:val="right"/>
        <w:ind w:right="2340"/>
        <w:spacing w:after="0"/>
        <w:rPr>
          <w:sz w:val="20"/>
          <w:szCs w:val="20"/>
          <w:color w:val="auto"/>
        </w:rPr>
      </w:pPr>
      <w:r>
        <w:rPr>
          <w:rFonts w:ascii="Times New Roman" w:cs="Times New Roman" w:eastAsia="Times New Roman" w:hAnsi="Times New Roman"/>
          <w:sz w:val="22"/>
          <w:szCs w:val="22"/>
          <w:color w:val="auto"/>
        </w:rPr>
        <w:t>Maverick: 25,028,128 Maverick Capital Management: 25,028,128 Mr. Ainslie: 25,028,128</w:t>
      </w:r>
    </w:p>
    <w:p>
      <w:pPr>
        <w:spacing w:after="0" w:line="287" w:lineRule="exact"/>
        <w:rPr>
          <w:sz w:val="20"/>
          <w:szCs w:val="20"/>
          <w:color w:val="auto"/>
        </w:rPr>
      </w:pPr>
    </w:p>
    <w:p>
      <w:pPr>
        <w:ind w:left="1340" w:hanging="374"/>
        <w:spacing w:after="0"/>
        <w:tabs>
          <w:tab w:leader="none" w:pos="13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Maverick: 0 Maverick Capital Management: 0 Mr. Ainslie: 0</w:t>
      </w:r>
    </w:p>
    <w:p>
      <w:pPr>
        <w:spacing w:after="0" w:line="287" w:lineRule="exact"/>
        <w:rPr>
          <w:rFonts w:ascii="Times New Roman" w:cs="Times New Roman" w:eastAsia="Times New Roman" w:hAnsi="Times New Roman"/>
          <w:sz w:val="22"/>
          <w:szCs w:val="22"/>
          <w:color w:val="auto"/>
        </w:rPr>
      </w:pPr>
    </w:p>
    <w:p>
      <w:pPr>
        <w:ind w:left="1340" w:hanging="374"/>
        <w:spacing w:after="0"/>
        <w:tabs>
          <w:tab w:leader="none" w:pos="13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color w:val="auto"/>
        </w:rPr>
        <w:t>Maverick: 25,028,128 Maverick Capital Management: 25,028,128 Mr. Ainslie: 25,028,128</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80"/>
          </w:cols>
          <w:pgMar w:left="320" w:top="112" w:right="399" w:bottom="360" w:gutter="0" w:footer="0" w:header="0"/>
        </w:sectPr>
      </w:pP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60" w:space="300"/>
            <w:col w:w="10220"/>
          </w:cols>
          <w:pgMar w:left="320" w:top="112" w:right="399" w:bottom="360" w:gutter="0" w:footer="0" w:header="0"/>
          <w:type w:val="continuous"/>
        </w:sect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8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Maverick Capital, Ltd.</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Trevor Wiessmann*</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Maverick Capital Management, LLC, its</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General Partner By: Lee S. Ainslie III, Manager</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Maverick Capital Management, LLC</w:t>
      </w:r>
    </w:p>
    <w:p>
      <w:pPr>
        <w:spacing w:after="0" w:line="152" w:lineRule="exact"/>
        <w:rPr>
          <w:sz w:val="20"/>
          <w:szCs w:val="20"/>
          <w:color w:val="auto"/>
        </w:rPr>
      </w:pPr>
    </w:p>
    <w:p>
      <w:pPr>
        <w:ind w:left="3700"/>
        <w:spacing w:after="0"/>
        <w:tabs>
          <w:tab w:leader="none" w:pos="4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Trevor Wiessmann*</w:t>
      </w:r>
    </w:p>
    <w:p>
      <w:pPr>
        <w:spacing w:after="0" w:line="4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color w:val="auto"/>
        </w:rPr>
        <w:t>Name/Title: Lee S. Ainslie III, Manager</w:t>
      </w:r>
    </w:p>
    <w:p>
      <w:pPr>
        <w:spacing w:after="0" w:line="44" w:lineRule="exact"/>
        <w:rPr>
          <w:sz w:val="20"/>
          <w:szCs w:val="20"/>
          <w:color w:val="auto"/>
        </w:rPr>
      </w:pPr>
    </w:p>
    <w:p>
      <w:pPr>
        <w:ind w:left="3700"/>
        <w:spacing w:after="0"/>
        <w:tabs>
          <w:tab w:leader="none" w:pos="4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Lee S. Ainslie III</w:t>
      </w:r>
    </w:p>
    <w:p>
      <w:pPr>
        <w:spacing w:after="0" w:line="152" w:lineRule="exact"/>
        <w:rPr>
          <w:sz w:val="20"/>
          <w:szCs w:val="20"/>
          <w:color w:val="auto"/>
        </w:rPr>
      </w:pPr>
    </w:p>
    <w:p>
      <w:pPr>
        <w:ind w:left="3700"/>
        <w:spacing w:after="0"/>
        <w:tabs>
          <w:tab w:leader="none" w:pos="4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Trevor Wiessmann*</w:t>
      </w:r>
    </w:p>
    <w:p>
      <w:pPr>
        <w:spacing w:after="0" w:line="4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color w:val="auto"/>
        </w:rPr>
        <w:t>Name/Title: Lee S. Ainslie III, Manager</w:t>
      </w:r>
    </w:p>
    <w:p>
      <w:pPr>
        <w:spacing w:after="0" w:line="44" w:lineRule="exact"/>
        <w:rPr>
          <w:sz w:val="20"/>
          <w:szCs w:val="20"/>
          <w:color w:val="auto"/>
        </w:rPr>
      </w:pPr>
    </w:p>
    <w:p>
      <w:pPr>
        <w:ind w:left="3700"/>
        <w:spacing w:after="0"/>
        <w:tabs>
          <w:tab w:leader="none" w:pos="4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*Under Power of Attorney, dated March 15, 2018</w:t>
      </w:r>
    </w:p>
    <w:sectPr>
      <w:pgSz w:w="11900" w:h="16838" w:orient="portrait"/>
      <w:cols w:equalWidth="0" w:num="1">
        <w:col w:w="11180"/>
      </w:cols>
      <w:pgMar w:left="320" w:top="112" w:right="399" w:bottom="36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2025-02-14T15:35:41Z</dcterms:created>
  <dcterms:modified xsi:type="dcterms:W3CDTF">2025-02-14T15:35:41Z</dcterms:modified>
</cp:coreProperties>
</file>