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205105</wp:posOffset>
            </wp:positionH>
            <wp:positionV relativeFrom="page">
              <wp:posOffset>154305</wp:posOffset>
            </wp:positionV>
            <wp:extent cx="7138670" cy="1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8670" cy="16510"/>
                    </a:xfrm>
                    <a:prstGeom prst="rect">
                      <a:avLst/>
                    </a:prstGeom>
                    <a:noFill/>
                  </pic:spPr>
                </pic:pic>
              </a:graphicData>
            </a:graphic>
          </wp:anchor>
        </w:drawing>
        <w:drawing>
          <wp:anchor simplePos="0" relativeHeight="251657728" behindDoc="1" locked="0" layoutInCell="0" allowOverlap="1">
            <wp:simplePos x="0" y="0"/>
            <wp:positionH relativeFrom="page">
              <wp:posOffset>205105</wp:posOffset>
            </wp:positionH>
            <wp:positionV relativeFrom="page">
              <wp:posOffset>186690</wp:posOffset>
            </wp:positionV>
            <wp:extent cx="71386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867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146050</wp:posOffset>
            </wp:positionV>
            <wp:extent cx="71386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156845</wp:posOffset>
            </wp:positionV>
            <wp:extent cx="71386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Pursuant to Section 13 or 15(d)</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of the Securities Exchange Act of 1934</w:t>
      </w:r>
    </w:p>
    <w:p>
      <w:pPr>
        <w:spacing w:after="0" w:line="199"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Date of report (Date of earliest event reported): December 20,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71386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4"/>
          <w:szCs w:val="24"/>
          <w:color w:val="auto"/>
        </w:rPr>
      </w:pPr>
    </w:p>
    <w:p>
      <w:pPr>
        <w:spacing w:after="0" w:line="284"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Verona Pharma plc</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144145</wp:posOffset>
            </wp:positionV>
            <wp:extent cx="71386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sectPr>
      </w:pPr>
    </w:p>
    <w:p>
      <w:pPr>
        <w:spacing w:after="0" w:line="200" w:lineRule="exact"/>
        <w:rPr>
          <w:sz w:val="24"/>
          <w:szCs w:val="24"/>
          <w:color w:val="auto"/>
        </w:rPr>
      </w:pPr>
    </w:p>
    <w:p>
      <w:pPr>
        <w:spacing w:after="0" w:line="265" w:lineRule="exact"/>
        <w:rPr>
          <w:sz w:val="24"/>
          <w:szCs w:val="24"/>
          <w:color w:val="auto"/>
        </w:rPr>
      </w:pPr>
    </w:p>
    <w:p>
      <w:pPr>
        <w:ind w:left="1300"/>
        <w:spacing w:after="0"/>
        <w:rPr>
          <w:sz w:val="20"/>
          <w:szCs w:val="20"/>
          <w:color w:val="auto"/>
        </w:rPr>
      </w:pPr>
      <w:r>
        <w:rPr>
          <w:rFonts w:ascii="Arial" w:cs="Arial" w:eastAsia="Arial" w:hAnsi="Arial"/>
          <w:sz w:val="17"/>
          <w:szCs w:val="17"/>
          <w:b w:val="1"/>
          <w:bCs w:val="1"/>
          <w:color w:val="auto"/>
        </w:rPr>
        <w:t>United Kingdom</w:t>
      </w:r>
    </w:p>
    <w:p>
      <w:pPr>
        <w:spacing w:after="0" w:line="27" w:lineRule="exact"/>
        <w:rPr>
          <w:sz w:val="24"/>
          <w:szCs w:val="24"/>
          <w:color w:val="auto"/>
        </w:rPr>
      </w:pPr>
    </w:p>
    <w:p>
      <w:pPr>
        <w:ind w:left="940"/>
        <w:spacing w:after="0"/>
        <w:rPr>
          <w:sz w:val="20"/>
          <w:szCs w:val="20"/>
          <w:color w:val="auto"/>
        </w:rPr>
      </w:pPr>
      <w:r>
        <w:rPr>
          <w:rFonts w:ascii="Arial" w:cs="Arial" w:eastAsia="Arial" w:hAnsi="Arial"/>
          <w:sz w:val="15"/>
          <w:szCs w:val="15"/>
          <w:b w:val="1"/>
          <w:bCs w:val="1"/>
          <w:color w:val="auto"/>
        </w:rPr>
        <w:t>(State or other jurisdiction</w:t>
      </w:r>
    </w:p>
    <w:p>
      <w:pPr>
        <w:spacing w:after="0" w:line="33" w:lineRule="exact"/>
        <w:rPr>
          <w:sz w:val="24"/>
          <w:szCs w:val="24"/>
          <w:color w:val="auto"/>
        </w:rPr>
      </w:pPr>
    </w:p>
    <w:p>
      <w:pPr>
        <w:ind w:left="1300"/>
        <w:spacing w:after="0"/>
        <w:rPr>
          <w:sz w:val="20"/>
          <w:szCs w:val="20"/>
          <w:color w:val="auto"/>
        </w:rPr>
      </w:pPr>
      <w:r>
        <w:rPr>
          <w:rFonts w:ascii="Arial" w:cs="Arial" w:eastAsia="Arial" w:hAnsi="Arial"/>
          <w:sz w:val="17"/>
          <w:szCs w:val="17"/>
          <w:b w:val="1"/>
          <w:bCs w:val="1"/>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5" w:lineRule="exact"/>
        <w:rPr>
          <w:sz w:val="24"/>
          <w:szCs w:val="24"/>
          <w:color w:val="auto"/>
        </w:rPr>
      </w:pPr>
    </w:p>
    <w:p>
      <w:pPr>
        <w:jc w:val="center"/>
        <w:ind w:right="1820"/>
        <w:spacing w:after="0"/>
        <w:rPr>
          <w:sz w:val="20"/>
          <w:szCs w:val="20"/>
          <w:color w:val="auto"/>
        </w:rPr>
      </w:pPr>
      <w:r>
        <w:rPr>
          <w:rFonts w:ascii="Arial" w:cs="Arial" w:eastAsia="Arial" w:hAnsi="Arial"/>
          <w:sz w:val="17"/>
          <w:szCs w:val="17"/>
          <w:b w:val="1"/>
          <w:bCs w:val="1"/>
          <w:color w:val="auto"/>
        </w:rPr>
        <w:t>001-39067</w:t>
      </w:r>
    </w:p>
    <w:p>
      <w:pPr>
        <w:spacing w:after="0" w:line="27" w:lineRule="exact"/>
        <w:rPr>
          <w:sz w:val="24"/>
          <w:szCs w:val="24"/>
          <w:color w:val="auto"/>
        </w:rPr>
      </w:pPr>
    </w:p>
    <w:p>
      <w:pPr>
        <w:jc w:val="center"/>
        <w:ind w:right="1820"/>
        <w:spacing w:after="0"/>
        <w:rPr>
          <w:sz w:val="20"/>
          <w:szCs w:val="20"/>
          <w:color w:val="auto"/>
        </w:rPr>
      </w:pPr>
      <w:r>
        <w:rPr>
          <w:rFonts w:ascii="Arial" w:cs="Arial" w:eastAsia="Arial" w:hAnsi="Arial"/>
          <w:sz w:val="15"/>
          <w:szCs w:val="15"/>
          <w:b w:val="1"/>
          <w:bCs w:val="1"/>
          <w:color w:val="auto"/>
        </w:rPr>
        <w:t>(Commission</w:t>
      </w:r>
    </w:p>
    <w:p>
      <w:pPr>
        <w:spacing w:after="0" w:line="33" w:lineRule="exact"/>
        <w:rPr>
          <w:sz w:val="24"/>
          <w:szCs w:val="24"/>
          <w:color w:val="auto"/>
        </w:rPr>
      </w:pPr>
    </w:p>
    <w:p>
      <w:pPr>
        <w:jc w:val="center"/>
        <w:ind w:right="1820"/>
        <w:spacing w:after="0"/>
        <w:rPr>
          <w:sz w:val="20"/>
          <w:szCs w:val="20"/>
          <w:color w:val="auto"/>
        </w:rPr>
      </w:pPr>
      <w:r>
        <w:rPr>
          <w:rFonts w:ascii="Arial" w:cs="Arial" w:eastAsia="Arial" w:hAnsi="Arial"/>
          <w:sz w:val="16"/>
          <w:szCs w:val="16"/>
          <w:b w:val="1"/>
          <w:bCs w:val="1"/>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5" w:lineRule="exact"/>
        <w:rPr>
          <w:sz w:val="24"/>
          <w:szCs w:val="24"/>
          <w:color w:val="auto"/>
        </w:rPr>
      </w:pPr>
    </w:p>
    <w:p>
      <w:pPr>
        <w:jc w:val="center"/>
        <w:ind w:right="1120"/>
        <w:spacing w:after="0"/>
        <w:rPr>
          <w:sz w:val="20"/>
          <w:szCs w:val="20"/>
          <w:color w:val="auto"/>
        </w:rPr>
      </w:pPr>
      <w:r>
        <w:rPr>
          <w:rFonts w:ascii="Arial" w:cs="Arial" w:eastAsia="Arial" w:hAnsi="Arial"/>
          <w:sz w:val="17"/>
          <w:szCs w:val="17"/>
          <w:b w:val="1"/>
          <w:bCs w:val="1"/>
          <w:color w:val="auto"/>
        </w:rPr>
        <w:t>98-1489389</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7"/>
          <w:szCs w:val="17"/>
          <w:b w:val="1"/>
          <w:bCs w:val="1"/>
          <w:color w:val="auto"/>
        </w:rPr>
        <w:t>(IRS Employer</w:t>
      </w:r>
    </w:p>
    <w:p>
      <w:pPr>
        <w:spacing w:after="0" w:line="10" w:lineRule="exact"/>
        <w:rPr>
          <w:sz w:val="24"/>
          <w:szCs w:val="24"/>
          <w:color w:val="auto"/>
        </w:rPr>
      </w:pPr>
    </w:p>
    <w:p>
      <w:pPr>
        <w:jc w:val="center"/>
        <w:ind w:right="1120"/>
        <w:spacing w:after="0"/>
        <w:rPr>
          <w:sz w:val="20"/>
          <w:szCs w:val="20"/>
          <w:color w:val="auto"/>
        </w:rPr>
      </w:pPr>
      <w:r>
        <w:rPr>
          <w:rFonts w:ascii="Arial" w:cs="Arial" w:eastAsia="Arial" w:hAnsi="Arial"/>
          <w:sz w:val="15"/>
          <w:szCs w:val="15"/>
          <w:b w:val="1"/>
          <w:bCs w:val="1"/>
          <w:color w:val="auto"/>
        </w:rPr>
        <w:t>Identification No.)</w:t>
      </w:r>
    </w:p>
    <w:p>
      <w:pPr>
        <w:spacing w:after="0" w:line="221" w:lineRule="exact"/>
        <w:rPr>
          <w:sz w:val="24"/>
          <w:szCs w:val="24"/>
          <w:color w:val="auto"/>
        </w:rPr>
      </w:pPr>
    </w:p>
    <w:p>
      <w:pPr>
        <w:sectPr>
          <w:pgSz w:w="11900" w:h="16838" w:orient="portrait"/>
          <w:cols w:equalWidth="0" w:num="3">
            <w:col w:w="4540" w:space="720"/>
            <w:col w:w="2800" w:space="720"/>
            <w:col w:w="2460"/>
          </w:cols>
          <w:pgMar w:left="320" w:top="545" w:right="339" w:bottom="1440" w:gutter="0" w:footer="0" w:header="0"/>
          <w:type w:val="continuous"/>
        </w:sectPr>
      </w:pPr>
    </w:p>
    <w:p>
      <w:pPr>
        <w:jc w:val="center"/>
        <w:spacing w:after="0"/>
        <w:rPr>
          <w:sz w:val="20"/>
          <w:szCs w:val="20"/>
          <w:color w:val="auto"/>
        </w:rPr>
      </w:pPr>
      <w:r>
        <w:rPr>
          <w:rFonts w:ascii="Arial" w:cs="Arial" w:eastAsia="Arial" w:hAnsi="Arial"/>
          <w:sz w:val="17"/>
          <w:szCs w:val="17"/>
          <w:b w:val="1"/>
          <w:bCs w:val="1"/>
          <w:color w:val="auto"/>
        </w:rPr>
        <w:t>3 More London Riverside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London SE1 2RE</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United Kingdom</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(Address of principal executive offices) (Zip Code)</w:t>
      </w:r>
    </w:p>
    <w:p>
      <w:pPr>
        <w:spacing w:after="0" w:line="199"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+44 203 283 4200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(Registrant’s telephone number, including area code)</w:t>
      </w:r>
    </w:p>
    <w:p>
      <w:pPr>
        <w:spacing w:after="0" w:line="199"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160655</wp:posOffset>
            </wp:positionV>
            <wp:extent cx="71386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type w:val="continuous"/>
        </w:sectPr>
      </w:pPr>
    </w:p>
    <w:p>
      <w:pPr>
        <w:spacing w:after="0" w:line="200" w:lineRule="exact"/>
        <w:rPr>
          <w:sz w:val="24"/>
          <w:szCs w:val="24"/>
          <w:color w:val="auto"/>
        </w:rPr>
      </w:pPr>
    </w:p>
    <w:p>
      <w:pPr>
        <w:spacing w:after="0" w:line="297" w:lineRule="exact"/>
        <w:rPr>
          <w:sz w:val="24"/>
          <w:szCs w:val="24"/>
          <w:color w:val="auto"/>
        </w:rPr>
      </w:pPr>
    </w:p>
    <w:p>
      <w:pPr>
        <w:ind w:right="500"/>
        <w:spacing w:after="0" w:line="278"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w:t>
      </w:r>
    </w:p>
    <w:p>
      <w:pPr>
        <w:spacing w:after="0" w:line="132" w:lineRule="exact"/>
        <w:rPr>
          <w:sz w:val="24"/>
          <w:szCs w:val="24"/>
          <w:color w:val="auto"/>
        </w:rPr>
      </w:pPr>
    </w:p>
    <w:p>
      <w:pPr>
        <w:ind w:left="460"/>
        <w:spacing w:after="0"/>
        <w:tabs>
          <w:tab w:leader="none" w:pos="880" w:val="left"/>
        </w:tabs>
        <w:rPr>
          <w:sz w:val="20"/>
          <w:szCs w:val="20"/>
          <w:color w:val="auto"/>
        </w:rPr>
      </w:pPr>
      <w:r>
        <w:rPr>
          <w:rFonts w:ascii="MS PGothic" w:cs="MS PGothic" w:eastAsia="MS PGothic" w:hAnsi="MS PGothic"/>
          <w:sz w:val="17"/>
          <w:szCs w:val="17"/>
          <w:color w:val="auto"/>
        </w:rPr>
        <w:t>☐</w:t>
      </w:r>
      <w:r>
        <w:rPr>
          <w:sz w:val="20"/>
          <w:szCs w:val="20"/>
          <w:color w:val="auto"/>
        </w:rPr>
        <w:tab/>
      </w:r>
      <w:r>
        <w:rPr>
          <w:rFonts w:ascii="Arial" w:cs="Arial" w:eastAsia="Arial" w:hAnsi="Arial"/>
          <w:sz w:val="17"/>
          <w:szCs w:val="17"/>
          <w:color w:val="auto"/>
        </w:rPr>
        <w:t>Written communications pursuant to Rule 425 under the Securities Act (17 CFR 230.425)</w:t>
      </w:r>
    </w:p>
    <w:p>
      <w:pPr>
        <w:spacing w:after="0" w:line="222" w:lineRule="exact"/>
        <w:rPr>
          <w:sz w:val="24"/>
          <w:szCs w:val="24"/>
          <w:color w:val="auto"/>
        </w:rPr>
      </w:pPr>
    </w:p>
    <w:p>
      <w:pPr>
        <w:ind w:left="460"/>
        <w:spacing w:after="0"/>
        <w:tabs>
          <w:tab w:leader="none" w:pos="880" w:val="left"/>
        </w:tabs>
        <w:rPr>
          <w:sz w:val="20"/>
          <w:szCs w:val="20"/>
          <w:color w:val="auto"/>
        </w:rPr>
      </w:pPr>
      <w:r>
        <w:rPr>
          <w:rFonts w:ascii="MS PGothic" w:cs="MS PGothic" w:eastAsia="MS PGothic" w:hAnsi="MS PGothic"/>
          <w:sz w:val="17"/>
          <w:szCs w:val="17"/>
          <w:color w:val="auto"/>
        </w:rPr>
        <w:t>☐</w:t>
      </w:r>
      <w:r>
        <w:rPr>
          <w:sz w:val="20"/>
          <w:szCs w:val="20"/>
          <w:color w:val="auto"/>
        </w:rPr>
        <w:tab/>
      </w:r>
      <w:r>
        <w:rPr>
          <w:rFonts w:ascii="Arial" w:cs="Arial" w:eastAsia="Arial" w:hAnsi="Arial"/>
          <w:sz w:val="17"/>
          <w:szCs w:val="17"/>
          <w:color w:val="auto"/>
        </w:rPr>
        <w:t>Soliciting material pursuant to Rule 14a-12 under the Exchange Act (17 CFR 240.14a-12)</w:t>
      </w:r>
    </w:p>
    <w:p>
      <w:pPr>
        <w:spacing w:after="0" w:line="209" w:lineRule="exact"/>
        <w:rPr>
          <w:sz w:val="24"/>
          <w:szCs w:val="24"/>
          <w:color w:val="auto"/>
        </w:rPr>
      </w:pPr>
    </w:p>
    <w:p>
      <w:pPr>
        <w:ind w:left="460"/>
        <w:spacing w:after="0"/>
        <w:tabs>
          <w:tab w:leader="none" w:pos="880" w:val="left"/>
        </w:tabs>
        <w:rPr>
          <w:sz w:val="20"/>
          <w:szCs w:val="20"/>
          <w:color w:val="auto"/>
        </w:rPr>
      </w:pPr>
      <w:r>
        <w:rPr>
          <w:rFonts w:ascii="MS PGothic" w:cs="MS PGothic" w:eastAsia="MS PGothic" w:hAnsi="MS PGothic"/>
          <w:sz w:val="17"/>
          <w:szCs w:val="17"/>
          <w:color w:val="auto"/>
        </w:rPr>
        <w:t>☐</w:t>
      </w:r>
      <w:r>
        <w:rPr>
          <w:sz w:val="20"/>
          <w:szCs w:val="20"/>
          <w:color w:val="auto"/>
        </w:rPr>
        <w:tab/>
      </w:r>
      <w:r>
        <w:rPr>
          <w:rFonts w:ascii="Arial" w:cs="Arial" w:eastAsia="Arial" w:hAnsi="Arial"/>
          <w:sz w:val="17"/>
          <w:szCs w:val="17"/>
          <w:color w:val="auto"/>
        </w:rPr>
        <w:t>Pre-commencement communications pursuant to Rule 14d-2(b) under the Exchange Act (17 CFR 240.14d-2(b))</w:t>
      </w:r>
    </w:p>
    <w:p>
      <w:pPr>
        <w:spacing w:after="0" w:line="222" w:lineRule="exact"/>
        <w:rPr>
          <w:sz w:val="24"/>
          <w:szCs w:val="24"/>
          <w:color w:val="auto"/>
        </w:rPr>
      </w:pPr>
    </w:p>
    <w:p>
      <w:pPr>
        <w:ind w:left="460"/>
        <w:spacing w:after="0"/>
        <w:tabs>
          <w:tab w:leader="none" w:pos="880" w:val="left"/>
        </w:tabs>
        <w:rPr>
          <w:sz w:val="20"/>
          <w:szCs w:val="20"/>
          <w:color w:val="auto"/>
        </w:rPr>
      </w:pPr>
      <w:r>
        <w:rPr>
          <w:rFonts w:ascii="MS PGothic" w:cs="MS PGothic" w:eastAsia="MS PGothic" w:hAnsi="MS PGothic"/>
          <w:sz w:val="17"/>
          <w:szCs w:val="17"/>
          <w:color w:val="auto"/>
        </w:rPr>
        <w:t>☐</w:t>
      </w:r>
      <w:r>
        <w:rPr>
          <w:sz w:val="20"/>
          <w:szCs w:val="20"/>
          <w:color w:val="auto"/>
        </w:rPr>
        <w:tab/>
      </w:r>
      <w:r>
        <w:rPr>
          <w:rFonts w:ascii="Arial" w:cs="Arial" w:eastAsia="Arial" w:hAnsi="Arial"/>
          <w:sz w:val="17"/>
          <w:szCs w:val="17"/>
          <w:color w:val="auto"/>
        </w:rPr>
        <w:t>Pre-commencement communications pursuant to Rule 13e-4(c) under the Exchange Act (17 CFR 240.13e-4(c))</w:t>
      </w:r>
    </w:p>
    <w:p>
      <w:pPr>
        <w:spacing w:after="0" w:line="236" w:lineRule="exact"/>
        <w:rPr>
          <w:sz w:val="24"/>
          <w:szCs w:val="24"/>
          <w:color w:val="auto"/>
        </w:rPr>
      </w:pPr>
    </w:p>
    <w:p>
      <w:pPr>
        <w:jc w:val="center"/>
        <w:ind w:right="40"/>
        <w:spacing w:after="0"/>
        <w:rPr>
          <w:sz w:val="20"/>
          <w:szCs w:val="20"/>
          <w:color w:val="auto"/>
        </w:rPr>
      </w:pPr>
      <w:r>
        <w:rPr>
          <w:rFonts w:ascii="Arial" w:cs="Arial" w:eastAsia="Arial" w:hAnsi="Arial"/>
          <w:sz w:val="17"/>
          <w:szCs w:val="17"/>
          <w:b w:val="1"/>
          <w:bCs w:val="1"/>
          <w:color w:val="auto"/>
        </w:rPr>
        <w:t>Securities registered pursuant to Section 12(b) of the Act:</w:t>
      </w:r>
    </w:p>
    <w:p>
      <w:pPr>
        <w:spacing w:after="0" w:line="27" w:lineRule="exact"/>
        <w:rPr>
          <w:sz w:val="24"/>
          <w:szCs w:val="24"/>
          <w:color w:val="auto"/>
        </w:rPr>
      </w:pPr>
    </w:p>
    <w:tbl>
      <w:tblPr>
        <w:tblLayout w:type="fixed"/>
        <w:tblInd w:w="10" w:type="dxa"/>
        <w:tblCellMar>
          <w:top w:w="0" w:type="dxa"/>
          <w:left w:w="0" w:type="dxa"/>
          <w:bottom w:w="0" w:type="dxa"/>
          <w:right w:w="0" w:type="dxa"/>
        </w:tblCellMar>
      </w:tblPr>
      <w:tr>
        <w:trPr>
          <w:trHeight w:val="187"/>
        </w:trPr>
        <w:tc>
          <w:tcPr>
            <w:tcW w:w="4180" w:type="dxa"/>
            <w:vAlign w:val="bottom"/>
            <w:tcBorders>
              <w:top w:val="single" w:sz="8" w:color="auto"/>
              <w:left w:val="single" w:sz="8" w:color="auto"/>
              <w:right w:val="single" w:sz="8" w:color="auto"/>
            </w:tcBorders>
          </w:tcPr>
          <w:p>
            <w:pPr>
              <w:jc w:val="center"/>
              <w:spacing w:after="0" w:line="188" w:lineRule="exact"/>
              <w:rPr>
                <w:sz w:val="20"/>
                <w:szCs w:val="20"/>
                <w:color w:val="auto"/>
              </w:rPr>
            </w:pPr>
            <w:r>
              <w:rPr>
                <w:rFonts w:ascii="Arial" w:cs="Arial" w:eastAsia="Arial" w:hAnsi="Arial"/>
                <w:sz w:val="17"/>
                <w:szCs w:val="17"/>
                <w:color w:val="auto"/>
                <w:w w:val="89"/>
              </w:rPr>
              <w:t>Title of each class</w:t>
            </w:r>
          </w:p>
        </w:tc>
        <w:tc>
          <w:tcPr>
            <w:tcW w:w="3700" w:type="dxa"/>
            <w:vAlign w:val="bottom"/>
            <w:tcBorders>
              <w:top w:val="single" w:sz="8" w:color="auto"/>
              <w:right w:val="single" w:sz="8" w:color="auto"/>
            </w:tcBorders>
          </w:tcPr>
          <w:p>
            <w:pPr>
              <w:jc w:val="center"/>
              <w:spacing w:after="0" w:line="188" w:lineRule="exact"/>
              <w:rPr>
                <w:sz w:val="20"/>
                <w:szCs w:val="20"/>
                <w:color w:val="auto"/>
              </w:rPr>
            </w:pPr>
            <w:r>
              <w:rPr>
                <w:rFonts w:ascii="Arial" w:cs="Arial" w:eastAsia="Arial" w:hAnsi="Arial"/>
                <w:sz w:val="17"/>
                <w:szCs w:val="17"/>
                <w:color w:val="auto"/>
                <w:w w:val="92"/>
              </w:rPr>
              <w:t>Trading Symbol(s)</w:t>
            </w:r>
          </w:p>
        </w:tc>
        <w:tc>
          <w:tcPr>
            <w:tcW w:w="3380" w:type="dxa"/>
            <w:vAlign w:val="bottom"/>
            <w:tcBorders>
              <w:top w:val="single" w:sz="8" w:color="auto"/>
              <w:right w:val="single" w:sz="8" w:color="auto"/>
            </w:tcBorders>
          </w:tcPr>
          <w:p>
            <w:pPr>
              <w:jc w:val="center"/>
              <w:spacing w:after="0" w:line="188" w:lineRule="exact"/>
              <w:rPr>
                <w:sz w:val="20"/>
                <w:szCs w:val="20"/>
                <w:color w:val="auto"/>
              </w:rPr>
            </w:pPr>
            <w:r>
              <w:rPr>
                <w:rFonts w:ascii="Arial" w:cs="Arial" w:eastAsia="Arial" w:hAnsi="Arial"/>
                <w:sz w:val="17"/>
                <w:szCs w:val="17"/>
                <w:color w:val="auto"/>
                <w:w w:val="89"/>
              </w:rPr>
              <w:t>Name of each exchange on</w:t>
            </w:r>
          </w:p>
        </w:tc>
      </w:tr>
      <w:tr>
        <w:trPr>
          <w:trHeight w:val="206"/>
        </w:trPr>
        <w:tc>
          <w:tcPr>
            <w:tcW w:w="4180" w:type="dxa"/>
            <w:vAlign w:val="bottom"/>
            <w:tcBorders>
              <w:left w:val="single" w:sz="8" w:color="auto"/>
              <w:right w:val="single" w:sz="8" w:color="auto"/>
            </w:tcBorders>
          </w:tcPr>
          <w:p>
            <w:pPr>
              <w:spacing w:after="0"/>
              <w:rPr>
                <w:sz w:val="17"/>
                <w:szCs w:val="17"/>
                <w:color w:val="auto"/>
              </w:rPr>
            </w:pPr>
          </w:p>
        </w:tc>
        <w:tc>
          <w:tcPr>
            <w:tcW w:w="3700" w:type="dxa"/>
            <w:vAlign w:val="bottom"/>
            <w:tcBorders>
              <w:right w:val="single" w:sz="8" w:color="auto"/>
            </w:tcBorders>
          </w:tcPr>
          <w:p>
            <w:pPr>
              <w:spacing w:after="0"/>
              <w:rPr>
                <w:sz w:val="17"/>
                <w:szCs w:val="17"/>
                <w:color w:val="auto"/>
              </w:rPr>
            </w:pPr>
          </w:p>
        </w:tc>
        <w:tc>
          <w:tcPr>
            <w:tcW w:w="33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6"/>
              </w:rPr>
              <w:t>which</w:t>
            </w:r>
          </w:p>
        </w:tc>
      </w:tr>
      <w:tr>
        <w:trPr>
          <w:trHeight w:val="217"/>
        </w:trPr>
        <w:tc>
          <w:tcPr>
            <w:tcW w:w="4180" w:type="dxa"/>
            <w:vAlign w:val="bottom"/>
            <w:tcBorders>
              <w:left w:val="single" w:sz="8" w:color="auto"/>
              <w:bottom w:val="single" w:sz="8" w:color="auto"/>
              <w:right w:val="single" w:sz="8" w:color="auto"/>
            </w:tcBorders>
          </w:tcPr>
          <w:p>
            <w:pPr>
              <w:spacing w:after="0"/>
              <w:rPr>
                <w:sz w:val="18"/>
                <w:szCs w:val="18"/>
                <w:color w:val="auto"/>
              </w:rPr>
            </w:pPr>
          </w:p>
        </w:tc>
        <w:tc>
          <w:tcPr>
            <w:tcW w:w="3700" w:type="dxa"/>
            <w:vAlign w:val="bottom"/>
            <w:tcBorders>
              <w:bottom w:val="single" w:sz="8" w:color="auto"/>
              <w:right w:val="single" w:sz="8" w:color="auto"/>
            </w:tcBorders>
          </w:tcPr>
          <w:p>
            <w:pPr>
              <w:spacing w:after="0"/>
              <w:rPr>
                <w:sz w:val="18"/>
                <w:szCs w:val="18"/>
                <w:color w:val="auto"/>
              </w:rPr>
            </w:pPr>
          </w:p>
        </w:tc>
        <w:tc>
          <w:tcPr>
            <w:tcW w:w="3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9"/>
              </w:rPr>
              <w:t>registered</w:t>
            </w:r>
          </w:p>
        </w:tc>
      </w:tr>
      <w:tr>
        <w:trPr>
          <w:trHeight w:val="199"/>
        </w:trPr>
        <w:tc>
          <w:tcPr>
            <w:tcW w:w="4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1"/>
              </w:rPr>
              <w:t>Ordinary shares, nominal value £0.05 per share*</w:t>
            </w:r>
          </w:p>
        </w:tc>
        <w:tc>
          <w:tcPr>
            <w:tcW w:w="3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VRNA</w:t>
            </w:r>
          </w:p>
        </w:tc>
        <w:tc>
          <w:tcPr>
            <w:tcW w:w="3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2"/>
              </w:rPr>
              <w:t>The Nasdaq Global Market</w:t>
            </w:r>
          </w:p>
        </w:tc>
      </w:tr>
    </w:tbl>
    <w:p>
      <w:pPr>
        <w:spacing w:after="0" w:line="193" w:lineRule="exact"/>
        <w:rPr>
          <w:sz w:val="24"/>
          <w:szCs w:val="24"/>
          <w:color w:val="auto"/>
        </w:rPr>
      </w:pPr>
    </w:p>
    <w:p>
      <w:pPr>
        <w:ind w:right="1000"/>
        <w:spacing w:after="0" w:line="278" w:lineRule="auto"/>
        <w:rPr>
          <w:sz w:val="20"/>
          <w:szCs w:val="20"/>
          <w:color w:val="auto"/>
        </w:rPr>
      </w:pPr>
      <w:r>
        <w:rPr>
          <w:rFonts w:ascii="Arial" w:cs="Arial" w:eastAsia="Arial" w:hAnsi="Arial"/>
          <w:sz w:val="17"/>
          <w:szCs w:val="17"/>
          <w:i w:val="1"/>
          <w:iCs w:val="1"/>
          <w:color w:val="auto"/>
        </w:rPr>
        <w:t>* The ordinary shares are represented by American Depositary Shares (each representing 8 ordinary shares), which are exempt from the operation of Section 12(a) of the Securities Exchange Act of 1934, as amended, pursuant to Rule 12a-8 thereunder.</w:t>
      </w:r>
    </w:p>
    <w:p>
      <w:pPr>
        <w:spacing w:after="0" w:line="164" w:lineRule="exact"/>
        <w:rPr>
          <w:sz w:val="24"/>
          <w:szCs w:val="24"/>
          <w:color w:val="auto"/>
        </w:rPr>
      </w:pPr>
    </w:p>
    <w:p>
      <w:pPr>
        <w:ind w:right="200"/>
        <w:spacing w:after="0" w:line="278" w:lineRule="auto"/>
        <w:rPr>
          <w:sz w:val="20"/>
          <w:szCs w:val="20"/>
          <w:color w:val="auto"/>
        </w:rPr>
      </w:pPr>
      <w:r>
        <w:rPr>
          <w:rFonts w:ascii="Arial" w:cs="Arial" w:eastAsia="Arial" w:hAnsi="Arial"/>
          <w:sz w:val="17"/>
          <w:szCs w:val="17"/>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2"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248" w:lineRule="exact"/>
        <w:rPr>
          <w:sz w:val="24"/>
          <w:szCs w:val="24"/>
          <w:color w:val="auto"/>
        </w:rPr>
      </w:pPr>
    </w:p>
    <w:p>
      <w:pPr>
        <w:ind w:right="520"/>
        <w:spacing w:after="0" w:line="221"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151765</wp:posOffset>
            </wp:positionV>
            <wp:extent cx="71386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86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7138670" cy="165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8670" cy="165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486410</wp:posOffset>
            </wp:positionV>
            <wp:extent cx="71386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7"/>
          <w:szCs w:val="17"/>
          <w:b w:val="1"/>
          <w:bCs w:val="1"/>
          <w:color w:val="auto"/>
        </w:rPr>
        <w:t>Item 7.01. Regulation FD Disclosure.</w:t>
      </w:r>
    </w:p>
    <w:p>
      <w:pPr>
        <w:spacing w:after="0" w:line="222" w:lineRule="exact"/>
        <w:rPr>
          <w:sz w:val="20"/>
          <w:szCs w:val="20"/>
          <w:color w:val="auto"/>
        </w:rPr>
      </w:pPr>
    </w:p>
    <w:p>
      <w:pPr>
        <w:jc w:val="both"/>
        <w:ind w:right="60"/>
        <w:spacing w:after="0" w:line="265" w:lineRule="auto"/>
        <w:rPr>
          <w:sz w:val="20"/>
          <w:szCs w:val="20"/>
          <w:color w:val="auto"/>
        </w:rPr>
      </w:pPr>
      <w:r>
        <w:rPr>
          <w:rFonts w:ascii="Arial" w:cs="Arial" w:eastAsia="Arial" w:hAnsi="Arial"/>
          <w:sz w:val="17"/>
          <w:szCs w:val="17"/>
          <w:color w:val="auto"/>
        </w:rPr>
        <w:t xml:space="preserve">On December 20, 2022, Verona Pharma plc (the “Company”) posted a slide presentation regarding top-line data from the Phase 3 ENHANCE-1 clinical trial in the “Events &amp; Presentations” portion of its website at </w:t>
      </w:r>
      <w:r>
        <w:rPr>
          <w:rFonts w:ascii="Arial" w:cs="Arial" w:eastAsia="Arial" w:hAnsi="Arial"/>
          <w:sz w:val="17"/>
          <w:szCs w:val="17"/>
          <w:i w:val="1"/>
          <w:iCs w:val="1"/>
          <w:color w:val="auto"/>
        </w:rPr>
        <w:t>www.veronapharma.com</w:t>
      </w:r>
      <w:r>
        <w:rPr>
          <w:rFonts w:ascii="Arial" w:cs="Arial" w:eastAsia="Arial" w:hAnsi="Arial"/>
          <w:sz w:val="17"/>
          <w:szCs w:val="17"/>
          <w:color w:val="auto"/>
        </w:rPr>
        <w:t>. A copy of the slide presentation is furnished as Exhibit 99.1 to this Current Report on Form 8-K (the “Current Report”).</w:t>
      </w:r>
    </w:p>
    <w:p>
      <w:pPr>
        <w:spacing w:after="0" w:line="175"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auto"/>
        </w:rPr>
        <w:t>The information contained in this Item 7.01 of this Current Report (including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 The Company undertakes no obligation to update, supplement or amend the materials attached hereto as Exhibits 99.1.</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8.01. Other Events.</w:t>
      </w:r>
    </w:p>
    <w:p>
      <w:pPr>
        <w:spacing w:after="0" w:line="222" w:lineRule="exact"/>
        <w:rPr>
          <w:sz w:val="20"/>
          <w:szCs w:val="20"/>
          <w:color w:val="auto"/>
        </w:rPr>
      </w:pPr>
    </w:p>
    <w:p>
      <w:pPr>
        <w:ind w:right="180"/>
        <w:spacing w:after="0" w:line="278" w:lineRule="auto"/>
        <w:rPr>
          <w:sz w:val="20"/>
          <w:szCs w:val="20"/>
          <w:color w:val="auto"/>
        </w:rPr>
      </w:pPr>
      <w:r>
        <w:rPr>
          <w:rFonts w:ascii="Arial" w:cs="Arial" w:eastAsia="Arial" w:hAnsi="Arial"/>
          <w:sz w:val="17"/>
          <w:szCs w:val="17"/>
          <w:color w:val="auto"/>
        </w:rPr>
        <w:t>On December 20, 2022, the Company announced the following top-line results from the Phase 3 ENHANCE-1 clinical trial evaluating nebulized ensifentrine for the maintenance treatment of chronic obstructive pulmonary disease (“COPD”):</w:t>
      </w:r>
    </w:p>
    <w:p>
      <w:pPr>
        <w:spacing w:after="0" w:line="70" w:lineRule="exact"/>
        <w:rPr>
          <w:sz w:val="20"/>
          <w:szCs w:val="20"/>
          <w:color w:val="auto"/>
        </w:rPr>
      </w:pPr>
    </w:p>
    <w:p>
      <w:pPr>
        <w:ind w:left="620" w:hanging="309"/>
        <w:spacing w:after="0"/>
        <w:tabs>
          <w:tab w:leader="none" w:pos="620" w:val="left"/>
        </w:tabs>
        <w:numPr>
          <w:ilvl w:val="0"/>
          <w:numId w:val="1"/>
        </w:numPr>
        <w:rPr>
          <w:rFonts w:ascii="Arial" w:cs="Arial" w:eastAsia="Arial" w:hAnsi="Arial"/>
          <w:sz w:val="27"/>
          <w:szCs w:val="27"/>
          <w:color w:val="auto"/>
          <w:vertAlign w:val="superscript"/>
        </w:rPr>
      </w:pPr>
      <w:r>
        <w:rPr>
          <w:rFonts w:ascii="Arial" w:cs="Arial" w:eastAsia="Arial" w:hAnsi="Arial"/>
          <w:sz w:val="17"/>
          <w:szCs w:val="17"/>
          <w:b w:val="1"/>
          <w:bCs w:val="1"/>
          <w:color w:val="auto"/>
        </w:rPr>
        <w:t>Study population (n=763)</w:t>
      </w:r>
      <w:r>
        <w:rPr>
          <w:rFonts w:ascii="Arial" w:cs="Arial" w:eastAsia="Arial" w:hAnsi="Arial"/>
          <w:sz w:val="17"/>
          <w:szCs w:val="17"/>
          <w:color w:val="auto"/>
        </w:rPr>
        <w:t>:</w:t>
      </w:r>
    </w:p>
    <w:p>
      <w:pPr>
        <w:spacing w:after="0" w:line="3" w:lineRule="exact"/>
        <w:rPr>
          <w:sz w:val="20"/>
          <w:szCs w:val="20"/>
          <w:color w:val="auto"/>
        </w:rPr>
      </w:pPr>
    </w:p>
    <w:p>
      <w:pPr>
        <w:ind w:left="1240" w:hanging="312"/>
        <w:spacing w:after="0"/>
        <w:tabs>
          <w:tab w:leader="none" w:pos="1240" w:val="left"/>
        </w:tabs>
        <w:numPr>
          <w:ilvl w:val="1"/>
          <w:numId w:val="2"/>
        </w:numPr>
        <w:rPr>
          <w:rFonts w:ascii="Arial" w:cs="Arial" w:eastAsia="Arial" w:hAnsi="Arial"/>
          <w:sz w:val="17"/>
          <w:szCs w:val="17"/>
          <w:color w:val="auto"/>
        </w:rPr>
      </w:pPr>
      <w:r>
        <w:rPr>
          <w:rFonts w:ascii="Arial" w:cs="Arial" w:eastAsia="Arial" w:hAnsi="Arial"/>
          <w:sz w:val="17"/>
          <w:szCs w:val="17"/>
          <w:color w:val="auto"/>
        </w:rPr>
        <w:t>Subject demographics and disease characteristics were well balanced between treatment groups.</w:t>
      </w:r>
    </w:p>
    <w:p>
      <w:pPr>
        <w:spacing w:after="0" w:line="7" w:lineRule="exact"/>
        <w:rPr>
          <w:rFonts w:ascii="Arial" w:cs="Arial" w:eastAsia="Arial" w:hAnsi="Arial"/>
          <w:sz w:val="17"/>
          <w:szCs w:val="17"/>
          <w:color w:val="auto"/>
        </w:rPr>
      </w:pPr>
    </w:p>
    <w:p>
      <w:pPr>
        <w:jc w:val="both"/>
        <w:ind w:left="1240" w:hanging="312"/>
        <w:spacing w:after="0" w:line="331" w:lineRule="auto"/>
        <w:tabs>
          <w:tab w:leader="none" w:pos="1240" w:val="left"/>
        </w:tabs>
        <w:numPr>
          <w:ilvl w:val="1"/>
          <w:numId w:val="2"/>
        </w:numPr>
        <w:rPr>
          <w:rFonts w:ascii="Arial" w:cs="Arial" w:eastAsia="Arial" w:hAnsi="Arial"/>
          <w:sz w:val="15"/>
          <w:szCs w:val="15"/>
          <w:color w:val="auto"/>
        </w:rPr>
      </w:pPr>
      <w:r>
        <w:rPr>
          <w:rFonts w:ascii="Arial" w:cs="Arial" w:eastAsia="Arial" w:hAnsi="Arial"/>
          <w:sz w:val="15"/>
          <w:szCs w:val="15"/>
          <w:color w:val="auto"/>
        </w:rPr>
        <w:t xml:space="preserve">Approximately 66% of subjects received background COPD therapy, </w:t>
      </w:r>
      <w:r>
        <w:rPr>
          <w:rFonts w:ascii="Arial" w:cs="Arial" w:eastAsia="Arial" w:hAnsi="Arial"/>
          <w:sz w:val="15"/>
          <w:szCs w:val="15"/>
          <w:color w:val="232323"/>
        </w:rPr>
        <w:t xml:space="preserve">either a long-acting muscarinic antagonist (“LAMA”) or a long-acting beta-agonist (“LABA”). Additionally, approximately </w:t>
      </w:r>
      <w:r>
        <w:rPr>
          <w:rFonts w:ascii="Arial" w:cs="Arial" w:eastAsia="Arial" w:hAnsi="Arial"/>
          <w:sz w:val="15"/>
          <w:szCs w:val="15"/>
          <w:color w:val="000000"/>
        </w:rPr>
        <w:t>21% of all subjects received inhaled corticosteroids (“ICS”) with concomitant LAMA or LABA.</w:t>
      </w:r>
    </w:p>
    <w:p>
      <w:pPr>
        <w:spacing w:after="0" w:line="1" w:lineRule="exact"/>
        <w:rPr>
          <w:rFonts w:ascii="Arial" w:cs="Arial" w:eastAsia="Arial" w:hAnsi="Arial"/>
          <w:sz w:val="15"/>
          <w:szCs w:val="15"/>
          <w:color w:val="auto"/>
        </w:rPr>
      </w:pPr>
    </w:p>
    <w:p>
      <w:pPr>
        <w:ind w:left="620" w:hanging="309"/>
        <w:spacing w:after="0"/>
        <w:tabs>
          <w:tab w:leader="none" w:pos="620" w:val="left"/>
        </w:tabs>
        <w:numPr>
          <w:ilvl w:val="0"/>
          <w:numId w:val="2"/>
        </w:numPr>
        <w:rPr>
          <w:rFonts w:ascii="Arial" w:cs="Arial" w:eastAsia="Arial" w:hAnsi="Arial"/>
          <w:sz w:val="27"/>
          <w:szCs w:val="27"/>
          <w:color w:val="auto"/>
          <w:vertAlign w:val="superscript"/>
        </w:rPr>
      </w:pPr>
      <w:r>
        <w:rPr>
          <w:rFonts w:ascii="Arial" w:cs="Arial" w:eastAsia="Arial" w:hAnsi="Arial"/>
          <w:sz w:val="17"/>
          <w:szCs w:val="17"/>
          <w:b w:val="1"/>
          <w:bCs w:val="1"/>
          <w:color w:val="auto"/>
        </w:rPr>
        <w:t>Primary endpoint met (FEV</w:t>
      </w:r>
      <w:r>
        <w:rPr>
          <w:rFonts w:ascii="Arial" w:cs="Arial" w:eastAsia="Arial" w:hAnsi="Arial"/>
          <w:sz w:val="28"/>
          <w:szCs w:val="28"/>
          <w:b w:val="1"/>
          <w:bCs w:val="1"/>
          <w:color w:val="auto"/>
          <w:vertAlign w:val="subscript"/>
        </w:rPr>
        <w:t>1</w:t>
      </w:r>
      <w:r>
        <w:rPr>
          <w:rFonts w:ascii="Arial" w:cs="Arial" w:eastAsia="Arial" w:hAnsi="Arial"/>
          <w:sz w:val="17"/>
          <w:szCs w:val="17"/>
          <w:b w:val="1"/>
          <w:bCs w:val="1"/>
          <w:color w:val="auto"/>
        </w:rPr>
        <w:t>* AUC 0-12 hr)</w:t>
      </w:r>
      <w:r>
        <w:rPr>
          <w:rFonts w:ascii="Arial" w:cs="Arial" w:eastAsia="Arial" w:hAnsi="Arial"/>
          <w:sz w:val="17"/>
          <w:szCs w:val="17"/>
          <w:color w:val="auto"/>
        </w:rPr>
        <w:t>:</w:t>
      </w:r>
    </w:p>
    <w:p>
      <w:pPr>
        <w:spacing w:after="0" w:line="39" w:lineRule="exact"/>
        <w:rPr>
          <w:rFonts w:ascii="Arial" w:cs="Arial" w:eastAsia="Arial" w:hAnsi="Arial"/>
          <w:sz w:val="27"/>
          <w:szCs w:val="27"/>
          <w:color w:val="auto"/>
          <w:vertAlign w:val="superscript"/>
        </w:rPr>
      </w:pPr>
    </w:p>
    <w:p>
      <w:pPr>
        <w:ind w:left="1240" w:hanging="312"/>
        <w:spacing w:after="0" w:line="189" w:lineRule="auto"/>
        <w:tabs>
          <w:tab w:leader="none" w:pos="1240" w:val="left"/>
        </w:tabs>
        <w:numPr>
          <w:ilvl w:val="1"/>
          <w:numId w:val="2"/>
        </w:numPr>
        <w:rPr>
          <w:rFonts w:ascii="Arial" w:cs="Arial" w:eastAsia="Arial" w:hAnsi="Arial"/>
          <w:sz w:val="15"/>
          <w:szCs w:val="15"/>
          <w:color w:val="auto"/>
        </w:rPr>
      </w:pPr>
      <w:r>
        <w:rPr>
          <w:rFonts w:ascii="Arial" w:cs="Arial" w:eastAsia="Arial" w:hAnsi="Arial"/>
          <w:sz w:val="15"/>
          <w:szCs w:val="15"/>
          <w:color w:val="auto"/>
        </w:rPr>
        <w:t>Placebo corrected, change from baseline in FEV</w:t>
      </w:r>
      <w:r>
        <w:rPr>
          <w:rFonts w:ascii="Arial" w:cs="Arial" w:eastAsia="Arial" w:hAnsi="Arial"/>
          <w:sz w:val="24"/>
          <w:szCs w:val="24"/>
          <w:color w:val="auto"/>
          <w:vertAlign w:val="subscript"/>
        </w:rPr>
        <w:t>1</w:t>
      </w:r>
      <w:r>
        <w:rPr>
          <w:rFonts w:ascii="Arial" w:cs="Arial" w:eastAsia="Arial" w:hAnsi="Arial"/>
          <w:sz w:val="15"/>
          <w:szCs w:val="15"/>
          <w:color w:val="auto"/>
        </w:rPr>
        <w:t xml:space="preserve"> area under the curve 0-12 hours post dose at week 12 was 87 mL (p&lt;0.0001) for ensifentrine.</w:t>
      </w:r>
    </w:p>
    <w:p>
      <w:pPr>
        <w:spacing w:after="0" w:line="1" w:lineRule="exact"/>
        <w:rPr>
          <w:rFonts w:ascii="Arial" w:cs="Arial" w:eastAsia="Arial" w:hAnsi="Arial"/>
          <w:sz w:val="15"/>
          <w:szCs w:val="15"/>
          <w:color w:val="auto"/>
        </w:rPr>
      </w:pPr>
    </w:p>
    <w:p>
      <w:pPr>
        <w:ind w:left="1240" w:right="40" w:hanging="312"/>
        <w:spacing w:after="0" w:line="203" w:lineRule="auto"/>
        <w:tabs>
          <w:tab w:leader="none" w:pos="1240" w:val="left"/>
        </w:tabs>
        <w:numPr>
          <w:ilvl w:val="1"/>
          <w:numId w:val="2"/>
        </w:numPr>
        <w:rPr>
          <w:rFonts w:ascii="Arial" w:cs="Arial" w:eastAsia="Arial" w:hAnsi="Arial"/>
          <w:sz w:val="17"/>
          <w:szCs w:val="17"/>
          <w:color w:val="auto"/>
        </w:rPr>
      </w:pPr>
      <w:r>
        <w:rPr>
          <w:rFonts w:ascii="Arial" w:cs="Arial" w:eastAsia="Arial" w:hAnsi="Arial"/>
          <w:sz w:val="17"/>
          <w:szCs w:val="17"/>
          <w:color w:val="auto"/>
        </w:rPr>
        <w:t>Demonstrated consistent improvements in all subgroups including gender, age, smoking status, COPD severity, background medication, ICS use, chronic bronchitis, FEV</w:t>
      </w:r>
      <w:r>
        <w:rPr>
          <w:rFonts w:ascii="Arial" w:cs="Arial" w:eastAsia="Arial" w:hAnsi="Arial"/>
          <w:sz w:val="28"/>
          <w:szCs w:val="28"/>
          <w:color w:val="auto"/>
          <w:vertAlign w:val="subscript"/>
        </w:rPr>
        <w:t>1</w:t>
      </w:r>
      <w:r>
        <w:rPr>
          <w:rFonts w:ascii="Arial" w:cs="Arial" w:eastAsia="Arial" w:hAnsi="Arial"/>
          <w:sz w:val="17"/>
          <w:szCs w:val="17"/>
          <w:color w:val="auto"/>
        </w:rPr>
        <w:t xml:space="preserve"> reversibility and geographic region.</w:t>
      </w:r>
    </w:p>
    <w:p>
      <w:pPr>
        <w:spacing w:after="0" w:line="84" w:lineRule="exact"/>
        <w:rPr>
          <w:rFonts w:ascii="Arial" w:cs="Arial" w:eastAsia="Arial" w:hAnsi="Arial"/>
          <w:sz w:val="17"/>
          <w:szCs w:val="17"/>
          <w:color w:val="auto"/>
        </w:rPr>
      </w:pPr>
    </w:p>
    <w:p>
      <w:pPr>
        <w:ind w:left="620" w:hanging="309"/>
        <w:spacing w:after="0"/>
        <w:tabs>
          <w:tab w:leader="none" w:pos="620" w:val="left"/>
        </w:tabs>
        <w:numPr>
          <w:ilvl w:val="0"/>
          <w:numId w:val="2"/>
        </w:numPr>
        <w:rPr>
          <w:rFonts w:ascii="Arial" w:cs="Arial" w:eastAsia="Arial" w:hAnsi="Arial"/>
          <w:sz w:val="27"/>
          <w:szCs w:val="27"/>
          <w:color w:val="auto"/>
          <w:vertAlign w:val="superscript"/>
        </w:rPr>
      </w:pPr>
      <w:r>
        <w:rPr>
          <w:rFonts w:ascii="Arial" w:cs="Arial" w:eastAsia="Arial" w:hAnsi="Arial"/>
          <w:sz w:val="17"/>
          <w:szCs w:val="17"/>
          <w:b w:val="1"/>
          <w:bCs w:val="1"/>
          <w:color w:val="auto"/>
        </w:rPr>
        <w:t>Key secondary endpoints of lung function, symptoms and quality of life measures met</w:t>
      </w:r>
      <w:r>
        <w:rPr>
          <w:rFonts w:ascii="Arial" w:cs="Arial" w:eastAsia="Arial" w:hAnsi="Arial"/>
          <w:sz w:val="17"/>
          <w:szCs w:val="17"/>
          <w:color w:val="auto"/>
        </w:rPr>
        <w:t>:</w:t>
      </w:r>
    </w:p>
    <w:p>
      <w:pPr>
        <w:spacing w:after="0" w:line="2" w:lineRule="exact"/>
        <w:rPr>
          <w:rFonts w:ascii="Arial" w:cs="Arial" w:eastAsia="Arial" w:hAnsi="Arial"/>
          <w:sz w:val="27"/>
          <w:szCs w:val="27"/>
          <w:color w:val="auto"/>
          <w:vertAlign w:val="superscript"/>
        </w:rPr>
      </w:pPr>
    </w:p>
    <w:p>
      <w:pPr>
        <w:ind w:left="1240" w:hanging="312"/>
        <w:spacing w:after="0" w:line="182" w:lineRule="auto"/>
        <w:tabs>
          <w:tab w:leader="none" w:pos="1240" w:val="left"/>
        </w:tabs>
        <w:numPr>
          <w:ilvl w:val="1"/>
          <w:numId w:val="2"/>
        </w:numPr>
        <w:rPr>
          <w:rFonts w:ascii="Arial" w:cs="Arial" w:eastAsia="Arial" w:hAnsi="Arial"/>
          <w:sz w:val="16"/>
          <w:szCs w:val="16"/>
          <w:color w:val="auto"/>
        </w:rPr>
      </w:pPr>
      <w:r>
        <w:rPr>
          <w:rFonts w:ascii="Arial" w:cs="Arial" w:eastAsia="Arial" w:hAnsi="Arial"/>
          <w:sz w:val="16"/>
          <w:szCs w:val="16"/>
          <w:color w:val="auto"/>
        </w:rPr>
        <w:t>Placebo corrected, increase in peak FEV</w:t>
      </w:r>
      <w:r>
        <w:rPr>
          <w:rFonts w:ascii="Arial" w:cs="Arial" w:eastAsia="Arial" w:hAnsi="Arial"/>
          <w:sz w:val="25"/>
          <w:szCs w:val="25"/>
          <w:color w:val="auto"/>
          <w:vertAlign w:val="subscript"/>
        </w:rPr>
        <w:t>1</w:t>
      </w:r>
      <w:r>
        <w:rPr>
          <w:rFonts w:ascii="Arial" w:cs="Arial" w:eastAsia="Arial" w:hAnsi="Arial"/>
          <w:sz w:val="16"/>
          <w:szCs w:val="16"/>
          <w:color w:val="auto"/>
        </w:rPr>
        <w:t xml:space="preserve"> of 147 mL (p&lt;0.0001) 0-4 hours post dose at week 12.</w:t>
      </w:r>
    </w:p>
    <w:p>
      <w:pPr>
        <w:ind w:left="1240" w:right="380" w:hanging="312"/>
        <w:spacing w:after="0" w:line="266" w:lineRule="auto"/>
        <w:tabs>
          <w:tab w:leader="none" w:pos="1240" w:val="left"/>
        </w:tabs>
        <w:numPr>
          <w:ilvl w:val="1"/>
          <w:numId w:val="2"/>
        </w:numPr>
        <w:rPr>
          <w:rFonts w:ascii="Arial" w:cs="Arial" w:eastAsia="Arial" w:hAnsi="Arial"/>
          <w:sz w:val="16"/>
          <w:szCs w:val="16"/>
          <w:color w:val="auto"/>
        </w:rPr>
      </w:pPr>
      <w:r>
        <w:rPr>
          <w:rFonts w:ascii="Arial" w:cs="Arial" w:eastAsia="Arial" w:hAnsi="Arial"/>
          <w:sz w:val="16"/>
          <w:szCs w:val="16"/>
          <w:color w:val="auto"/>
        </w:rPr>
        <w:t>Daily symptoms as measured by E-RS** Total Score in the ensifentrine group improved from baseline to greater than the minimal clinically important difference (“MCID”) of -2 units with a statistically significant improvement compared to placebo at week 24. Improvements in symptoms were early and sustained with statistical significance versus placebo at weeks 6, 12 and 24.</w:t>
      </w:r>
    </w:p>
    <w:p>
      <w:pPr>
        <w:spacing w:after="0" w:line="2" w:lineRule="exact"/>
        <w:rPr>
          <w:rFonts w:ascii="Arial" w:cs="Arial" w:eastAsia="Arial" w:hAnsi="Arial"/>
          <w:sz w:val="16"/>
          <w:szCs w:val="16"/>
          <w:color w:val="auto"/>
        </w:rPr>
      </w:pPr>
    </w:p>
    <w:p>
      <w:pPr>
        <w:ind w:left="1240" w:right="160" w:hanging="312"/>
        <w:spacing w:after="0" w:line="252" w:lineRule="auto"/>
        <w:tabs>
          <w:tab w:leader="none" w:pos="1240" w:val="left"/>
        </w:tabs>
        <w:numPr>
          <w:ilvl w:val="1"/>
          <w:numId w:val="2"/>
        </w:numPr>
        <w:rPr>
          <w:rFonts w:ascii="Arial" w:cs="Arial" w:eastAsia="Arial" w:hAnsi="Arial"/>
          <w:sz w:val="17"/>
          <w:szCs w:val="17"/>
          <w:color w:val="auto"/>
        </w:rPr>
      </w:pPr>
      <w:r>
        <w:rPr>
          <w:rFonts w:ascii="Arial" w:cs="Arial" w:eastAsia="Arial" w:hAnsi="Arial"/>
          <w:sz w:val="17"/>
          <w:szCs w:val="17"/>
          <w:color w:val="auto"/>
        </w:rPr>
        <w:t>Quality of Life (“QOL”) as measured by SGRQ** Total Score in the ensifentrine group improved from baseline to greater than the MCID of -4 units with a statistically significant improvement compared to placebo at week 24. Improvements in QOL were early and sustained with statistical significance versus placebo at weeks 6, 12 and 24.</w:t>
      </w:r>
    </w:p>
    <w:p>
      <w:pPr>
        <w:ind w:left="1240" w:hanging="312"/>
        <w:spacing w:after="0" w:line="182" w:lineRule="auto"/>
        <w:tabs>
          <w:tab w:leader="none" w:pos="1240" w:val="left"/>
        </w:tabs>
        <w:numPr>
          <w:ilvl w:val="1"/>
          <w:numId w:val="2"/>
        </w:numPr>
        <w:rPr>
          <w:rFonts w:ascii="Arial" w:cs="Arial" w:eastAsia="Arial" w:hAnsi="Arial"/>
          <w:sz w:val="17"/>
          <w:szCs w:val="17"/>
          <w:color w:val="auto"/>
        </w:rPr>
      </w:pPr>
      <w:r>
        <w:rPr>
          <w:rFonts w:ascii="Arial" w:cs="Arial" w:eastAsia="Arial" w:hAnsi="Arial"/>
          <w:sz w:val="17"/>
          <w:szCs w:val="17"/>
          <w:color w:val="auto"/>
        </w:rPr>
        <w:t>Placebo corrected, increase in morning trough FEV</w:t>
      </w:r>
      <w:r>
        <w:rPr>
          <w:rFonts w:ascii="Arial" w:cs="Arial" w:eastAsia="Arial" w:hAnsi="Arial"/>
          <w:sz w:val="27"/>
          <w:szCs w:val="27"/>
          <w:color w:val="auto"/>
          <w:vertAlign w:val="subscript"/>
        </w:rPr>
        <w:t>1</w:t>
      </w:r>
      <w:r>
        <w:rPr>
          <w:rFonts w:ascii="Arial" w:cs="Arial" w:eastAsia="Arial" w:hAnsi="Arial"/>
          <w:sz w:val="17"/>
          <w:szCs w:val="17"/>
          <w:color w:val="auto"/>
        </w:rPr>
        <w:t xml:space="preserve"> of 35 mL (p=0.0421) at week 12, supporting twice daily dosing regimen.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251460</wp:posOffset>
            </wp:positionV>
            <wp:extent cx="71386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20"/>
          </w:cols>
          <w:pgMar w:left="320" w:top="866" w:right="359" w:bottom="1440" w:gutter="0" w:footer="0" w:header="0"/>
        </w:sectPr>
      </w:pPr>
    </w:p>
    <w:bookmarkStart w:id="2" w:name="page3"/>
    <w:bookmarkEnd w:id="2"/>
    <w:p>
      <w:pPr>
        <w:ind w:left="620" w:hanging="309"/>
        <w:spacing w:after="0"/>
        <w:tabs>
          <w:tab w:leader="none" w:pos="620" w:val="left"/>
        </w:tabs>
        <w:numPr>
          <w:ilvl w:val="0"/>
          <w:numId w:val="3"/>
        </w:numPr>
        <w:rPr>
          <w:rFonts w:ascii="Arial" w:cs="Arial" w:eastAsia="Arial" w:hAnsi="Arial"/>
          <w:sz w:val="27"/>
          <w:szCs w:val="27"/>
          <w:color w:val="auto"/>
          <w:vertAlign w:val="superscript"/>
        </w:rPr>
      </w:pPr>
      <w:r>
        <w:rPr>
          <w:rFonts w:ascii="Arial" w:cs="Arial" w:eastAsia="Arial" w:hAnsi="Arial"/>
          <w:sz w:val="17"/>
          <w:szCs w:val="17"/>
          <w:b w:val="1"/>
          <w:bCs w:val="1"/>
          <w:color w:val="auto"/>
        </w:rPr>
        <w:t>Exacerbation rate and risk reduced</w:t>
      </w:r>
      <w:r>
        <w:rPr>
          <w:rFonts w:ascii="Arial" w:cs="Arial" w:eastAsia="Arial" w:hAnsi="Arial"/>
          <w:sz w:val="17"/>
          <w:szCs w:val="17"/>
          <w:color w:val="auto"/>
        </w:rPr>
        <w:t>:</w:t>
      </w:r>
    </w:p>
    <w:p>
      <w:pPr>
        <w:spacing w:after="0" w:line="3" w:lineRule="exact"/>
        <w:rPr>
          <w:sz w:val="20"/>
          <w:szCs w:val="20"/>
          <w:color w:val="auto"/>
        </w:rPr>
      </w:pPr>
    </w:p>
    <w:p>
      <w:pPr>
        <w:ind w:left="1240" w:right="180" w:hanging="312"/>
        <w:spacing w:after="0" w:line="250" w:lineRule="auto"/>
        <w:tabs>
          <w:tab w:leader="none" w:pos="1240" w:val="left"/>
        </w:tabs>
        <w:numPr>
          <w:ilvl w:val="1"/>
          <w:numId w:val="4"/>
        </w:numPr>
        <w:rPr>
          <w:rFonts w:ascii="Arial" w:cs="Arial" w:eastAsia="Arial" w:hAnsi="Arial"/>
          <w:sz w:val="17"/>
          <w:szCs w:val="17"/>
          <w:color w:val="auto"/>
        </w:rPr>
      </w:pPr>
      <w:r>
        <w:rPr>
          <w:rFonts w:ascii="Arial" w:cs="Arial" w:eastAsia="Arial" w:hAnsi="Arial"/>
          <w:sz w:val="17"/>
          <w:szCs w:val="17"/>
          <w:color w:val="auto"/>
        </w:rPr>
        <w:t>Subjects receiving ensifentrine demonstrated a 36% reduction in the rate of moderate to severe COPD exacerbations over 24 weeks (p=0.0505) compared to those receiving placebo.</w:t>
      </w:r>
    </w:p>
    <w:p>
      <w:pPr>
        <w:ind w:left="1240" w:right="280" w:hanging="312"/>
        <w:spacing w:after="0" w:line="252" w:lineRule="auto"/>
        <w:tabs>
          <w:tab w:leader="none" w:pos="1240" w:val="left"/>
        </w:tabs>
        <w:numPr>
          <w:ilvl w:val="1"/>
          <w:numId w:val="4"/>
        </w:numPr>
        <w:rPr>
          <w:rFonts w:ascii="Arial" w:cs="Arial" w:eastAsia="Arial" w:hAnsi="Arial"/>
          <w:sz w:val="17"/>
          <w:szCs w:val="17"/>
          <w:color w:val="auto"/>
        </w:rPr>
      </w:pPr>
      <w:r>
        <w:rPr>
          <w:rFonts w:ascii="Arial" w:cs="Arial" w:eastAsia="Arial" w:hAnsi="Arial"/>
          <w:sz w:val="17"/>
          <w:szCs w:val="17"/>
          <w:color w:val="auto"/>
        </w:rPr>
        <w:t>Treatment with ensifentrine significantly decreased the risk of a moderate/severe exacerbation as measured by time to first exacerbation when compared with placebo by 38% (p=0.0378).</w:t>
      </w:r>
    </w:p>
    <w:p>
      <w:pPr>
        <w:ind w:left="1240" w:right="160" w:hanging="312"/>
        <w:spacing w:after="0" w:line="309" w:lineRule="auto"/>
        <w:tabs>
          <w:tab w:leader="none" w:pos="1240" w:val="left"/>
        </w:tabs>
        <w:numPr>
          <w:ilvl w:val="1"/>
          <w:numId w:val="4"/>
        </w:numPr>
        <w:rPr>
          <w:rFonts w:ascii="Arial" w:cs="Arial" w:eastAsia="Arial" w:hAnsi="Arial"/>
          <w:sz w:val="15"/>
          <w:szCs w:val="15"/>
          <w:color w:val="auto"/>
        </w:rPr>
      </w:pPr>
      <w:r>
        <w:rPr>
          <w:rFonts w:ascii="Arial" w:cs="Arial" w:eastAsia="Arial" w:hAnsi="Arial"/>
          <w:sz w:val="15"/>
          <w:szCs w:val="15"/>
          <w:color w:val="auto"/>
        </w:rPr>
        <w:t>Pooled exacerbation data from ENHANCE-1 and ENHANCE-2, ensifentrine demonstrated a 40% reduction in the rate of moderate to severe COPD exacerbations over 24 weeks (p=0.0012) compared to those receiving placebo. Additionally, ensifentrine significantly decreased the risk of a moderate/severe exacerbation as measured by time to first exacerbation when compared with placebo by 41% (p=0.0008).</w:t>
      </w:r>
    </w:p>
    <w:p>
      <w:pPr>
        <w:spacing w:after="0" w:line="51" w:lineRule="exact"/>
        <w:rPr>
          <w:rFonts w:ascii="Arial" w:cs="Arial" w:eastAsia="Arial" w:hAnsi="Arial"/>
          <w:sz w:val="15"/>
          <w:szCs w:val="15"/>
          <w:color w:val="auto"/>
        </w:rPr>
      </w:pPr>
    </w:p>
    <w:p>
      <w:pPr>
        <w:ind w:left="620" w:hanging="309"/>
        <w:spacing w:after="0"/>
        <w:tabs>
          <w:tab w:leader="none" w:pos="620" w:val="left"/>
        </w:tabs>
        <w:numPr>
          <w:ilvl w:val="0"/>
          <w:numId w:val="4"/>
        </w:numPr>
        <w:rPr>
          <w:rFonts w:ascii="Arial" w:cs="Arial" w:eastAsia="Arial" w:hAnsi="Arial"/>
          <w:sz w:val="27"/>
          <w:szCs w:val="27"/>
          <w:color w:val="auto"/>
          <w:vertAlign w:val="superscript"/>
        </w:rPr>
      </w:pPr>
      <w:r>
        <w:rPr>
          <w:rFonts w:ascii="Arial" w:cs="Arial" w:eastAsia="Arial" w:hAnsi="Arial"/>
          <w:sz w:val="17"/>
          <w:szCs w:val="17"/>
          <w:b w:val="1"/>
          <w:bCs w:val="1"/>
          <w:color w:val="auto"/>
        </w:rPr>
        <w:t>Favorable safety profile:</w:t>
      </w:r>
    </w:p>
    <w:p>
      <w:pPr>
        <w:spacing w:after="0" w:line="2" w:lineRule="exact"/>
        <w:rPr>
          <w:rFonts w:ascii="Arial" w:cs="Arial" w:eastAsia="Arial" w:hAnsi="Arial"/>
          <w:sz w:val="27"/>
          <w:szCs w:val="27"/>
          <w:color w:val="auto"/>
          <w:vertAlign w:val="superscript"/>
        </w:rPr>
      </w:pPr>
    </w:p>
    <w:p>
      <w:pPr>
        <w:ind w:left="1240" w:hanging="312"/>
        <w:spacing w:after="0"/>
        <w:tabs>
          <w:tab w:leader="none" w:pos="1240" w:val="left"/>
        </w:tabs>
        <w:numPr>
          <w:ilvl w:val="1"/>
          <w:numId w:val="4"/>
        </w:numPr>
        <w:rPr>
          <w:rFonts w:ascii="Arial" w:cs="Arial" w:eastAsia="Arial" w:hAnsi="Arial"/>
          <w:sz w:val="16"/>
          <w:szCs w:val="16"/>
          <w:color w:val="auto"/>
        </w:rPr>
      </w:pPr>
      <w:r>
        <w:rPr>
          <w:rFonts w:ascii="Arial" w:cs="Arial" w:eastAsia="Arial" w:hAnsi="Arial"/>
          <w:sz w:val="16"/>
          <w:szCs w:val="16"/>
          <w:color w:val="auto"/>
        </w:rPr>
        <w:t>Ensifentrine was well-tolerated with very few events occurring in more than 1% of subjects and greater than placebo over 24 and 48 weeks.</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color w:val="auto"/>
        </w:rPr>
        <w:t>*FEV</w:t>
      </w:r>
      <w:r>
        <w:rPr>
          <w:rFonts w:ascii="Arial" w:cs="Arial" w:eastAsia="Arial" w:hAnsi="Arial"/>
          <w:sz w:val="28"/>
          <w:szCs w:val="28"/>
          <w:color w:val="auto"/>
          <w:vertAlign w:val="subscript"/>
        </w:rPr>
        <w:t>1</w:t>
      </w:r>
      <w:r>
        <w:rPr>
          <w:rFonts w:ascii="Arial" w:cs="Arial" w:eastAsia="Arial" w:hAnsi="Arial"/>
          <w:sz w:val="17"/>
          <w:szCs w:val="17"/>
          <w:color w:val="auto"/>
        </w:rPr>
        <w:t>: Forced Expiratory Volume in one second, a standard measure of lung function</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**E-RS, Evaluating Respiratory Symptoms, and SGRQ, St. George’s Respiratory Questionnaire, are validated patient reported outcome tools</w:t>
      </w:r>
    </w:p>
    <w:p>
      <w:pPr>
        <w:spacing w:after="0" w:line="216" w:lineRule="exact"/>
        <w:rPr>
          <w:sz w:val="20"/>
          <w:szCs w:val="20"/>
          <w:color w:val="auto"/>
        </w:rPr>
      </w:pPr>
    </w:p>
    <w:p>
      <w:pPr>
        <w:ind w:right="400"/>
        <w:spacing w:after="0" w:line="278" w:lineRule="auto"/>
        <w:rPr>
          <w:sz w:val="20"/>
          <w:szCs w:val="20"/>
          <w:color w:val="auto"/>
        </w:rPr>
      </w:pPr>
      <w:r>
        <w:rPr>
          <w:rFonts w:ascii="Arial" w:cs="Arial" w:eastAsia="Arial" w:hAnsi="Arial"/>
          <w:sz w:val="17"/>
          <w:szCs w:val="17"/>
          <w:color w:val="auto"/>
        </w:rPr>
        <w:t>The Company plans to submit a New Drug Application to the U.S. Food and Drug Administration (the “FDA”) in the first half of 2023. Subject to review and approval by the FDA, the Company anticipates commercial launch of ensifentrine in the second half of 2024.</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9.01. Financial Statements and Exhibits.</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(d) Exhibits</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Exhibit 99.1 relating to Item 7.01 shall be deemed to be furnished, and not filed: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380" w:type="dxa"/>
            <w:vAlign w:val="bottom"/>
            <w:gridSpan w:val="4"/>
          </w:tcPr>
          <w:p>
            <w:pPr>
              <w:jc w:val="center"/>
              <w:ind w:right="360"/>
              <w:spacing w:after="0"/>
              <w:rPr>
                <w:sz w:val="20"/>
                <w:szCs w:val="20"/>
                <w:color w:val="auto"/>
              </w:rPr>
            </w:pPr>
            <w:r>
              <w:rPr>
                <w:rFonts w:ascii="Arial" w:cs="Arial" w:eastAsia="Arial" w:hAnsi="Arial"/>
                <w:sz w:val="17"/>
                <w:szCs w:val="17"/>
                <w:b w:val="1"/>
                <w:bCs w:val="1"/>
                <w:color w:val="auto"/>
                <w:w w:val="95"/>
              </w:rPr>
              <w:t>Exhibit</w:t>
            </w:r>
          </w:p>
        </w:tc>
        <w:tc>
          <w:tcPr>
            <w:tcW w:w="986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Description</w:t>
            </w:r>
          </w:p>
        </w:tc>
        <w:tc>
          <w:tcPr>
            <w:tcW w:w="0" w:type="dxa"/>
            <w:vAlign w:val="bottom"/>
          </w:tcPr>
          <w:p>
            <w:pPr>
              <w:spacing w:after="0"/>
              <w:rPr>
                <w:sz w:val="1"/>
                <w:szCs w:val="1"/>
                <w:color w:val="auto"/>
              </w:rPr>
            </w:pPr>
          </w:p>
        </w:tc>
      </w:tr>
      <w:tr>
        <w:trPr>
          <w:trHeight w:val="217"/>
        </w:trPr>
        <w:tc>
          <w:tcPr>
            <w:tcW w:w="360" w:type="dxa"/>
            <w:vAlign w:val="bottom"/>
          </w:tcPr>
          <w:p>
            <w:pPr>
              <w:spacing w:after="0"/>
              <w:rPr>
                <w:sz w:val="18"/>
                <w:szCs w:val="18"/>
                <w:color w:val="auto"/>
              </w:rPr>
            </w:pPr>
          </w:p>
        </w:tc>
        <w:tc>
          <w:tcPr>
            <w:tcW w:w="1020" w:type="dxa"/>
            <w:vAlign w:val="bottom"/>
            <w:gridSpan w:val="3"/>
          </w:tcPr>
          <w:p>
            <w:pPr>
              <w:jc w:val="center"/>
              <w:ind w:right="700"/>
              <w:spacing w:after="0"/>
              <w:rPr>
                <w:sz w:val="20"/>
                <w:szCs w:val="20"/>
                <w:color w:val="auto"/>
              </w:rPr>
            </w:pPr>
            <w:r>
              <w:rPr>
                <w:rFonts w:ascii="Arial" w:cs="Arial" w:eastAsia="Arial" w:hAnsi="Arial"/>
                <w:sz w:val="17"/>
                <w:szCs w:val="17"/>
                <w:b w:val="1"/>
                <w:bCs w:val="1"/>
                <w:color w:val="auto"/>
                <w:w w:val="87"/>
              </w:rPr>
              <w:t>No.</w:t>
            </w:r>
          </w:p>
        </w:tc>
        <w:tc>
          <w:tcPr>
            <w:tcW w:w="98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73"/>
        </w:trPr>
        <w:tc>
          <w:tcPr>
            <w:tcW w:w="1040" w:type="dxa"/>
            <w:vAlign w:val="bottom"/>
            <w:tcBorders>
              <w:top w:val="single" w:sz="8" w:color="auto"/>
            </w:tcBorders>
            <w:gridSpan w:val="3"/>
          </w:tcPr>
          <w:p>
            <w:pPr>
              <w:jc w:val="center"/>
              <w:ind w:right="360"/>
              <w:spacing w:after="0"/>
              <w:rPr>
                <w:sz w:val="20"/>
                <w:szCs w:val="20"/>
                <w:color w:val="auto"/>
              </w:rPr>
            </w:pPr>
            <w:r>
              <w:rPr>
                <w:rFonts w:ascii="Arial" w:cs="Arial" w:eastAsia="Arial" w:hAnsi="Arial"/>
                <w:sz w:val="17"/>
                <w:szCs w:val="17"/>
                <w:color w:val="0000EE"/>
              </w:rPr>
              <w:t>99.</w:t>
            </w:r>
            <w:r>
              <w:rPr>
                <w:rFonts w:ascii="Arial" w:cs="Arial" w:eastAsia="Arial" w:hAnsi="Arial"/>
                <w:sz w:val="17"/>
                <w:szCs w:val="17"/>
                <w:u w:val="single" w:color="auto"/>
                <w:color w:val="0000EE"/>
              </w:rPr>
              <w:t>1</w:t>
            </w:r>
          </w:p>
        </w:tc>
        <w:tc>
          <w:tcPr>
            <w:tcW w:w="340" w:type="dxa"/>
            <w:vAlign w:val="bottom"/>
          </w:tcPr>
          <w:p>
            <w:pPr>
              <w:spacing w:after="0"/>
              <w:rPr>
                <w:sz w:val="24"/>
                <w:szCs w:val="24"/>
                <w:color w:val="auto"/>
              </w:rPr>
            </w:pPr>
          </w:p>
        </w:tc>
        <w:tc>
          <w:tcPr>
            <w:tcW w:w="4760" w:type="dxa"/>
            <w:vAlign w:val="bottom"/>
            <w:tcBorders>
              <w:top w:val="single" w:sz="8" w:color="auto"/>
              <w:bottom w:val="single" w:sz="8" w:color="0000EE"/>
            </w:tcBorders>
          </w:tcPr>
          <w:p>
            <w:pPr>
              <w:spacing w:after="0"/>
              <w:rPr>
                <w:sz w:val="20"/>
                <w:szCs w:val="20"/>
                <w:color w:val="auto"/>
              </w:rPr>
            </w:pPr>
            <w:r>
              <w:rPr>
                <w:rFonts w:ascii="Arial" w:cs="Arial" w:eastAsia="Arial" w:hAnsi="Arial"/>
                <w:sz w:val="17"/>
                <w:szCs w:val="17"/>
                <w:color w:val="0000EE"/>
                <w:w w:val="90"/>
              </w:rPr>
              <w:t>ENHANCE-1 Phase 3 Data Slide Presentation of Verona Pharma plc.</w:t>
            </w:r>
          </w:p>
        </w:tc>
        <w:tc>
          <w:tcPr>
            <w:tcW w:w="51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60" w:type="dxa"/>
            <w:vAlign w:val="bottom"/>
            <w:gridSpan w:val="2"/>
          </w:tcPr>
          <w:p>
            <w:pPr>
              <w:jc w:val="right"/>
              <w:spacing w:after="0"/>
              <w:rPr>
                <w:sz w:val="20"/>
                <w:szCs w:val="20"/>
                <w:color w:val="auto"/>
              </w:rPr>
            </w:pPr>
            <w:r>
              <w:rPr>
                <w:rFonts w:ascii="Arial" w:cs="Arial" w:eastAsia="Arial" w:hAnsi="Arial"/>
                <w:sz w:val="17"/>
                <w:szCs w:val="17"/>
                <w:color w:val="auto"/>
              </w:rPr>
              <w:t>104</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60" w:type="dxa"/>
            <w:vAlign w:val="bottom"/>
            <w:gridSpan w:val="2"/>
          </w:tcPr>
          <w:p>
            <w:pPr>
              <w:spacing w:after="0"/>
              <w:rPr>
                <w:sz w:val="20"/>
                <w:szCs w:val="20"/>
                <w:color w:val="auto"/>
              </w:rPr>
            </w:pPr>
            <w:r>
              <w:rPr>
                <w:rFonts w:ascii="Arial" w:cs="Arial" w:eastAsia="Arial" w:hAnsi="Arial"/>
                <w:sz w:val="17"/>
                <w:szCs w:val="17"/>
                <w:color w:val="auto"/>
              </w:rPr>
              <w:t>Cover Page Interactive Data File (the cover page XBRL tags are embedded within the Inline XBRL document)</w:t>
            </w:r>
          </w:p>
        </w:tc>
        <w:tc>
          <w:tcPr>
            <w:tcW w:w="0" w:type="dxa"/>
            <w:vAlign w:val="bottom"/>
          </w:tcPr>
          <w:p>
            <w:pPr>
              <w:spacing w:after="0"/>
              <w:rPr>
                <w:sz w:val="1"/>
                <w:szCs w:val="1"/>
                <w:color w:val="auto"/>
              </w:rPr>
            </w:pPr>
          </w:p>
        </w:tc>
      </w:tr>
      <w:tr>
        <w:trPr>
          <w:trHeight w:val="413"/>
        </w:trPr>
        <w:tc>
          <w:tcPr>
            <w:tcW w:w="3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760" w:type="dxa"/>
            <w:vAlign w:val="bottom"/>
            <w:tcBorders>
              <w:bottom w:val="single" w:sz="8" w:color="auto"/>
            </w:tcBorders>
          </w:tcPr>
          <w:p>
            <w:pPr>
              <w:spacing w:after="0"/>
              <w:rPr>
                <w:sz w:val="24"/>
                <w:szCs w:val="24"/>
                <w:color w:val="auto"/>
              </w:rPr>
            </w:pPr>
          </w:p>
        </w:tc>
        <w:tc>
          <w:tcPr>
            <w:tcW w:w="5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78" w:right="339" w:bottom="1440" w:gutter="0" w:footer="0" w:header="0"/>
        </w:sectPr>
      </w:pPr>
    </w:p>
    <w:bookmarkStart w:id="3" w:name="page4"/>
    <w:bookmarkEnd w:id="3"/>
    <w:p>
      <w:pPr>
        <w:spacing w:after="0"/>
        <w:rPr>
          <w:sz w:val="20"/>
          <w:szCs w:val="20"/>
          <w:color w:val="auto"/>
        </w:rPr>
      </w:pPr>
      <w:r>
        <w:rPr>
          <w:rFonts w:ascii="Arial" w:cs="Arial" w:eastAsia="Arial" w:hAnsi="Arial"/>
          <w:sz w:val="17"/>
          <w:szCs w:val="17"/>
          <w:b w:val="1"/>
          <w:bCs w:val="1"/>
          <w:i w:val="1"/>
          <w:iCs w:val="1"/>
          <w:color w:val="auto"/>
        </w:rPr>
        <w:t>Forward-Looking Statements</w:t>
      </w:r>
    </w:p>
    <w:p>
      <w:pPr>
        <w:spacing w:after="0" w:line="216" w:lineRule="exact"/>
        <w:rPr>
          <w:sz w:val="20"/>
          <w:szCs w:val="20"/>
          <w:color w:val="auto"/>
        </w:rPr>
      </w:pPr>
    </w:p>
    <w:p>
      <w:pPr>
        <w:spacing w:after="0" w:line="288" w:lineRule="auto"/>
        <w:rPr>
          <w:sz w:val="20"/>
          <w:szCs w:val="20"/>
          <w:color w:val="auto"/>
        </w:rPr>
      </w:pPr>
      <w:r>
        <w:rPr>
          <w:rFonts w:ascii="Arial" w:cs="Arial" w:eastAsia="Arial" w:hAnsi="Arial"/>
          <w:sz w:val="15"/>
          <w:szCs w:val="15"/>
          <w:i w:val="1"/>
          <w:iCs w:val="1"/>
          <w:color w:val="auto"/>
        </w:rPr>
        <w:t>This Current Report contains forward-looking statements within the meaning of the Private Securities Litigation Reform Act of 1995. All statements contained in this Current Report that do not relate to matters of historical fact should be considered forward-looking statements, including without limitation statements regarding the submission of a New Drug Application to the FDA and the timing for such an application and the Company’s ability to commercialize ensifentrine and the timing of commercial launch. These forward-looking statements are based on management's current expectations. These statements are neither promises nor guarantees, but involve known and unknown risks, uncertainties and other important factors that may cause the Company’s actual results, performance or achievements to be materially different from its expectations expressed or implied by the forward-looking statements, including without limitation: general business, financial and accounting risks; the Company’s need for additional funding to complete development and commercialization of ensifentrine, which may not be available and which may force the Company to delay, reduce or eliminate development or commercialization efforts; the reliance of the Company’s business on the success of ensifentrine, its only product candidate under development; economic, political, regulatory and other risks involved with international operations; the lengthy and expensive process of clinical drug development, which has an uncertain outcome; serious adverse, undesirable or unacceptable side effects associated with ensifentrine, which could adversely affect the Company’s ability to develop or commercialize ensifentrine; potential delays in enrolling patients, which could adversely affect the Company’s research and development efforts and the completion of its clinical trials; the Company’s ability to obtain approval for and commercialize ensifentrine in multiple major pharmaceutical markets; material differences between the Company’s “top-line” data and final data; the Company’s reliance on third parties, including clinical research organizations, clinical investigators, manufacturers and suppliers, and the risks related to these parties’ ability to successfully develop and commercialize ensifentrine; changes in the Company’s tax rates, unavailability of certain tax credits or reliefs or exposure to additional tax liabilities or assessments could affect profitability, and audits by tax authorities could result in additional tax payments for prior periods; the Company’s vulnerability to natural disasters, global economic factors and other unexpected events, including health epidemics or pandemics like the COVID-19 pandemic, which has and may continue to adversely impact the Company’s business, and Russia’s invasion of Ukraine; and the other important factors discussed under the caption “Risk Factors” in its Annual Report on Form 10-K for the year ended December 31, 2021 and as any such factors may be updated from time to time in its other filings with the Securities and Exchange Commission. Any such forward-looking statements represent management's estimates as of the date of this Current Report. While the Company may elect to update such forward-looking statements at some point in the future, it disclaims any obligation to do so, even if subsequent events cause its views to change. These forward-looking statements should not be relied upon as representing the Company’s views as of any date subsequent to the date of this Current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379730</wp:posOffset>
            </wp:positionV>
            <wp:extent cx="71386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180"/>
          </w:cols>
          <w:pgMar w:left="320" w:top="872" w:right="399" w:bottom="1440" w:gutter="0" w:footer="0" w:header="0"/>
        </w:sectPr>
      </w:pPr>
    </w:p>
    <w:bookmarkStart w:id="4" w:name="page5"/>
    <w:bookmarkEnd w:id="4"/>
    <w:p>
      <w:pPr>
        <w:jc w:val="center"/>
        <w:spacing w:after="0"/>
        <w:rPr>
          <w:sz w:val="20"/>
          <w:szCs w:val="20"/>
          <w:color w:val="auto"/>
        </w:rPr>
      </w:pPr>
      <w:r>
        <w:rPr>
          <w:rFonts w:ascii="Arial" w:cs="Arial" w:eastAsia="Arial" w:hAnsi="Arial"/>
          <w:sz w:val="17"/>
          <w:szCs w:val="17"/>
          <w:b w:val="1"/>
          <w:bCs w:val="1"/>
          <w:color w:val="auto"/>
        </w:rPr>
        <w:t>SIGNATURES</w:t>
      </w:r>
    </w:p>
    <w:p>
      <w:pPr>
        <w:spacing w:after="0" w:line="222" w:lineRule="exact"/>
        <w:rPr>
          <w:sz w:val="20"/>
          <w:szCs w:val="20"/>
          <w:color w:val="auto"/>
        </w:rPr>
      </w:pPr>
    </w:p>
    <w:p>
      <w:pPr>
        <w:ind w:right="580"/>
        <w:spacing w:after="0" w:line="278"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700" w:type="dxa"/>
            <w:vAlign w:val="bottom"/>
          </w:tcPr>
          <w:p>
            <w:pPr>
              <w:spacing w:after="0"/>
              <w:rPr>
                <w:sz w:val="19"/>
                <w:szCs w:val="19"/>
                <w:color w:val="auto"/>
              </w:rPr>
            </w:pPr>
          </w:p>
        </w:tc>
        <w:tc>
          <w:tcPr>
            <w:tcW w:w="7540" w:type="dxa"/>
            <w:vAlign w:val="bottom"/>
            <w:gridSpan w:val="2"/>
          </w:tcPr>
          <w:p>
            <w:pPr>
              <w:ind w:left="1940"/>
              <w:spacing w:after="0"/>
              <w:rPr>
                <w:sz w:val="20"/>
                <w:szCs w:val="20"/>
                <w:color w:val="auto"/>
              </w:rPr>
            </w:pPr>
            <w:r>
              <w:rPr>
                <w:rFonts w:ascii="Arial" w:cs="Arial" w:eastAsia="Arial" w:hAnsi="Arial"/>
                <w:sz w:val="17"/>
                <w:szCs w:val="17"/>
                <w:b w:val="1"/>
                <w:bCs w:val="1"/>
                <w:color w:val="auto"/>
              </w:rPr>
              <w:t>VERONA PHARMA PLC</w:t>
            </w:r>
          </w:p>
        </w:tc>
      </w:tr>
      <w:tr>
        <w:trPr>
          <w:trHeight w:val="411"/>
        </w:trPr>
        <w:tc>
          <w:tcPr>
            <w:tcW w:w="3700" w:type="dxa"/>
            <w:vAlign w:val="bottom"/>
          </w:tcPr>
          <w:p>
            <w:pPr>
              <w:spacing w:after="0"/>
              <w:rPr>
                <w:sz w:val="20"/>
                <w:szCs w:val="20"/>
                <w:color w:val="auto"/>
              </w:rPr>
            </w:pPr>
            <w:r>
              <w:rPr>
                <w:rFonts w:ascii="Arial" w:cs="Arial" w:eastAsia="Arial" w:hAnsi="Arial"/>
                <w:sz w:val="17"/>
                <w:szCs w:val="17"/>
                <w:color w:val="auto"/>
              </w:rPr>
              <w:t>Date: December 20, 2022</w:t>
            </w:r>
          </w:p>
        </w:tc>
        <w:tc>
          <w:tcPr>
            <w:tcW w:w="2500" w:type="dxa"/>
            <w:vAlign w:val="bottom"/>
          </w:tcPr>
          <w:p>
            <w:pPr>
              <w:ind w:left="1940"/>
              <w:spacing w:after="0"/>
              <w:rPr>
                <w:sz w:val="20"/>
                <w:szCs w:val="20"/>
                <w:color w:val="auto"/>
              </w:rPr>
            </w:pPr>
            <w:r>
              <w:rPr>
                <w:rFonts w:ascii="Arial" w:cs="Arial" w:eastAsia="Arial" w:hAnsi="Arial"/>
                <w:sz w:val="17"/>
                <w:szCs w:val="17"/>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David Zaccardelli</w:t>
            </w:r>
          </w:p>
        </w:tc>
      </w:tr>
      <w:tr>
        <w:trPr>
          <w:trHeight w:val="187"/>
        </w:trPr>
        <w:tc>
          <w:tcPr>
            <w:tcW w:w="3700" w:type="dxa"/>
            <w:vAlign w:val="bottom"/>
          </w:tcPr>
          <w:p>
            <w:pPr>
              <w:spacing w:after="0"/>
              <w:rPr>
                <w:sz w:val="16"/>
                <w:szCs w:val="16"/>
                <w:color w:val="auto"/>
              </w:rPr>
            </w:pPr>
          </w:p>
        </w:tc>
        <w:tc>
          <w:tcPr>
            <w:tcW w:w="2500" w:type="dxa"/>
            <w:vAlign w:val="bottom"/>
          </w:tcPr>
          <w:p>
            <w:pPr>
              <w:ind w:left="1940"/>
              <w:spacing w:after="0" w:line="188" w:lineRule="exact"/>
              <w:rPr>
                <w:sz w:val="20"/>
                <w:szCs w:val="20"/>
                <w:color w:val="auto"/>
              </w:rPr>
            </w:pPr>
            <w:r>
              <w:rPr>
                <w:rFonts w:ascii="Arial" w:cs="Arial" w:eastAsia="Arial" w:hAnsi="Arial"/>
                <w:sz w:val="17"/>
                <w:szCs w:val="17"/>
                <w:color w:val="auto"/>
              </w:rPr>
              <w:t>Name:</w:t>
            </w:r>
          </w:p>
        </w:tc>
        <w:tc>
          <w:tcPr>
            <w:tcW w:w="5040" w:type="dxa"/>
            <w:vAlign w:val="bottom"/>
          </w:tcPr>
          <w:p>
            <w:pPr>
              <w:spacing w:after="0" w:line="188" w:lineRule="exact"/>
              <w:rPr>
                <w:sz w:val="20"/>
                <w:szCs w:val="20"/>
                <w:color w:val="auto"/>
              </w:rPr>
            </w:pPr>
            <w:r>
              <w:rPr>
                <w:rFonts w:ascii="Arial" w:cs="Arial" w:eastAsia="Arial" w:hAnsi="Arial"/>
                <w:sz w:val="17"/>
                <w:szCs w:val="17"/>
                <w:color w:val="auto"/>
              </w:rPr>
              <w:t>David Zaccardelli, Pharm. D.</w:t>
            </w:r>
          </w:p>
        </w:tc>
      </w:tr>
      <w:tr>
        <w:trPr>
          <w:trHeight w:val="217"/>
        </w:trPr>
        <w:tc>
          <w:tcPr>
            <w:tcW w:w="3700" w:type="dxa"/>
            <w:vAlign w:val="bottom"/>
          </w:tcPr>
          <w:p>
            <w:pPr>
              <w:spacing w:after="0"/>
              <w:rPr>
                <w:sz w:val="18"/>
                <w:szCs w:val="18"/>
                <w:color w:val="auto"/>
              </w:rPr>
            </w:pPr>
          </w:p>
        </w:tc>
        <w:tc>
          <w:tcPr>
            <w:tcW w:w="2500" w:type="dxa"/>
            <w:vAlign w:val="bottom"/>
          </w:tcPr>
          <w:p>
            <w:pPr>
              <w:ind w:left="1940"/>
              <w:spacing w:after="0"/>
              <w:rPr>
                <w:sz w:val="20"/>
                <w:szCs w:val="20"/>
                <w:color w:val="auto"/>
              </w:rPr>
            </w:pPr>
            <w:r>
              <w:rPr>
                <w:rFonts w:ascii="Arial" w:cs="Arial" w:eastAsia="Arial" w:hAnsi="Arial"/>
                <w:sz w:val="17"/>
                <w:szCs w:val="17"/>
                <w:color w:val="auto"/>
              </w:rPr>
              <w:t>Title:</w:t>
            </w:r>
          </w:p>
        </w:tc>
        <w:tc>
          <w:tcPr>
            <w:tcW w:w="5040" w:type="dxa"/>
            <w:vAlign w:val="bottom"/>
          </w:tcPr>
          <w:p>
            <w:pPr>
              <w:spacing w:after="0"/>
              <w:rPr>
                <w:sz w:val="20"/>
                <w:szCs w:val="20"/>
                <w:color w:val="auto"/>
              </w:rPr>
            </w:pPr>
            <w:r>
              <w:rPr>
                <w:rFonts w:ascii="Arial" w:cs="Arial" w:eastAsia="Arial" w:hAnsi="Arial"/>
                <w:sz w:val="17"/>
                <w:szCs w:val="17"/>
                <w:color w:val="auto"/>
              </w:rPr>
              <w:t>President and Chief Executive Officer</w:t>
            </w:r>
          </w:p>
        </w:tc>
      </w:tr>
      <w:tr>
        <w:trPr>
          <w:trHeight w:val="413"/>
        </w:trPr>
        <w:tc>
          <w:tcPr>
            <w:tcW w:w="370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66" w:right="339" w:bottom="1440" w:gutter="0" w:footer="0" w:header="0"/>
        </w:sectPr>
      </w:pPr>
    </w:p>
    <w:bookmarkStart w:id="5" w:name="page6"/>
    <w:bookmarkEnd w:id="5"/>
    <w:p>
      <w:pPr>
        <w:ind w:left="9240"/>
        <w:spacing w:after="0"/>
        <w:rPr>
          <w:sz w:val="20"/>
          <w:szCs w:val="20"/>
          <w:color w:val="auto"/>
        </w:rPr>
      </w:pPr>
      <w:r>
        <w:rPr>
          <w:rFonts w:ascii="Arial" w:cs="Arial" w:eastAsia="Arial" w:hAnsi="Arial"/>
          <w:sz w:val="15"/>
          <w:szCs w:val="15"/>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-643255</wp:posOffset>
            </wp:positionH>
            <wp:positionV relativeFrom="paragraph">
              <wp:posOffset>163195</wp:posOffset>
            </wp:positionV>
            <wp:extent cx="6885940" cy="42017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85940" cy="420179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88900</wp:posOffset>
            </wp:positionV>
            <wp:extent cx="6885940" cy="42017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85940" cy="42017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88900</wp:posOffset>
            </wp:positionV>
            <wp:extent cx="6885940" cy="42017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85940" cy="42017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88900</wp:posOffset>
            </wp:positionV>
            <wp:extent cx="6885940" cy="42017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85940" cy="42017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88900</wp:posOffset>
            </wp:positionV>
            <wp:extent cx="6885940" cy="42017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85940" cy="42017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88900</wp:posOffset>
            </wp:positionV>
            <wp:extent cx="6885940" cy="42017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85940" cy="42017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88900</wp:posOffset>
            </wp:positionV>
            <wp:extent cx="6885940" cy="42017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85940" cy="42017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88900</wp:posOffset>
            </wp:positionV>
            <wp:extent cx="6885940" cy="42017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85940" cy="42017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88900</wp:posOffset>
            </wp:positionV>
            <wp:extent cx="6885940" cy="42017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85940" cy="42017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88900</wp:posOffset>
            </wp:positionV>
            <wp:extent cx="6885940" cy="42017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85940" cy="42017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88900</wp:posOffset>
            </wp:positionV>
            <wp:extent cx="6885940" cy="42017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85940" cy="42017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88900</wp:posOffset>
            </wp:positionV>
            <wp:extent cx="6885940" cy="42017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85940" cy="42017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88900</wp:posOffset>
            </wp:positionV>
            <wp:extent cx="6885940" cy="42017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85940" cy="42017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392430</wp:posOffset>
            </wp:positionH>
            <wp:positionV relativeFrom="page">
              <wp:posOffset>4265930</wp:posOffset>
            </wp:positionV>
            <wp:extent cx="6763385" cy="247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763385" cy="247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88900</wp:posOffset>
            </wp:positionV>
            <wp:extent cx="6885940" cy="42017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85940" cy="42017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lvl w:ilvl="1">
      <w:lvlJc w:val="left"/>
      <w:lvlText w:val="o"/>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lvl w:ilvl="1">
      <w:lvlJc w:val="left"/>
      <w:lvlText w:val="o"/>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2022-12-20T05:16:23Z</dcterms:created>
  <dcterms:modified xsi:type="dcterms:W3CDTF">2022-12-20T05:16:23Z</dcterms:modified>
</cp:coreProperties>
</file>