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November 15, 2022</w:t>
      </w:r>
    </w:p>
    <w:p>
      <w:pPr>
        <w:spacing w:after="0" w:line="19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4248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7142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1424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S-8</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REGISTRATION STATEMENT</w:t>
      </w: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14248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Verona Pharma plc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1424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p>
      <w:pPr>
        <w:spacing w:after="0" w:line="36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7"/>
          <w:szCs w:val="17"/>
          <w:b w:val="1"/>
          <w:bCs w:val="1"/>
          <w:color w:val="auto"/>
        </w:rPr>
        <w:t>United Kingdom</w:t>
      </w:r>
    </w:p>
    <w:p>
      <w:pPr>
        <w:spacing w:after="0" w:line="25"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p>
      <w:pPr>
        <w:spacing w:after="0" w:line="16"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98-1489389</w:t>
      </w:r>
    </w:p>
    <w:p>
      <w:pPr>
        <w:spacing w:after="0" w:line="25"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(I.R.S. Employer</w:t>
      </w:r>
    </w:p>
    <w:p>
      <w:pPr>
        <w:spacing w:after="0" w:line="4"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6"/>
          <w:szCs w:val="16"/>
          <w:b w:val="1"/>
          <w:bCs w:val="1"/>
          <w:color w:val="auto"/>
        </w:rPr>
        <w:t>Identification No.)</w:t>
      </w:r>
    </w:p>
    <w:p>
      <w:pPr>
        <w:spacing w:after="0" w:line="182" w:lineRule="exact"/>
        <w:rPr>
          <w:sz w:val="24"/>
          <w:szCs w:val="24"/>
          <w:color w:val="auto"/>
        </w:rPr>
      </w:pPr>
    </w:p>
    <w:p>
      <w:pPr>
        <w:sectPr>
          <w:pgSz w:w="11900" w:h="16838" w:orient="portrait"/>
          <w:cols w:equalWidth="0" w:num="2">
            <w:col w:w="7180" w:space="720"/>
            <w:col w:w="3340"/>
          </w:cols>
          <w:pgMar w:left="320" w:top="21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3 More London Riverside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London SE1 2RE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Kingdom</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p>
      <w:pPr>
        <w:spacing w:after="0" w:line="18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Verona Pharma plc 2017 Incentive Award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1424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type w:val="continuous"/>
        </w:sectPr>
      </w:pPr>
    </w:p>
    <w:p>
      <w:pPr>
        <w:spacing w:after="0" w:line="370"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Cogency Global Inc.</w:t>
      </w:r>
    </w:p>
    <w:p>
      <w:pPr>
        <w:ind w:left="4520"/>
        <w:spacing w:after="0" w:line="203" w:lineRule="auto"/>
        <w:rPr>
          <w:sz w:val="20"/>
          <w:szCs w:val="20"/>
          <w:color w:val="auto"/>
        </w:rPr>
      </w:pPr>
      <w:r>
        <w:rPr>
          <w:rFonts w:ascii="Times New Roman" w:cs="Times New Roman" w:eastAsia="Times New Roman" w:hAnsi="Times New Roman"/>
          <w:sz w:val="17"/>
          <w:szCs w:val="17"/>
          <w:b w:val="1"/>
          <w:bCs w:val="1"/>
          <w:color w:val="auto"/>
        </w:rPr>
        <w:t>122 East 42</w:t>
      </w:r>
      <w:r>
        <w:rPr>
          <w:rFonts w:ascii="Times New Roman" w:cs="Times New Roman" w:eastAsia="Times New Roman" w:hAnsi="Times New Roman"/>
          <w:sz w:val="27"/>
          <w:szCs w:val="27"/>
          <w:b w:val="1"/>
          <w:bCs w:val="1"/>
          <w:color w:val="auto"/>
          <w:vertAlign w:val="superscript"/>
        </w:rPr>
        <w:t>nd</w:t>
      </w:r>
      <w:r>
        <w:rPr>
          <w:rFonts w:ascii="Times New Roman" w:cs="Times New Roman" w:eastAsia="Times New Roman" w:hAnsi="Times New Roman"/>
          <w:sz w:val="17"/>
          <w:szCs w:val="17"/>
          <w:b w:val="1"/>
          <w:bCs w:val="1"/>
          <w:color w:val="auto"/>
        </w:rPr>
        <w:t xml:space="preserve"> Street, 18</w:t>
      </w:r>
      <w:r>
        <w:rPr>
          <w:rFonts w:ascii="Times New Roman" w:cs="Times New Roman" w:eastAsia="Times New Roman" w:hAnsi="Times New Roman"/>
          <w:sz w:val="27"/>
          <w:szCs w:val="27"/>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New York, New York 10168</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and address of agent for service)</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(800) 221-0102</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(Telephone number, including area code, of agent for service)</w:t>
      </w:r>
    </w:p>
    <w:p>
      <w:pPr>
        <w:spacing w:after="0" w:line="183" w:lineRule="exact"/>
        <w:rPr>
          <w:sz w:val="24"/>
          <w:szCs w:val="24"/>
          <w:color w:val="auto"/>
        </w:rPr>
      </w:pPr>
    </w:p>
    <w:tbl>
      <w:tblPr>
        <w:tblLayout w:type="fixed"/>
        <w:tblInd w:w="1780" w:type="dxa"/>
        <w:tblCellMar>
          <w:top w:w="0" w:type="dxa"/>
          <w:left w:w="0" w:type="dxa"/>
          <w:bottom w:w="0" w:type="dxa"/>
          <w:right w:w="0" w:type="dxa"/>
        </w:tblCellMar>
      </w:tblPr>
      <w:tr>
        <w:trPr>
          <w:trHeight w:val="220"/>
        </w:trPr>
        <w:tc>
          <w:tcPr>
            <w:tcW w:w="2700" w:type="dxa"/>
            <w:vAlign w:val="bottom"/>
          </w:tcPr>
          <w:p>
            <w:pPr>
              <w:spacing w:after="0"/>
              <w:rPr>
                <w:sz w:val="19"/>
                <w:szCs w:val="19"/>
                <w:color w:val="auto"/>
              </w:rPr>
            </w:pPr>
          </w:p>
        </w:tc>
        <w:tc>
          <w:tcPr>
            <w:tcW w:w="4820" w:type="dxa"/>
            <w:vAlign w:val="bottom"/>
          </w:tcPr>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tc>
      </w:tr>
      <w:tr>
        <w:trPr>
          <w:trHeight w:val="378"/>
        </w:trPr>
        <w:tc>
          <w:tcPr>
            <w:tcW w:w="2700" w:type="dxa"/>
            <w:vAlign w:val="bottom"/>
          </w:tcPr>
          <w:p>
            <w:pPr>
              <w:jc w:val="center"/>
              <w:ind w:right="557"/>
              <w:spacing w:after="0"/>
              <w:rPr>
                <w:sz w:val="20"/>
                <w:szCs w:val="20"/>
                <w:color w:val="auto"/>
              </w:rPr>
            </w:pPr>
            <w:r>
              <w:rPr>
                <w:rFonts w:ascii="Times New Roman" w:cs="Times New Roman" w:eastAsia="Times New Roman" w:hAnsi="Times New Roman"/>
                <w:sz w:val="17"/>
                <w:szCs w:val="17"/>
                <w:b w:val="1"/>
                <w:bCs w:val="1"/>
                <w:color w:val="auto"/>
                <w:w w:val="97"/>
              </w:rPr>
              <w:t>Peter N. Handrinos</w:t>
            </w:r>
          </w:p>
        </w:tc>
        <w:tc>
          <w:tcPr>
            <w:tcW w:w="4820" w:type="dxa"/>
            <w:vAlign w:val="bottom"/>
          </w:tcPr>
          <w:p>
            <w:pPr>
              <w:jc w:val="center"/>
              <w:ind w:left="2997"/>
              <w:spacing w:after="0"/>
              <w:rPr>
                <w:sz w:val="20"/>
                <w:szCs w:val="20"/>
                <w:color w:val="auto"/>
              </w:rPr>
            </w:pPr>
            <w:r>
              <w:rPr>
                <w:rFonts w:ascii="Times New Roman" w:cs="Times New Roman" w:eastAsia="Times New Roman" w:hAnsi="Times New Roman"/>
                <w:sz w:val="17"/>
                <w:szCs w:val="17"/>
                <w:b w:val="1"/>
                <w:bCs w:val="1"/>
                <w:color w:val="auto"/>
                <w:w w:val="98"/>
              </w:rPr>
              <w:t>James Inness</w:t>
            </w:r>
          </w:p>
        </w:tc>
      </w:tr>
      <w:tr>
        <w:trPr>
          <w:trHeight w:val="200"/>
        </w:trPr>
        <w:tc>
          <w:tcPr>
            <w:tcW w:w="2700" w:type="dxa"/>
            <w:vAlign w:val="bottom"/>
          </w:tcPr>
          <w:p>
            <w:pPr>
              <w:jc w:val="center"/>
              <w:ind w:right="557"/>
              <w:spacing w:after="0"/>
              <w:rPr>
                <w:sz w:val="20"/>
                <w:szCs w:val="20"/>
                <w:color w:val="auto"/>
              </w:rPr>
            </w:pPr>
            <w:r>
              <w:rPr>
                <w:rFonts w:ascii="Times New Roman" w:cs="Times New Roman" w:eastAsia="Times New Roman" w:hAnsi="Times New Roman"/>
                <w:sz w:val="17"/>
                <w:szCs w:val="17"/>
                <w:b w:val="1"/>
                <w:bCs w:val="1"/>
                <w:color w:val="auto"/>
                <w:w w:val="97"/>
              </w:rPr>
              <w:t>Latham &amp; Watkins LLP</w:t>
            </w:r>
          </w:p>
        </w:tc>
        <w:tc>
          <w:tcPr>
            <w:tcW w:w="4820" w:type="dxa"/>
            <w:vAlign w:val="bottom"/>
          </w:tcPr>
          <w:p>
            <w:pPr>
              <w:jc w:val="center"/>
              <w:ind w:left="2997"/>
              <w:spacing w:after="0"/>
              <w:rPr>
                <w:sz w:val="20"/>
                <w:szCs w:val="20"/>
                <w:color w:val="auto"/>
              </w:rPr>
            </w:pPr>
            <w:r>
              <w:rPr>
                <w:rFonts w:ascii="Times New Roman" w:cs="Times New Roman" w:eastAsia="Times New Roman" w:hAnsi="Times New Roman"/>
                <w:sz w:val="17"/>
                <w:szCs w:val="17"/>
                <w:b w:val="1"/>
                <w:bCs w:val="1"/>
                <w:color w:val="auto"/>
                <w:w w:val="97"/>
              </w:rPr>
              <w:t>Latham &amp; Watkins LLP</w:t>
            </w:r>
          </w:p>
        </w:tc>
      </w:tr>
      <w:tr>
        <w:trPr>
          <w:trHeight w:val="200"/>
        </w:trPr>
        <w:tc>
          <w:tcPr>
            <w:tcW w:w="2700" w:type="dxa"/>
            <w:vAlign w:val="bottom"/>
          </w:tcPr>
          <w:p>
            <w:pPr>
              <w:jc w:val="center"/>
              <w:ind w:right="557"/>
              <w:spacing w:after="0"/>
              <w:rPr>
                <w:sz w:val="20"/>
                <w:szCs w:val="20"/>
                <w:color w:val="auto"/>
              </w:rPr>
            </w:pPr>
            <w:r>
              <w:rPr>
                <w:rFonts w:ascii="Times New Roman" w:cs="Times New Roman" w:eastAsia="Times New Roman" w:hAnsi="Times New Roman"/>
                <w:sz w:val="17"/>
                <w:szCs w:val="17"/>
                <w:b w:val="1"/>
                <w:bCs w:val="1"/>
                <w:color w:val="auto"/>
                <w:w w:val="96"/>
              </w:rPr>
              <w:t>200 Clarendon Street</w:t>
            </w:r>
          </w:p>
        </w:tc>
        <w:tc>
          <w:tcPr>
            <w:tcW w:w="4820" w:type="dxa"/>
            <w:vAlign w:val="bottom"/>
          </w:tcPr>
          <w:p>
            <w:pPr>
              <w:jc w:val="center"/>
              <w:ind w:left="2997"/>
              <w:spacing w:after="0"/>
              <w:rPr>
                <w:sz w:val="20"/>
                <w:szCs w:val="20"/>
                <w:color w:val="auto"/>
              </w:rPr>
            </w:pPr>
            <w:r>
              <w:rPr>
                <w:rFonts w:ascii="Times New Roman" w:cs="Times New Roman" w:eastAsia="Times New Roman" w:hAnsi="Times New Roman"/>
                <w:sz w:val="17"/>
                <w:szCs w:val="17"/>
                <w:b w:val="1"/>
                <w:bCs w:val="1"/>
                <w:color w:val="auto"/>
                <w:w w:val="97"/>
              </w:rPr>
              <w:t>99 Bishopsgate</w:t>
            </w:r>
          </w:p>
        </w:tc>
      </w:tr>
      <w:tr>
        <w:trPr>
          <w:trHeight w:val="200"/>
        </w:trPr>
        <w:tc>
          <w:tcPr>
            <w:tcW w:w="2700" w:type="dxa"/>
            <w:vAlign w:val="bottom"/>
          </w:tcPr>
          <w:p>
            <w:pPr>
              <w:jc w:val="center"/>
              <w:ind w:right="557"/>
              <w:spacing w:after="0"/>
              <w:rPr>
                <w:sz w:val="20"/>
                <w:szCs w:val="20"/>
                <w:color w:val="auto"/>
              </w:rPr>
            </w:pPr>
            <w:r>
              <w:rPr>
                <w:rFonts w:ascii="Times New Roman" w:cs="Times New Roman" w:eastAsia="Times New Roman" w:hAnsi="Times New Roman"/>
                <w:sz w:val="17"/>
                <w:szCs w:val="17"/>
                <w:b w:val="1"/>
                <w:bCs w:val="1"/>
                <w:color w:val="auto"/>
                <w:w w:val="98"/>
              </w:rPr>
              <w:t>Boston, Massachusetts 02116</w:t>
            </w:r>
          </w:p>
        </w:tc>
        <w:tc>
          <w:tcPr>
            <w:tcW w:w="4820" w:type="dxa"/>
            <w:vAlign w:val="bottom"/>
          </w:tcPr>
          <w:p>
            <w:pPr>
              <w:jc w:val="center"/>
              <w:ind w:left="2997"/>
              <w:spacing w:after="0"/>
              <w:rPr>
                <w:sz w:val="20"/>
                <w:szCs w:val="20"/>
                <w:color w:val="auto"/>
              </w:rPr>
            </w:pPr>
            <w:r>
              <w:rPr>
                <w:rFonts w:ascii="Times New Roman" w:cs="Times New Roman" w:eastAsia="Times New Roman" w:hAnsi="Times New Roman"/>
                <w:sz w:val="17"/>
                <w:szCs w:val="17"/>
                <w:b w:val="1"/>
                <w:bCs w:val="1"/>
                <w:color w:val="auto"/>
                <w:w w:val="98"/>
              </w:rPr>
              <w:t>London EC2M 3XF</w:t>
            </w:r>
          </w:p>
        </w:tc>
      </w:tr>
      <w:tr>
        <w:trPr>
          <w:trHeight w:val="200"/>
        </w:trPr>
        <w:tc>
          <w:tcPr>
            <w:tcW w:w="2700" w:type="dxa"/>
            <w:vAlign w:val="bottom"/>
          </w:tcPr>
          <w:p>
            <w:pPr>
              <w:jc w:val="center"/>
              <w:ind w:right="537"/>
              <w:spacing w:after="0"/>
              <w:rPr>
                <w:sz w:val="20"/>
                <w:szCs w:val="20"/>
                <w:color w:val="auto"/>
              </w:rPr>
            </w:pPr>
            <w:r>
              <w:rPr>
                <w:rFonts w:ascii="Times New Roman" w:cs="Times New Roman" w:eastAsia="Times New Roman" w:hAnsi="Times New Roman"/>
                <w:sz w:val="17"/>
                <w:szCs w:val="17"/>
                <w:b w:val="1"/>
                <w:bCs w:val="1"/>
                <w:color w:val="auto"/>
                <w:w w:val="97"/>
              </w:rPr>
              <w:t>(617) 948-6000</w:t>
            </w:r>
          </w:p>
        </w:tc>
        <w:tc>
          <w:tcPr>
            <w:tcW w:w="4820" w:type="dxa"/>
            <w:vAlign w:val="bottom"/>
          </w:tcPr>
          <w:p>
            <w:pPr>
              <w:jc w:val="center"/>
              <w:ind w:left="2997"/>
              <w:spacing w:after="0"/>
              <w:rPr>
                <w:sz w:val="20"/>
                <w:szCs w:val="20"/>
                <w:color w:val="auto"/>
              </w:rPr>
            </w:pPr>
            <w:r>
              <w:rPr>
                <w:rFonts w:ascii="Times New Roman" w:cs="Times New Roman" w:eastAsia="Times New Roman" w:hAnsi="Times New Roman"/>
                <w:sz w:val="17"/>
                <w:szCs w:val="17"/>
                <w:b w:val="1"/>
                <w:bCs w:val="1"/>
                <w:color w:val="auto"/>
                <w:w w:val="97"/>
              </w:rPr>
              <w:t>United Kingdom</w:t>
            </w:r>
          </w:p>
        </w:tc>
      </w:tr>
      <w:tr>
        <w:trPr>
          <w:trHeight w:val="220"/>
        </w:trPr>
        <w:tc>
          <w:tcPr>
            <w:tcW w:w="2700" w:type="dxa"/>
            <w:vAlign w:val="bottom"/>
          </w:tcPr>
          <w:p>
            <w:pPr>
              <w:spacing w:after="0"/>
              <w:rPr>
                <w:sz w:val="19"/>
                <w:szCs w:val="19"/>
                <w:color w:val="auto"/>
              </w:rPr>
            </w:pPr>
          </w:p>
        </w:tc>
        <w:tc>
          <w:tcPr>
            <w:tcW w:w="4820" w:type="dxa"/>
            <w:vAlign w:val="bottom"/>
          </w:tcPr>
          <w:p>
            <w:pPr>
              <w:jc w:val="center"/>
              <w:ind w:left="3017"/>
              <w:spacing w:after="0"/>
              <w:rPr>
                <w:sz w:val="20"/>
                <w:szCs w:val="20"/>
                <w:color w:val="auto"/>
              </w:rPr>
            </w:pPr>
            <w:r>
              <w:rPr>
                <w:rFonts w:ascii="Times New Roman" w:cs="Times New Roman" w:eastAsia="Times New Roman" w:hAnsi="Times New Roman"/>
                <w:sz w:val="17"/>
                <w:szCs w:val="17"/>
                <w:b w:val="1"/>
                <w:bCs w:val="1"/>
                <w:color w:val="auto"/>
                <w:w w:val="98"/>
              </w:rPr>
              <w:t>+44 20 7710-1000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424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362"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9" w:right="339" w:bottom="1440" w:gutter="0" w:footer="0" w:header="0"/>
          <w:type w:val="continuous"/>
        </w:sectPr>
      </w:pPr>
    </w:p>
    <w:p>
      <w:pPr>
        <w:spacing w:after="0" w:line="132" w:lineRule="exact"/>
        <w:rPr>
          <w:sz w:val="24"/>
          <w:szCs w:val="24"/>
          <w:color w:val="auto"/>
        </w:rPr>
      </w:pPr>
    </w:p>
    <w:p>
      <w:pPr>
        <w:ind w:left="16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700" w:space="720"/>
            <w:col w:w="4820"/>
          </w:cols>
          <w:pgMar w:left="320" w:top="219" w:right="339" w:bottom="1440" w:gutter="0" w:footer="0" w:header="0"/>
          <w:type w:val="continuous"/>
        </w:sectPr>
      </w:pPr>
    </w:p>
    <w:p>
      <w:pPr>
        <w:spacing w:after="0" w:line="15" w:lineRule="exact"/>
        <w:rPr>
          <w:sz w:val="24"/>
          <w:szCs w:val="24"/>
          <w:color w:val="auto"/>
        </w:rPr>
      </w:pPr>
    </w:p>
    <w:p>
      <w:pPr>
        <w:ind w:left="168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2820"/>
        <w:spacing w:after="0" w:line="179"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700" w:space="720"/>
            <w:col w:w="4820"/>
          </w:cols>
          <w:pgMar w:left="320" w:top="219" w:right="339" w:bottom="1440" w:gutter="0" w:footer="0" w:header="0"/>
          <w:type w:val="continuous"/>
        </w:sectPr>
      </w:pPr>
    </w:p>
    <w:p>
      <w:pPr>
        <w:spacing w:after="0" w:line="15" w:lineRule="exact"/>
        <w:rPr>
          <w:sz w:val="24"/>
          <w:szCs w:val="24"/>
          <w:color w:val="auto"/>
        </w:rPr>
      </w:pPr>
    </w:p>
    <w:p>
      <w:pPr>
        <w:ind w:left="642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219" w:right="339" w:bottom="1440" w:gutter="0" w:footer="0" w:header="0"/>
          <w:type w:val="continuous"/>
        </w:sectPr>
      </w:pPr>
    </w:p>
    <w:p>
      <w:pPr>
        <w:spacing w:after="0" w:line="229" w:lineRule="exact"/>
        <w:rPr>
          <w:sz w:val="24"/>
          <w:szCs w:val="24"/>
          <w:color w:val="auto"/>
        </w:rPr>
      </w:pPr>
    </w:p>
    <w:p>
      <w:pPr>
        <w:ind w:right="320"/>
        <w:spacing w:after="0" w:line="21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24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714248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424180</wp:posOffset>
            </wp:positionV>
            <wp:extent cx="71424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08" w:lineRule="exact"/>
        <w:rPr>
          <w:sz w:val="20"/>
          <w:szCs w:val="20"/>
          <w:color w:val="auto"/>
        </w:rPr>
      </w:pPr>
    </w:p>
    <w:p>
      <w:pPr>
        <w:ind w:right="40" w:firstLine="299"/>
        <w:spacing w:after="0" w:line="257" w:lineRule="auto"/>
        <w:rPr>
          <w:sz w:val="20"/>
          <w:szCs w:val="20"/>
          <w:color w:val="auto"/>
        </w:rPr>
      </w:pPr>
      <w:r>
        <w:rPr>
          <w:rFonts w:ascii="Times New Roman" w:cs="Times New Roman" w:eastAsia="Times New Roman" w:hAnsi="Times New Roman"/>
          <w:sz w:val="17"/>
          <w:szCs w:val="17"/>
          <w:color w:val="auto"/>
        </w:rPr>
        <w:t>This Registration Statement on Form S-8 is being filed for the purpose of registering an additional 17,132,312 ordinary shares, nominal value £0.05 per share, of Verona Pharma plc (the “Registrant”) that may become issuable under the Verona Pharma plc 2017 Incentive Award Plan, as it may be amended or restated from time to time (the “2017 Plan”). A Registration Statement of the Registrant on Form S-8 relating to the 2017 Plan is effective.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 BY REFERENCE OF CONTENTS OF REGISTRATION STATEMENT ON FORM S-8</w:t>
      </w:r>
    </w:p>
    <w:p>
      <w:pPr>
        <w:spacing w:after="0" w:line="208" w:lineRule="exact"/>
        <w:rPr>
          <w:sz w:val="20"/>
          <w:szCs w:val="20"/>
          <w:color w:val="auto"/>
        </w:rPr>
      </w:pPr>
    </w:p>
    <w:p>
      <w:pPr>
        <w:ind w:right="600" w:firstLine="599"/>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contents of the Registration Statements on Form S-8 (File Nos. </w:t>
      </w:r>
      <w:hyperlink r:id="rId18">
        <w:r>
          <w:rPr>
            <w:rFonts w:ascii="Times New Roman" w:cs="Times New Roman" w:eastAsia="Times New Roman" w:hAnsi="Times New Roman"/>
            <w:sz w:val="17"/>
            <w:szCs w:val="17"/>
            <w:u w:val="single" w:color="auto"/>
            <w:color w:val="0000EE"/>
          </w:rPr>
          <w:t>333-217521</w:t>
        </w:r>
      </w:hyperlink>
      <w:r>
        <w:rPr>
          <w:rFonts w:ascii="Times New Roman" w:cs="Times New Roman" w:eastAsia="Times New Roman" w:hAnsi="Times New Roman"/>
          <w:sz w:val="17"/>
          <w:szCs w:val="17"/>
          <w:color w:val="auto"/>
        </w:rPr>
        <w:t xml:space="preserve">, </w:t>
      </w:r>
      <w:hyperlink r:id="rId19">
        <w:r>
          <w:rPr>
            <w:rFonts w:ascii="Times New Roman" w:cs="Times New Roman" w:eastAsia="Times New Roman" w:hAnsi="Times New Roman"/>
            <w:sz w:val="17"/>
            <w:szCs w:val="17"/>
            <w:u w:val="single" w:color="auto"/>
            <w:color w:val="0000EE"/>
          </w:rPr>
          <w:t>333-237926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20">
        <w:r>
          <w:rPr>
            <w:rFonts w:ascii="Times New Roman" w:cs="Times New Roman" w:eastAsia="Times New Roman" w:hAnsi="Times New Roman"/>
            <w:sz w:val="17"/>
            <w:szCs w:val="17"/>
            <w:u w:val="single" w:color="auto"/>
            <w:color w:val="0000EE"/>
          </w:rPr>
          <w:t>333-248199</w:t>
        </w:r>
      </w:hyperlink>
      <w:r>
        <w:rPr>
          <w:rFonts w:ascii="Times New Roman" w:cs="Times New Roman" w:eastAsia="Times New Roman" w:hAnsi="Times New Roman"/>
          <w:sz w:val="17"/>
          <w:szCs w:val="17"/>
          <w:color w:val="auto"/>
        </w:rPr>
        <w:t>), filed with the Securities and Exchange Commission, relating to the 2017 Plan, are incorporated herein by reference.</w:t>
      </w:r>
    </w:p>
    <w:p>
      <w:pPr>
        <w:spacing w:after="0" w:line="155"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229" w:lineRule="exact"/>
        <w:rPr>
          <w:rFonts w:ascii="Times New Roman" w:cs="Times New Roman" w:eastAsia="Times New Roman" w:hAnsi="Times New Roman"/>
          <w:sz w:val="17"/>
          <w:szCs w:val="17"/>
          <w:color w:val="auto"/>
        </w:rPr>
      </w:pPr>
    </w:p>
    <w:tbl>
      <w:tblPr>
        <w:tblLayout w:type="fixed"/>
        <w:tblInd w:w="0" w:type="dxa"/>
        <w:tblCellMar>
          <w:top w:w="0" w:type="dxa"/>
          <w:left w:w="0" w:type="dxa"/>
          <w:bottom w:w="0" w:type="dxa"/>
          <w:right w:w="0" w:type="dxa"/>
        </w:tblCellMar>
      </w:tblPr>
      <w:tr>
        <w:trPr>
          <w:trHeight w:val="200"/>
        </w:trPr>
        <w:tc>
          <w:tcPr>
            <w:tcW w:w="8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Exhibit</w:t>
            </w:r>
          </w:p>
        </w:tc>
        <w:tc>
          <w:tcPr>
            <w:tcW w:w="10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0"/>
        </w:trPr>
        <w:tc>
          <w:tcPr>
            <w:tcW w:w="8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340" w:type="dxa"/>
            <w:vAlign w:val="bottom"/>
            <w:gridSpan w:val="7"/>
          </w:tcPr>
          <w:p>
            <w:pPr>
              <w:ind w:left="72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54"/>
        </w:trPr>
        <w:tc>
          <w:tcPr>
            <w:tcW w:w="440" w:type="dxa"/>
            <w:vAlign w:val="bottom"/>
            <w:tcBorders>
              <w:top w:val="single" w:sz="8" w:color="auto"/>
            </w:tcBorders>
            <w:gridSpan w:val="2"/>
          </w:tcPr>
          <w:p>
            <w:pPr>
              <w:jc w:val="center"/>
              <w:ind w:left="77"/>
              <w:spacing w:after="0"/>
              <w:rPr>
                <w:rFonts w:ascii="Times New Roman" w:cs="Times New Roman" w:eastAsia="Times New Roman" w:hAnsi="Times New Roman"/>
                <w:sz w:val="17"/>
                <w:szCs w:val="17"/>
                <w:color w:val="0000EE"/>
                <w:w w:val="93"/>
              </w:rPr>
            </w:pPr>
            <w:hyperlink r:id="rId21">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1</w:t>
              </w:r>
            </w:hyperlink>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420" w:type="dxa"/>
            <w:vAlign w:val="bottom"/>
            <w:tcBorders>
              <w:top w:val="single" w:sz="8" w:color="auto"/>
            </w:tcBorders>
            <w:gridSpan w:val="10"/>
          </w:tcPr>
          <w:p>
            <w:pPr>
              <w:spacing w:after="0"/>
              <w:rPr>
                <w:rFonts w:ascii="Times New Roman" w:cs="Times New Roman" w:eastAsia="Times New Roman" w:hAnsi="Times New Roman"/>
                <w:sz w:val="17"/>
                <w:szCs w:val="17"/>
                <w:color w:val="0000EE"/>
                <w:w w:val="98"/>
              </w:rPr>
            </w:pPr>
            <w:hyperlink r:id="rId21">
              <w:r>
                <w:rPr>
                  <w:rFonts w:ascii="Times New Roman" w:cs="Times New Roman" w:eastAsia="Times New Roman" w:hAnsi="Times New Roman"/>
                  <w:sz w:val="17"/>
                  <w:szCs w:val="17"/>
                  <w:color w:val="0000EE"/>
                  <w:w w:val="98"/>
                </w:rPr>
                <w:t>Articles of Association of the Registrant, as amended and as currently in effect (incorporated by reference to Exhibit 1 to the Registrant’s Report of Foreign</w:t>
              </w:r>
            </w:hyperlink>
          </w:p>
        </w:tc>
      </w:tr>
      <w:tr>
        <w:trPr>
          <w:trHeight w:val="180"/>
        </w:trPr>
        <w:tc>
          <w:tcPr>
            <w:tcW w:w="20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340" w:type="dxa"/>
            <w:vAlign w:val="bottom"/>
            <w:tcBorders>
              <w:top w:val="single" w:sz="8" w:color="0000EE"/>
            </w:tcBorders>
            <w:gridSpan w:val="9"/>
          </w:tcPr>
          <w:p>
            <w:pPr>
              <w:spacing w:after="0" w:line="180" w:lineRule="exact"/>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color w:val="0000EE"/>
                </w:rPr>
                <w:t>Private Issuer on Form 6-K (File No. 001-38067) filed on December 30, 2020)</w:t>
              </w:r>
            </w:hyperlink>
          </w:p>
        </w:tc>
        <w:tc>
          <w:tcPr>
            <w:tcW w:w="80" w:type="dxa"/>
            <w:vAlign w:val="bottom"/>
          </w:tcPr>
          <w:p>
            <w:pPr>
              <w:spacing w:after="0"/>
              <w:rPr>
                <w:sz w:val="15"/>
                <w:szCs w:val="15"/>
                <w:color w:val="auto"/>
              </w:rPr>
            </w:pPr>
          </w:p>
        </w:tc>
      </w:tr>
      <w:tr>
        <w:trPr>
          <w:trHeight w:val="379"/>
        </w:trPr>
        <w:tc>
          <w:tcPr>
            <w:tcW w:w="440" w:type="dxa"/>
            <w:vAlign w:val="bottom"/>
            <w:gridSpan w:val="2"/>
          </w:tcPr>
          <w:p>
            <w:pPr>
              <w:jc w:val="center"/>
              <w:ind w:left="77"/>
              <w:spacing w:after="0"/>
              <w:rPr>
                <w:sz w:val="20"/>
                <w:szCs w:val="20"/>
                <w:color w:val="auto"/>
              </w:rPr>
            </w:pPr>
            <w:r>
              <w:rPr>
                <w:rFonts w:ascii="Times New Roman" w:cs="Times New Roman" w:eastAsia="Times New Roman" w:hAnsi="Times New Roman"/>
                <w:sz w:val="17"/>
                <w:szCs w:val="17"/>
                <w:color w:val="0000EE"/>
                <w:w w:val="93"/>
              </w:rPr>
              <w:t>5.</w:t>
            </w:r>
            <w:r>
              <w:rPr>
                <w:rFonts w:ascii="Times New Roman" w:cs="Times New Roman" w:eastAsia="Times New Roman" w:hAnsi="Times New Roman"/>
                <w:sz w:val="17"/>
                <w:szCs w:val="17"/>
                <w:u w:val="single" w:color="auto"/>
                <w:color w:val="0000EE"/>
                <w:w w:val="93"/>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Opinion of Latham &amp; Watkins LLP, counsel of the Registrant</w:t>
            </w:r>
          </w:p>
        </w:tc>
        <w:tc>
          <w:tcPr>
            <w:tcW w:w="5200" w:type="dxa"/>
            <w:vAlign w:val="bottom"/>
            <w:gridSpan w:val="6"/>
          </w:tcPr>
          <w:p>
            <w:pPr>
              <w:spacing w:after="0"/>
              <w:rPr>
                <w:sz w:val="24"/>
                <w:szCs w:val="24"/>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379"/>
        </w:trPr>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EE"/>
                <w:w w:val="93"/>
              </w:rPr>
              <w:t>23.</w:t>
            </w:r>
            <w:r>
              <w:rPr>
                <w:rFonts w:ascii="Times New Roman" w:cs="Times New Roman" w:eastAsia="Times New Roman" w:hAnsi="Times New Roman"/>
                <w:sz w:val="17"/>
                <w:szCs w:val="17"/>
                <w:u w:val="single" w:color="auto"/>
                <w:color w:val="0000EE"/>
                <w:w w:val="93"/>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Consent of PricewaterhouseCoopers LLP, independent registered public accounting firm</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379"/>
        </w:trPr>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EE"/>
                <w:w w:val="93"/>
              </w:rPr>
              <w:t>23.</w:t>
            </w:r>
            <w:r>
              <w:rPr>
                <w:rFonts w:ascii="Times New Roman" w:cs="Times New Roman" w:eastAsia="Times New Roman" w:hAnsi="Times New Roman"/>
                <w:sz w:val="17"/>
                <w:szCs w:val="17"/>
                <w:u w:val="single" w:color="auto"/>
                <w:color w:val="0000EE"/>
                <w:w w:val="93"/>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Consent of Latham &amp; Watkins LLP, counsel of the Registrant (included in Exhibit 5.1)</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379"/>
        </w:trPr>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EE"/>
                <w:w w:val="93"/>
              </w:rPr>
              <w:t>24.</w:t>
            </w:r>
            <w:r>
              <w:rPr>
                <w:rFonts w:ascii="Times New Roman" w:cs="Times New Roman" w:eastAsia="Times New Roman" w:hAnsi="Times New Roman"/>
                <w:sz w:val="17"/>
                <w:szCs w:val="17"/>
                <w:u w:val="single" w:color="auto"/>
                <w:color w:val="0000EE"/>
                <w:w w:val="93"/>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Power of Attorney (included on signature page)</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63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379"/>
        </w:trPr>
        <w:tc>
          <w:tcPr>
            <w:tcW w:w="200" w:type="dxa"/>
            <w:vAlign w:val="bottom"/>
          </w:tcPr>
          <w:p>
            <w:pPr>
              <w:spacing w:after="0"/>
              <w:rPr>
                <w:sz w:val="24"/>
                <w:szCs w:val="24"/>
                <w:color w:val="auto"/>
              </w:rPr>
            </w:pPr>
          </w:p>
        </w:tc>
        <w:tc>
          <w:tcPr>
            <w:tcW w:w="240" w:type="dxa"/>
            <w:vAlign w:val="bottom"/>
          </w:tcPr>
          <w:p>
            <w:pPr>
              <w:jc w:val="center"/>
              <w:spacing w:after="0"/>
              <w:rPr>
                <w:rFonts w:ascii="Times New Roman" w:cs="Times New Roman" w:eastAsia="Times New Roman" w:hAnsi="Times New Roman"/>
                <w:sz w:val="17"/>
                <w:szCs w:val="17"/>
                <w:color w:val="0000EE"/>
                <w:w w:val="80"/>
              </w:rPr>
            </w:pPr>
            <w:hyperlink r:id="rId22">
              <w:r>
                <w:rPr>
                  <w:rFonts w:ascii="Times New Roman" w:cs="Times New Roman" w:eastAsia="Times New Roman" w:hAnsi="Times New Roman"/>
                  <w:sz w:val="17"/>
                  <w:szCs w:val="17"/>
                  <w:color w:val="0000EE"/>
                  <w:w w:val="80"/>
                </w:rPr>
                <w:t>99.</w:t>
              </w:r>
              <w:r>
                <w:rPr>
                  <w:rFonts w:ascii="Times New Roman" w:cs="Times New Roman" w:eastAsia="Times New Roman" w:hAnsi="Times New Roman"/>
                  <w:sz w:val="17"/>
                  <w:szCs w:val="17"/>
                  <w:u w:val="single" w:color="auto"/>
                  <w:color w:val="0000EE"/>
                  <w:w w:val="80"/>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0"/>
          </w:tcPr>
          <w:p>
            <w:pPr>
              <w:spacing w:after="0"/>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Verona Pharma plc 2017 Incentive Award Plan, as it may be amended or restated from time to time, and forms of award agreements thereunder</w:t>
              </w:r>
            </w:hyperlink>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42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0"/>
        </w:trPr>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20" w:type="dxa"/>
            <w:vAlign w:val="bottom"/>
            <w:gridSpan w:val="10"/>
          </w:tcPr>
          <w:p>
            <w:pPr>
              <w:spacing w:after="0" w:line="180"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(incorporated by reference to Exhibit 99.1 to the Registrant’s Registration Statement on Form S-8 (File No. 333-237926) filed on April 30, 2020)</w:t>
              </w:r>
            </w:hyperlink>
          </w:p>
        </w:tc>
      </w:tr>
      <w:tr>
        <w:trPr>
          <w:trHeight w:val="379"/>
        </w:trPr>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EE"/>
                <w:w w:val="94"/>
              </w:rPr>
              <w:t>107.</w:t>
            </w:r>
            <w:r>
              <w:rPr>
                <w:rFonts w:ascii="Times New Roman" w:cs="Times New Roman" w:eastAsia="Times New Roman" w:hAnsi="Times New Roman"/>
                <w:sz w:val="17"/>
                <w:szCs w:val="17"/>
                <w:u w:val="single" w:color="auto"/>
                <w:color w:val="0000EE"/>
                <w:w w:val="94"/>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Filing Fee Table</w:t>
            </w:r>
          </w:p>
        </w:tc>
        <w:tc>
          <w:tcPr>
            <w:tcW w:w="780" w:type="dxa"/>
            <w:vAlign w:val="bottom"/>
            <w:gridSpan w:val="2"/>
          </w:tcPr>
          <w:p>
            <w:pPr>
              <w:spacing w:after="0"/>
              <w:rPr>
                <w:sz w:val="24"/>
                <w:szCs w:val="24"/>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3" w:lineRule="exact"/>
        <w:rPr>
          <w:sz w:val="20"/>
          <w:szCs w:val="20"/>
          <w:color w:val="auto"/>
        </w:rPr>
      </w:pPr>
    </w:p>
    <w:p>
      <w:pPr>
        <w:ind w:left="300" w:hanging="300"/>
        <w:spacing w:after="0"/>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1424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8" w:lineRule="exact"/>
        <w:rPr>
          <w:sz w:val="20"/>
          <w:szCs w:val="20"/>
          <w:color w:val="auto"/>
        </w:rPr>
      </w:pPr>
    </w:p>
    <w:p>
      <w:pPr>
        <w:ind w:firstLine="299"/>
        <w:spacing w:after="0" w:line="257"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London, United Kingdom, on this 15th day of November, 2022.</w:t>
      </w:r>
    </w:p>
    <w:p>
      <w:pPr>
        <w:spacing w:after="0" w:line="1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VERONA PHARMA PLC</w:t>
      </w:r>
    </w:p>
    <w:p>
      <w:pPr>
        <w:spacing w:after="0" w:line="2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13335</wp:posOffset>
            </wp:positionV>
            <wp:extent cx="33496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349625" cy="762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David Zaccardelli</w:t>
      </w:r>
    </w:p>
    <w:p>
      <w:pPr>
        <w:spacing w:after="0" w:line="1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13335</wp:posOffset>
            </wp:positionV>
            <wp:extent cx="33496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349625" cy="762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Mark W. Hahn</w:t>
      </w:r>
    </w:p>
    <w:p>
      <w:pPr>
        <w:spacing w:after="0" w:line="1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398145</wp:posOffset>
            </wp:positionV>
            <wp:extent cx="71424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00"/>
          </w:cols>
          <w:pgMar w:left="320" w:top="842"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SIGNATURES AND POWER OF ATTORNEY</w:t>
      </w:r>
    </w:p>
    <w:p>
      <w:pPr>
        <w:spacing w:after="0" w:line="208" w:lineRule="exact"/>
        <w:rPr>
          <w:sz w:val="20"/>
          <w:szCs w:val="20"/>
          <w:color w:val="auto"/>
        </w:rPr>
      </w:pPr>
    </w:p>
    <w:p>
      <w:pPr>
        <w:ind w:right="40" w:firstLine="299"/>
        <w:spacing w:after="0" w:line="249" w:lineRule="auto"/>
        <w:rPr>
          <w:sz w:val="20"/>
          <w:szCs w:val="20"/>
          <w:color w:val="auto"/>
        </w:rPr>
      </w:pPr>
      <w:r>
        <w:rPr>
          <w:rFonts w:ascii="Times New Roman" w:cs="Times New Roman" w:eastAsia="Times New Roman" w:hAnsi="Times New Roman"/>
          <w:sz w:val="17"/>
          <w:szCs w:val="17"/>
          <w:color w:val="auto"/>
        </w:rPr>
        <w:t>We, the undersigned officers and directors of Verona Pharma plc, hereby severally constitute and appoint David Zaccardelli and Mark W. Hahn,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77" w:lineRule="exact"/>
        <w:rPr>
          <w:sz w:val="20"/>
          <w:szCs w:val="20"/>
          <w:color w:val="auto"/>
        </w:rPr>
      </w:pPr>
    </w:p>
    <w:p>
      <w:pPr>
        <w:ind w:right="200" w:firstLine="299"/>
        <w:spacing w:after="0" w:line="270"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Signature</w:t>
            </w:r>
          </w:p>
        </w:tc>
        <w:tc>
          <w:tcPr>
            <w:tcW w:w="240" w:type="dxa"/>
            <w:vAlign w:val="bottom"/>
          </w:tcPr>
          <w:p>
            <w:pPr>
              <w:spacing w:after="0"/>
              <w:rPr>
                <w:sz w:val="19"/>
                <w:szCs w:val="19"/>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Title</w:t>
            </w:r>
          </w:p>
        </w:tc>
        <w:tc>
          <w:tcPr>
            <w:tcW w:w="240" w:type="dxa"/>
            <w:vAlign w:val="bottom"/>
          </w:tcPr>
          <w:p>
            <w:pPr>
              <w:spacing w:after="0"/>
              <w:rPr>
                <w:sz w:val="19"/>
                <w:szCs w:val="19"/>
                <w:color w:val="auto"/>
              </w:rPr>
            </w:pPr>
          </w:p>
        </w:tc>
        <w:tc>
          <w:tcPr>
            <w:tcW w:w="324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7"/>
                <w:szCs w:val="17"/>
                <w:b w:val="1"/>
                <w:bCs w:val="1"/>
                <w:color w:val="auto"/>
              </w:rPr>
              <w:t>Date</w:t>
            </w:r>
          </w:p>
        </w:tc>
      </w:tr>
      <w:tr>
        <w:trPr>
          <w:trHeight w:val="236"/>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President, Chief Executive Officer and Director</w:t>
            </w:r>
          </w:p>
        </w:tc>
        <w:tc>
          <w:tcPr>
            <w:tcW w:w="24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230"/>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 David Zaccardelli, Pharm.D.</w:t>
            </w:r>
          </w:p>
        </w:tc>
        <w:tc>
          <w:tcPr>
            <w:tcW w:w="24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w w:val="97"/>
              </w:rPr>
              <w:t>(Principal Executive Officer)</w:t>
            </w: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November 15, 2022</w:t>
            </w:r>
          </w:p>
        </w:tc>
      </w:tr>
      <w:tr>
        <w:trPr>
          <w:trHeight w:val="209"/>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David Zaccardelli, Pharm.D.</w:t>
            </w:r>
          </w:p>
        </w:tc>
        <w:tc>
          <w:tcPr>
            <w:tcW w:w="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64"/>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Chief Financial Officer</w:t>
            </w:r>
          </w:p>
        </w:tc>
        <w:tc>
          <w:tcPr>
            <w:tcW w:w="2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18"/>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/s/ Mark W. Hahn</w:t>
            </w:r>
          </w:p>
        </w:tc>
        <w:tc>
          <w:tcPr>
            <w:tcW w:w="24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w w:val="98"/>
              </w:rPr>
              <w:t>(Principal Financial and Accounting Officer</w:t>
            </w:r>
            <w:r>
              <w:rPr>
                <w:rFonts w:ascii="Times New Roman" w:cs="Times New Roman" w:eastAsia="Times New Roman" w:hAnsi="Times New Roman"/>
                <w:sz w:val="17"/>
                <w:szCs w:val="17"/>
                <w:color w:val="auto"/>
                <w:w w:val="98"/>
              </w:rPr>
              <w:t>)</w:t>
            </w: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November 15, 2022</w:t>
            </w:r>
          </w:p>
        </w:tc>
      </w:tr>
      <w:tr>
        <w:trPr>
          <w:trHeight w:val="209"/>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Mark W. Hahn</w:t>
            </w:r>
          </w:p>
        </w:tc>
        <w:tc>
          <w:tcPr>
            <w:tcW w:w="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8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 David Ebsworth, Ph.D.</w:t>
            </w:r>
          </w:p>
        </w:tc>
        <w:tc>
          <w:tcPr>
            <w:tcW w:w="24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Chairperson of the Board of Directors</w:t>
            </w: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November 15, 2022</w:t>
            </w:r>
          </w:p>
        </w:tc>
      </w:tr>
      <w:tr>
        <w:trPr>
          <w:trHeight w:val="209"/>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David Ebsworth, Ph.D.</w:t>
            </w:r>
          </w:p>
        </w:tc>
        <w:tc>
          <w:tcPr>
            <w:tcW w:w="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8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 James Brady</w:t>
            </w:r>
          </w:p>
        </w:tc>
        <w:tc>
          <w:tcPr>
            <w:tcW w:w="24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November 15, 2022</w:t>
            </w:r>
          </w:p>
        </w:tc>
      </w:tr>
      <w:tr>
        <w:trPr>
          <w:trHeight w:val="209"/>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James Brady</w:t>
            </w:r>
          </w:p>
        </w:tc>
        <w:tc>
          <w:tcPr>
            <w:tcW w:w="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8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 Ken Cunningham, M.D.</w:t>
            </w:r>
          </w:p>
        </w:tc>
        <w:tc>
          <w:tcPr>
            <w:tcW w:w="24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November 15, 2022</w:t>
            </w:r>
          </w:p>
        </w:tc>
      </w:tr>
      <w:tr>
        <w:trPr>
          <w:trHeight w:val="209"/>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Ken Cunningham, M.D.</w:t>
            </w:r>
          </w:p>
        </w:tc>
        <w:tc>
          <w:tcPr>
            <w:tcW w:w="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8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 Lisa Deschamps</w:t>
            </w:r>
          </w:p>
        </w:tc>
        <w:tc>
          <w:tcPr>
            <w:tcW w:w="24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November 15, 2022</w:t>
            </w:r>
          </w:p>
        </w:tc>
      </w:tr>
      <w:tr>
        <w:trPr>
          <w:trHeight w:val="209"/>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Lisa Deschamps</w:t>
            </w:r>
          </w:p>
        </w:tc>
        <w:tc>
          <w:tcPr>
            <w:tcW w:w="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8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 Martin Edwards, M.D.</w:t>
            </w:r>
          </w:p>
        </w:tc>
        <w:tc>
          <w:tcPr>
            <w:tcW w:w="24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November 15, 2022</w:t>
            </w:r>
          </w:p>
        </w:tc>
      </w:tr>
      <w:tr>
        <w:trPr>
          <w:trHeight w:val="209"/>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Martin Edwards, M.D.</w:t>
            </w:r>
          </w:p>
        </w:tc>
        <w:tc>
          <w:tcPr>
            <w:tcW w:w="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8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 Rishi Gupta</w:t>
            </w:r>
          </w:p>
        </w:tc>
        <w:tc>
          <w:tcPr>
            <w:tcW w:w="24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November 15, 2022</w:t>
            </w:r>
          </w:p>
        </w:tc>
      </w:tr>
      <w:tr>
        <w:trPr>
          <w:trHeight w:val="209"/>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Rishi Gupta</w:t>
            </w:r>
          </w:p>
        </w:tc>
        <w:tc>
          <w:tcPr>
            <w:tcW w:w="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8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 Mahendra Shah, Ph.D.</w:t>
            </w:r>
          </w:p>
        </w:tc>
        <w:tc>
          <w:tcPr>
            <w:tcW w:w="24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November 15, 2022</w:t>
            </w:r>
          </w:p>
        </w:tc>
      </w:tr>
      <w:tr>
        <w:trPr>
          <w:trHeight w:val="209"/>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Mahendra Shah, Ph.D.</w:t>
            </w:r>
          </w:p>
        </w:tc>
        <w:tc>
          <w:tcPr>
            <w:tcW w:w="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8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 Vikas Sinha</w:t>
            </w:r>
          </w:p>
        </w:tc>
        <w:tc>
          <w:tcPr>
            <w:tcW w:w="24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November 15, 2022</w:t>
            </w:r>
          </w:p>
        </w:tc>
      </w:tr>
      <w:tr>
        <w:trPr>
          <w:trHeight w:val="209"/>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Vikas Sinha</w:t>
            </w:r>
          </w:p>
        </w:tc>
        <w:tc>
          <w:tcPr>
            <w:tcW w:w="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8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 Anders Ullman, M.D., Ph.D.</w:t>
            </w:r>
          </w:p>
        </w:tc>
        <w:tc>
          <w:tcPr>
            <w:tcW w:w="24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November 15, 2022</w:t>
            </w:r>
          </w:p>
        </w:tc>
      </w:tr>
      <w:tr>
        <w:trPr>
          <w:trHeight w:val="209"/>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Anders Ullman, M.D., Ph.D.</w:t>
            </w:r>
          </w:p>
        </w:tc>
        <w:tc>
          <w:tcPr>
            <w:tcW w:w="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607"/>
        </w:trPr>
        <w:tc>
          <w:tcPr>
            <w:tcW w:w="3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2" w:right="339" w:bottom="1440" w:gutter="0" w:footer="0" w:header="0"/>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SIGNATURE OF AUTHORIZED U.S. REPRESENTATIVE OF REGISTRANT</w:t>
      </w:r>
    </w:p>
    <w:p>
      <w:pPr>
        <w:spacing w:after="0" w:line="208" w:lineRule="exact"/>
        <w:rPr>
          <w:sz w:val="20"/>
          <w:szCs w:val="20"/>
          <w:color w:val="auto"/>
        </w:rPr>
      </w:pPr>
    </w:p>
    <w:p>
      <w:pPr>
        <w:ind w:firstLine="599"/>
        <w:spacing w:after="0" w:line="270"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undersigned, the duly authorized representative in the United States of Verona Pharma plc, has signed this Registration Statement on Form S-8, in the City of New York, State of New York, on November 15, 2022.</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COGENCY GLOBAL INC.</w:t>
      </w:r>
    </w:p>
    <w:p>
      <w:pPr>
        <w:spacing w:after="0" w:line="2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(Authorized Representative in the United States)</w:t>
      </w: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Colleen A. De Vries</w:t>
      </w:r>
    </w:p>
    <w:p>
      <w:pPr>
        <w:spacing w:after="0" w:line="1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Name: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-120650</wp:posOffset>
            </wp:positionV>
            <wp:extent cx="334962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349625" cy="7620"/>
                    </a:xfrm>
                    <a:prstGeom prst="rect">
                      <a:avLst/>
                    </a:prstGeom>
                    <a:noFill/>
                  </pic:spPr>
                </pic:pic>
              </a:graphicData>
            </a:graphic>
          </wp:anchor>
        </w:drawing>
      </w:r>
    </w:p>
    <w:p>
      <w:pPr>
        <w:spacing w:after="0" w:line="1"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7"/>
          <w:szCs w:val="17"/>
          <w:color w:val="auto"/>
        </w:rPr>
        <w:t>Title:</w:t>
        <w:tab/>
        <w:t>Senior Vice 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398145</wp:posOffset>
            </wp:positionV>
            <wp:extent cx="71424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80"/>
          </w:cols>
          <w:pgMar w:left="320" w:top="842" w:right="499" w:bottom="1440" w:gutter="0" w:footer="0" w:header="0"/>
        </w:sectPr>
      </w:pPr>
    </w:p>
    <w:bookmarkStart w:id="5" w:name="page6"/>
    <w:bookmarkEnd w:id="5"/>
    <w:p>
      <w:pPr>
        <w:ind w:left="104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20"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auto"/>
        </w:rPr>
        <w:t>99 Bishopsgate</w:t>
      </w:r>
    </w:p>
    <w:p>
      <w:pPr>
        <w:spacing w:after="0" w:line="29"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6"/>
          <w:szCs w:val="16"/>
          <w:color w:val="auto"/>
        </w:rPr>
        <w:t>London EC2M 3XF</w:t>
      </w:r>
    </w:p>
    <w:p>
      <w:pPr>
        <w:spacing w:after="0" w:line="40"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auto"/>
        </w:rPr>
        <w:t>United Kingdom</w:t>
      </w:r>
    </w:p>
    <w:p>
      <w:pPr>
        <w:spacing w:after="0" w:line="29"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auto"/>
        </w:rPr>
        <w:t>Tel:</w:t>
      </w:r>
    </w:p>
    <w:p>
      <w:pPr>
        <w:spacing w:after="0" w:line="21"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6"/>
          <w:szCs w:val="16"/>
          <w:color w:val="auto"/>
        </w:rPr>
        <w:t>+44(0)20.7710.1000</w:t>
      </w:r>
    </w:p>
    <w:p>
      <w:pPr>
        <w:spacing w:after="0" w:line="16"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auto"/>
        </w:rPr>
        <w:t>Fax:</w:t>
      </w:r>
    </w:p>
    <w:p>
      <w:pPr>
        <w:spacing w:after="0" w:line="4"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6"/>
          <w:szCs w:val="16"/>
          <w:color w:val="auto"/>
        </w:rPr>
        <w:t>+44(0)20.7374.4460</w:t>
      </w:r>
    </w:p>
    <w:p>
      <w:pPr>
        <w:spacing w:after="0" w:line="24"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6334760" cy="554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6334760" cy="55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6"/>
          <w:szCs w:val="16"/>
          <w:color w:val="auto"/>
        </w:rPr>
        <w:t>FIRM / AFFILIATE</w:t>
      </w:r>
    </w:p>
    <w:p>
      <w:pPr>
        <w:spacing w:after="0" w:line="32"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auto"/>
        </w:rPr>
        <w:t>OFFICES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400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Austin</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Milan</w:t>
            </w:r>
          </w:p>
        </w:tc>
      </w:tr>
      <w:tr>
        <w:trPr>
          <w:trHeight w:val="220"/>
        </w:trPr>
        <w:tc>
          <w:tcPr>
            <w:tcW w:w="4040" w:type="dxa"/>
            <w:vAlign w:val="bottom"/>
          </w:tcPr>
          <w:p>
            <w:pPr>
              <w:spacing w:after="0"/>
              <w:rPr>
                <w:sz w:val="19"/>
                <w:szCs w:val="19"/>
                <w:color w:val="auto"/>
              </w:rPr>
            </w:pPr>
          </w:p>
        </w:tc>
        <w:tc>
          <w:tcPr>
            <w:tcW w:w="400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Beijing</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Munich</w:t>
            </w:r>
          </w:p>
        </w:tc>
      </w:tr>
      <w:tr>
        <w:trPr>
          <w:trHeight w:val="224"/>
        </w:trPr>
        <w:tc>
          <w:tcPr>
            <w:tcW w:w="4040" w:type="dxa"/>
            <w:vAlign w:val="bottom"/>
          </w:tcPr>
          <w:p>
            <w:pPr>
              <w:spacing w:after="0"/>
              <w:rPr>
                <w:sz w:val="19"/>
                <w:szCs w:val="19"/>
                <w:color w:val="auto"/>
              </w:rPr>
            </w:pPr>
          </w:p>
        </w:tc>
        <w:tc>
          <w:tcPr>
            <w:tcW w:w="400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Boston</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New York</w:t>
            </w:r>
          </w:p>
        </w:tc>
      </w:tr>
      <w:tr>
        <w:trPr>
          <w:trHeight w:val="224"/>
        </w:trPr>
        <w:tc>
          <w:tcPr>
            <w:tcW w:w="4040" w:type="dxa"/>
            <w:vAlign w:val="bottom"/>
          </w:tcPr>
          <w:p>
            <w:pPr>
              <w:spacing w:after="0"/>
              <w:rPr>
                <w:sz w:val="19"/>
                <w:szCs w:val="19"/>
                <w:color w:val="auto"/>
              </w:rPr>
            </w:pPr>
          </w:p>
        </w:tc>
        <w:tc>
          <w:tcPr>
            <w:tcW w:w="400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Brussels</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Orange County</w:t>
            </w:r>
          </w:p>
        </w:tc>
      </w:tr>
      <w:tr>
        <w:trPr>
          <w:trHeight w:val="224"/>
        </w:trPr>
        <w:tc>
          <w:tcPr>
            <w:tcW w:w="4040" w:type="dxa"/>
            <w:vAlign w:val="bottom"/>
          </w:tcPr>
          <w:p>
            <w:pPr>
              <w:spacing w:after="0"/>
              <w:rPr>
                <w:sz w:val="19"/>
                <w:szCs w:val="19"/>
                <w:color w:val="auto"/>
              </w:rPr>
            </w:pPr>
          </w:p>
        </w:tc>
        <w:tc>
          <w:tcPr>
            <w:tcW w:w="400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Century City</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Paris</w:t>
            </w:r>
          </w:p>
        </w:tc>
      </w:tr>
      <w:tr>
        <w:trPr>
          <w:trHeight w:val="224"/>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15 November 2022</w:t>
            </w:r>
          </w:p>
        </w:tc>
        <w:tc>
          <w:tcPr>
            <w:tcW w:w="400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Chicago</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Riyadh*</w:t>
            </w:r>
          </w:p>
        </w:tc>
      </w:tr>
      <w:tr>
        <w:trPr>
          <w:trHeight w:val="224"/>
        </w:trPr>
        <w:tc>
          <w:tcPr>
            <w:tcW w:w="4040" w:type="dxa"/>
            <w:vAlign w:val="bottom"/>
          </w:tcPr>
          <w:p>
            <w:pPr>
              <w:spacing w:after="0"/>
              <w:rPr>
                <w:sz w:val="19"/>
                <w:szCs w:val="19"/>
                <w:color w:val="auto"/>
              </w:rPr>
            </w:pPr>
          </w:p>
        </w:tc>
        <w:tc>
          <w:tcPr>
            <w:tcW w:w="400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Dubai</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San Diego</w:t>
            </w:r>
          </w:p>
        </w:tc>
      </w:tr>
      <w:tr>
        <w:trPr>
          <w:trHeight w:val="224"/>
        </w:trPr>
        <w:tc>
          <w:tcPr>
            <w:tcW w:w="4040" w:type="dxa"/>
            <w:vAlign w:val="bottom"/>
          </w:tcPr>
          <w:p>
            <w:pPr>
              <w:spacing w:after="0"/>
              <w:rPr>
                <w:sz w:val="19"/>
                <w:szCs w:val="19"/>
                <w:color w:val="auto"/>
              </w:rPr>
            </w:pPr>
          </w:p>
        </w:tc>
        <w:tc>
          <w:tcPr>
            <w:tcW w:w="400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Düsseldorf</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San Francisco</w:t>
            </w:r>
          </w:p>
        </w:tc>
      </w:tr>
      <w:tr>
        <w:trPr>
          <w:trHeight w:val="224"/>
        </w:trPr>
        <w:tc>
          <w:tcPr>
            <w:tcW w:w="4040" w:type="dxa"/>
            <w:vAlign w:val="bottom"/>
          </w:tcPr>
          <w:p>
            <w:pPr>
              <w:spacing w:after="0"/>
              <w:rPr>
                <w:sz w:val="19"/>
                <w:szCs w:val="19"/>
                <w:color w:val="auto"/>
              </w:rPr>
            </w:pPr>
          </w:p>
        </w:tc>
        <w:tc>
          <w:tcPr>
            <w:tcW w:w="400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Frankfurt</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Seoul</w:t>
            </w:r>
          </w:p>
        </w:tc>
      </w:tr>
      <w:tr>
        <w:trPr>
          <w:trHeight w:val="224"/>
        </w:trPr>
        <w:tc>
          <w:tcPr>
            <w:tcW w:w="4040" w:type="dxa"/>
            <w:vAlign w:val="bottom"/>
          </w:tcPr>
          <w:p>
            <w:pPr>
              <w:spacing w:after="0"/>
              <w:rPr>
                <w:sz w:val="19"/>
                <w:szCs w:val="19"/>
                <w:color w:val="auto"/>
              </w:rPr>
            </w:pPr>
          </w:p>
        </w:tc>
        <w:tc>
          <w:tcPr>
            <w:tcW w:w="400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Hamburg</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Shanghai</w:t>
            </w:r>
          </w:p>
        </w:tc>
      </w:tr>
      <w:tr>
        <w:trPr>
          <w:trHeight w:val="224"/>
        </w:trPr>
        <w:tc>
          <w:tcPr>
            <w:tcW w:w="4040" w:type="dxa"/>
            <w:vAlign w:val="bottom"/>
          </w:tcPr>
          <w:p>
            <w:pPr>
              <w:spacing w:after="0"/>
              <w:rPr>
                <w:sz w:val="19"/>
                <w:szCs w:val="19"/>
                <w:color w:val="auto"/>
              </w:rPr>
            </w:pPr>
          </w:p>
        </w:tc>
        <w:tc>
          <w:tcPr>
            <w:tcW w:w="400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Hong Kong</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Silicon Valley</w:t>
            </w:r>
          </w:p>
        </w:tc>
      </w:tr>
      <w:tr>
        <w:trPr>
          <w:trHeight w:val="224"/>
        </w:trPr>
        <w:tc>
          <w:tcPr>
            <w:tcW w:w="4040" w:type="dxa"/>
            <w:vAlign w:val="bottom"/>
          </w:tcPr>
          <w:p>
            <w:pPr>
              <w:spacing w:after="0"/>
              <w:rPr>
                <w:sz w:val="19"/>
                <w:szCs w:val="19"/>
                <w:color w:val="auto"/>
              </w:rPr>
            </w:pPr>
          </w:p>
        </w:tc>
        <w:tc>
          <w:tcPr>
            <w:tcW w:w="400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Houston</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Singapore</w:t>
            </w:r>
          </w:p>
        </w:tc>
      </w:tr>
      <w:tr>
        <w:trPr>
          <w:trHeight w:val="224"/>
        </w:trPr>
        <w:tc>
          <w:tcPr>
            <w:tcW w:w="4040" w:type="dxa"/>
            <w:vAlign w:val="bottom"/>
          </w:tcPr>
          <w:p>
            <w:pPr>
              <w:spacing w:after="0"/>
              <w:rPr>
                <w:sz w:val="19"/>
                <w:szCs w:val="19"/>
                <w:color w:val="auto"/>
              </w:rPr>
            </w:pPr>
          </w:p>
        </w:tc>
        <w:tc>
          <w:tcPr>
            <w:tcW w:w="400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London</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Tel Aviv</w:t>
            </w:r>
          </w:p>
        </w:tc>
      </w:tr>
      <w:tr>
        <w:trPr>
          <w:trHeight w:val="224"/>
        </w:trPr>
        <w:tc>
          <w:tcPr>
            <w:tcW w:w="4040" w:type="dxa"/>
            <w:vAlign w:val="bottom"/>
          </w:tcPr>
          <w:p>
            <w:pPr>
              <w:spacing w:after="0"/>
              <w:rPr>
                <w:sz w:val="19"/>
                <w:szCs w:val="19"/>
                <w:color w:val="auto"/>
              </w:rPr>
            </w:pPr>
          </w:p>
        </w:tc>
        <w:tc>
          <w:tcPr>
            <w:tcW w:w="400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Los Angeles</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Tokyo</w:t>
            </w:r>
          </w:p>
        </w:tc>
      </w:tr>
      <w:tr>
        <w:trPr>
          <w:trHeight w:val="224"/>
        </w:trPr>
        <w:tc>
          <w:tcPr>
            <w:tcW w:w="4040" w:type="dxa"/>
            <w:vAlign w:val="bottom"/>
          </w:tcPr>
          <w:p>
            <w:pPr>
              <w:spacing w:after="0"/>
              <w:rPr>
                <w:sz w:val="19"/>
                <w:szCs w:val="19"/>
                <w:color w:val="auto"/>
              </w:rPr>
            </w:pPr>
          </w:p>
        </w:tc>
        <w:tc>
          <w:tcPr>
            <w:tcW w:w="400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Madrid</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auto"/>
                <w:w w:val="94"/>
              </w:rPr>
              <w:t>Washington, D.C.</w:t>
            </w:r>
          </w:p>
        </w:tc>
      </w:tr>
      <w:tr>
        <w:trPr>
          <w:trHeight w:val="420"/>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Verona Pharma plc</w:t>
            </w:r>
          </w:p>
        </w:tc>
        <w:tc>
          <w:tcPr>
            <w:tcW w:w="40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0"/>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One Central Square</w:t>
            </w:r>
          </w:p>
        </w:tc>
        <w:tc>
          <w:tcPr>
            <w:tcW w:w="40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0"/>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Cardiff</w:t>
            </w:r>
          </w:p>
        </w:tc>
        <w:tc>
          <w:tcPr>
            <w:tcW w:w="40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0"/>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CF10 1FS</w:t>
            </w:r>
          </w:p>
        </w:tc>
        <w:tc>
          <w:tcPr>
            <w:tcW w:w="40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United Kingdom</w:t>
            </w:r>
          </w:p>
        </w:tc>
        <w:tc>
          <w:tcPr>
            <w:tcW w:w="400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line="17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Verona Pharma plc – Registration Statement on Form S-8 Exhibit 5.1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0"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7"/>
          <w:szCs w:val="17"/>
          <w:color w:val="auto"/>
        </w:rPr>
        <w:t>We have acted as English legal advisers to Verona Pharma plc, a public limited company incorporated in England and Wales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 connection with the preparation and filing of the registration statement on Form S-8 to which this opinion letter is attached as an exhibit (such registration statement, as amended, including the documents incorporated by reference therein,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filed with the United States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pursuant to the United States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7"/>
          <w:szCs w:val="17"/>
          <w:color w:val="auto"/>
        </w:rPr>
        <w:t>As set out in the Registration Statement, it is proposed that up to 17,132,312 ordinary shares of the Company each having a nominal value of £0.05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will be issued upon the exercise or settlement of equity awards granted under the Verona Pharma plc 2017 Incentive Award Plan adopted on 12 April 2017 (the “</w:t>
      </w:r>
      <w:r>
        <w:rPr>
          <w:rFonts w:ascii="Times New Roman" w:cs="Times New Roman" w:eastAsia="Times New Roman" w:hAnsi="Times New Roman"/>
          <w:sz w:val="17"/>
          <w:szCs w:val="17"/>
          <w:b w:val="1"/>
          <w:bCs w:val="1"/>
          <w:color w:val="auto"/>
        </w:rPr>
        <w:t>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ind w:left="600" w:hanging="600"/>
        <w:spacing w:after="0"/>
        <w:tabs>
          <w:tab w:leader="none" w:pos="60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INTRODUCTION</w:t>
      </w:r>
    </w:p>
    <w:p>
      <w:pPr>
        <w:spacing w:after="0" w:line="20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Purpose</w:t>
      </w:r>
    </w:p>
    <w:p>
      <w:pPr>
        <w:spacing w:after="0" w:line="208" w:lineRule="exact"/>
        <w:rPr>
          <w:sz w:val="20"/>
          <w:szCs w:val="20"/>
          <w:color w:val="auto"/>
        </w:rPr>
      </w:pPr>
    </w:p>
    <w:p>
      <w:pPr>
        <w:ind w:left="600" w:right="100"/>
        <w:spacing w:after="0" w:line="270" w:lineRule="auto"/>
        <w:rPr>
          <w:sz w:val="20"/>
          <w:szCs w:val="20"/>
          <w:color w:val="auto"/>
        </w:rPr>
      </w:pPr>
      <w:r>
        <w:rPr>
          <w:rFonts w:ascii="Times New Roman" w:cs="Times New Roman" w:eastAsia="Times New Roman" w:hAnsi="Times New Roman"/>
          <w:sz w:val="17"/>
          <w:szCs w:val="17"/>
          <w:color w:val="auto"/>
        </w:rPr>
        <w:t>In connection with the Registration Statement, we have been asked to provide an opinion on certain matters, as set out below. We have taken instruction in this regard solely from the Company.</w:t>
      </w:r>
    </w:p>
    <w:p>
      <w:pPr>
        <w:spacing w:after="0" w:line="159"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7"/>
          <w:szCs w:val="17"/>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or managers authorised by the SRA. We are affiliated with the firm Latham &amp; Watkins LLP, a limited liability partnership organised under the laws of Delaware.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cooperation with the Law Firm of Salman M. Al-Sudairi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14248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340"/>
          </w:cols>
          <w:pgMar w:left="320" w:top="343"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334760" cy="688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334760" cy="68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Defined terms and headings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this letter:</w:t>
      </w:r>
    </w:p>
    <w:p>
      <w:pPr>
        <w:spacing w:after="0" w:line="204" w:lineRule="exact"/>
        <w:rPr>
          <w:sz w:val="20"/>
          <w:szCs w:val="20"/>
          <w:color w:val="auto"/>
        </w:rPr>
      </w:pPr>
    </w:p>
    <w:p>
      <w:pPr>
        <w:ind w:left="1200" w:hanging="602"/>
        <w:spacing w:after="0" w:line="270"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capitalised terms used without definition in this letter or the schedules hereto have the meanings assigned to them in the Registration Statement unless a contrary indication appears; and</w:t>
      </w:r>
    </w:p>
    <w:p>
      <w:pPr>
        <w:spacing w:after="0" w:line="158" w:lineRule="exact"/>
        <w:rPr>
          <w:rFonts w:ascii="Times New Roman" w:cs="Times New Roman" w:eastAsia="Times New Roman" w:hAnsi="Times New Roman"/>
          <w:sz w:val="17"/>
          <w:szCs w:val="17"/>
          <w:color w:val="auto"/>
        </w:rPr>
      </w:pPr>
    </w:p>
    <w:p>
      <w:pPr>
        <w:ind w:left="1200" w:hanging="602"/>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headings are for ease of reference only and shall not affect interpretation.</w:t>
      </w:r>
    </w:p>
    <w:p>
      <w:pPr>
        <w:spacing w:after="0" w:line="20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Legal review</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the purpose of issuing this letter, we have reviewed only the following documents and conducted only the following enquiries and searches:</w:t>
      </w:r>
    </w:p>
    <w:p>
      <w:pPr>
        <w:spacing w:after="0" w:line="204" w:lineRule="exact"/>
        <w:rPr>
          <w:sz w:val="20"/>
          <w:szCs w:val="20"/>
          <w:color w:val="auto"/>
        </w:rPr>
      </w:pPr>
    </w:p>
    <w:p>
      <w:pPr>
        <w:ind w:left="1200" w:hanging="602"/>
        <w:spacing w:after="0"/>
        <w:tabs>
          <w:tab w:leader="none" w:pos="1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online search at Companies House in respect of information available for inspection about the Company conducted on 15 November 2022;</w:t>
      </w:r>
    </w:p>
    <w:p>
      <w:pPr>
        <w:spacing w:after="0" w:line="203" w:lineRule="exact"/>
        <w:rPr>
          <w:rFonts w:ascii="Times New Roman" w:cs="Times New Roman" w:eastAsia="Times New Roman" w:hAnsi="Times New Roman"/>
          <w:sz w:val="17"/>
          <w:szCs w:val="17"/>
          <w:color w:val="auto"/>
        </w:rPr>
      </w:pPr>
    </w:p>
    <w:p>
      <w:pPr>
        <w:ind w:left="1200" w:hanging="602"/>
        <w:spacing w:after="0" w:line="270" w:lineRule="auto"/>
        <w:tabs>
          <w:tab w:leader="none" w:pos="1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enquiry by telephone at the Central Index of Winding Up Petitions, London on 15 November 2022 at 10:02 am (London time) ((a) and (b) together, the “</w:t>
      </w:r>
      <w:r>
        <w:rPr>
          <w:rFonts w:ascii="Times New Roman" w:cs="Times New Roman" w:eastAsia="Times New Roman" w:hAnsi="Times New Roman"/>
          <w:sz w:val="17"/>
          <w:szCs w:val="17"/>
          <w:b w:val="1"/>
          <w:bCs w:val="1"/>
          <w:color w:val="auto"/>
        </w:rPr>
        <w:t>Searches</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ind w:left="1200" w:hanging="602"/>
        <w:spacing w:after="0"/>
        <w:tabs>
          <w:tab w:leader="none" w:pos="1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copies of the written resolutions of the board of directors of the Company dated 14 November 2022;</w:t>
      </w:r>
    </w:p>
    <w:p>
      <w:pPr>
        <w:spacing w:after="0" w:line="203" w:lineRule="exact"/>
        <w:rPr>
          <w:rFonts w:ascii="Times New Roman" w:cs="Times New Roman" w:eastAsia="Times New Roman" w:hAnsi="Times New Roman"/>
          <w:sz w:val="17"/>
          <w:szCs w:val="17"/>
          <w:color w:val="auto"/>
        </w:rPr>
      </w:pPr>
    </w:p>
    <w:p>
      <w:pPr>
        <w:ind w:left="1200" w:hanging="602"/>
        <w:spacing w:after="0"/>
        <w:tabs>
          <w:tab w:leader="none" w:pos="1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Equity Plan;</w:t>
      </w:r>
    </w:p>
    <w:p>
      <w:pPr>
        <w:spacing w:after="0" w:line="203" w:lineRule="exact"/>
        <w:rPr>
          <w:rFonts w:ascii="Times New Roman" w:cs="Times New Roman" w:eastAsia="Times New Roman" w:hAnsi="Times New Roman"/>
          <w:sz w:val="17"/>
          <w:szCs w:val="17"/>
          <w:color w:val="auto"/>
        </w:rPr>
      </w:pPr>
    </w:p>
    <w:p>
      <w:pPr>
        <w:ind w:left="1200" w:hanging="602"/>
        <w:spacing w:after="0"/>
        <w:tabs>
          <w:tab w:leader="none" w:pos="1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certificate of incorporation of the Company dated 24 February 2005;</w:t>
      </w:r>
    </w:p>
    <w:p>
      <w:pPr>
        <w:spacing w:after="0" w:line="203" w:lineRule="exact"/>
        <w:rPr>
          <w:rFonts w:ascii="Times New Roman" w:cs="Times New Roman" w:eastAsia="Times New Roman" w:hAnsi="Times New Roman"/>
          <w:sz w:val="17"/>
          <w:szCs w:val="17"/>
          <w:color w:val="auto"/>
        </w:rPr>
      </w:pPr>
    </w:p>
    <w:p>
      <w:pPr>
        <w:ind w:left="1200" w:hanging="602"/>
        <w:spacing w:after="0"/>
        <w:tabs>
          <w:tab w:leader="none" w:pos="1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certificate of incorporation on change of name of the Company dated 18 September 2006;</w:t>
      </w:r>
    </w:p>
    <w:p>
      <w:pPr>
        <w:spacing w:after="0" w:line="203" w:lineRule="exact"/>
        <w:rPr>
          <w:rFonts w:ascii="Times New Roman" w:cs="Times New Roman" w:eastAsia="Times New Roman" w:hAnsi="Times New Roman"/>
          <w:sz w:val="17"/>
          <w:szCs w:val="17"/>
          <w:color w:val="auto"/>
        </w:rPr>
      </w:pPr>
    </w:p>
    <w:p>
      <w:pPr>
        <w:ind w:left="1200" w:hanging="602"/>
        <w:spacing w:after="0" w:line="270" w:lineRule="auto"/>
        <w:tabs>
          <w:tab w:leader="none" w:pos="1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current articles of association of the Company adopted pursuant to a special resolution of the shareholders passed at the general meeting held on 18 December 2020; and</w:t>
      </w:r>
    </w:p>
    <w:p>
      <w:pPr>
        <w:spacing w:after="0" w:line="158" w:lineRule="exact"/>
        <w:rPr>
          <w:rFonts w:ascii="Times New Roman" w:cs="Times New Roman" w:eastAsia="Times New Roman" w:hAnsi="Times New Roman"/>
          <w:sz w:val="17"/>
          <w:szCs w:val="17"/>
          <w:color w:val="auto"/>
        </w:rPr>
      </w:pPr>
    </w:p>
    <w:p>
      <w:pPr>
        <w:ind w:left="1200" w:hanging="602"/>
        <w:spacing w:after="0"/>
        <w:tabs>
          <w:tab w:leader="none" w:pos="1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draft copy of the Registration Statement as at 15 November 2022 and to be filed with the SEC on 15 November 2022.</w:t>
      </w:r>
    </w:p>
    <w:p>
      <w:pPr>
        <w:spacing w:after="0" w:line="20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Applicable law</w:t>
      </w:r>
    </w:p>
    <w:p>
      <w:pPr>
        <w:spacing w:after="0" w:line="208" w:lineRule="exact"/>
        <w:rPr>
          <w:sz w:val="20"/>
          <w:szCs w:val="20"/>
          <w:color w:val="auto"/>
        </w:rPr>
      </w:pPr>
    </w:p>
    <w:p>
      <w:pPr>
        <w:jc w:val="both"/>
        <w:ind w:left="600"/>
        <w:spacing w:after="0" w:line="257" w:lineRule="auto"/>
        <w:rPr>
          <w:sz w:val="20"/>
          <w:szCs w:val="20"/>
          <w:color w:val="auto"/>
        </w:rPr>
      </w:pPr>
      <w:r>
        <w:rPr>
          <w:rFonts w:ascii="Times New Roman" w:cs="Times New Roman" w:eastAsia="Times New Roman" w:hAnsi="Times New Roman"/>
          <w:sz w:val="17"/>
          <w:szCs w:val="17"/>
          <w:color w:val="auto"/>
        </w:rPr>
        <w:t>This letter, the opinions given in it, and any non-contractual obligations arising out of or in connection with this letter and/or the opinions given in it, are governed by, and shall be construed in accordance with English law, and relate only to English law as applied by the English courts as at today’s date. In particular:</w:t>
      </w:r>
    </w:p>
    <w:p>
      <w:pPr>
        <w:spacing w:after="0" w:line="170" w:lineRule="exact"/>
        <w:rPr>
          <w:sz w:val="20"/>
          <w:szCs w:val="20"/>
          <w:color w:val="auto"/>
        </w:rPr>
      </w:pPr>
    </w:p>
    <w:p>
      <w:pPr>
        <w:ind w:left="1200" w:hanging="602"/>
        <w:spacing w:after="0" w:line="270" w:lineRule="auto"/>
        <w:tabs>
          <w:tab w:leader="none" w:pos="12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not investigated the laws of any country other than England and we assume that no foreign law, (including, for the avoidance of doubt, European Union law on and after 1 January 2021), affects any of the opinions stated below; and</w:t>
      </w:r>
    </w:p>
    <w:p>
      <w:pPr>
        <w:spacing w:after="0" w:line="158" w:lineRule="exact"/>
        <w:rPr>
          <w:rFonts w:ascii="Times New Roman" w:cs="Times New Roman" w:eastAsia="Times New Roman" w:hAnsi="Times New Roman"/>
          <w:sz w:val="17"/>
          <w:szCs w:val="17"/>
          <w:color w:val="auto"/>
        </w:rPr>
      </w:pPr>
    </w:p>
    <w:p>
      <w:pPr>
        <w:ind w:left="1200" w:hanging="602"/>
        <w:spacing w:after="0"/>
        <w:tabs>
          <w:tab w:leader="none" w:pos="12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express no opinion in this letter on the laws of any jurisdiction other than England.</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71424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334760" cy="688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6334760" cy="68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1.5</w:t>
      </w:r>
      <w:r>
        <w:rPr>
          <w:sz w:val="20"/>
          <w:szCs w:val="20"/>
          <w:color w:val="auto"/>
        </w:rPr>
        <w:tab/>
      </w:r>
      <w:r>
        <w:rPr>
          <w:rFonts w:ascii="Times New Roman" w:cs="Times New Roman" w:eastAsia="Times New Roman" w:hAnsi="Times New Roman"/>
          <w:sz w:val="16"/>
          <w:szCs w:val="16"/>
          <w:b w:val="1"/>
          <w:bCs w:val="1"/>
          <w:color w:val="auto"/>
        </w:rPr>
        <w:t>Assumptions and reservations</w:t>
      </w:r>
    </w:p>
    <w:p>
      <w:pPr>
        <w:spacing w:after="0" w:line="206"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The opinions given in this letter are given on the basis of each of the assumptions set out in Schedule 1 (</w:t>
      </w:r>
      <w:r>
        <w:rPr>
          <w:rFonts w:ascii="Times New Roman" w:cs="Times New Roman" w:eastAsia="Times New Roman" w:hAnsi="Times New Roman"/>
          <w:sz w:val="17"/>
          <w:szCs w:val="17"/>
          <w:i w:val="1"/>
          <w:iCs w:val="1"/>
          <w:color w:val="auto"/>
        </w:rPr>
        <w:t>Assumptions</w:t>
      </w:r>
      <w:r>
        <w:rPr>
          <w:rFonts w:ascii="Times New Roman" w:cs="Times New Roman" w:eastAsia="Times New Roman" w:hAnsi="Times New Roman"/>
          <w:sz w:val="17"/>
          <w:szCs w:val="17"/>
          <w:color w:val="auto"/>
        </w:rPr>
        <w:t>) and are subject to each of the reservations set out in Schedule 2 (</w:t>
      </w:r>
      <w:r>
        <w:rPr>
          <w:rFonts w:ascii="Times New Roman" w:cs="Times New Roman" w:eastAsia="Times New Roman" w:hAnsi="Times New Roman"/>
          <w:sz w:val="17"/>
          <w:szCs w:val="17"/>
          <w:i w:val="1"/>
          <w:iCs w:val="1"/>
          <w:color w:val="auto"/>
        </w:rPr>
        <w:t>Reservations</w:t>
      </w:r>
      <w:r>
        <w:rPr>
          <w:rFonts w:ascii="Times New Roman" w:cs="Times New Roman" w:eastAsia="Times New Roman" w:hAnsi="Times New Roman"/>
          <w:sz w:val="17"/>
          <w:szCs w:val="17"/>
          <w:color w:val="auto"/>
        </w:rPr>
        <w:t>) to this letter. The opinions given in this letter are strictly limited to the matters stated in paragraph 2 (</w:t>
      </w:r>
      <w:r>
        <w:rPr>
          <w:rFonts w:ascii="Times New Roman" w:cs="Times New Roman" w:eastAsia="Times New Roman" w:hAnsi="Times New Roman"/>
          <w:sz w:val="17"/>
          <w:szCs w:val="17"/>
          <w:i w:val="1"/>
          <w:iCs w:val="1"/>
          <w:color w:val="auto"/>
        </w:rPr>
        <w:t>Opinions</w:t>
      </w:r>
      <w:r>
        <w:rPr>
          <w:rFonts w:ascii="Times New Roman" w:cs="Times New Roman" w:eastAsia="Times New Roman" w:hAnsi="Times New Roman"/>
          <w:sz w:val="17"/>
          <w:szCs w:val="17"/>
          <w:color w:val="auto"/>
        </w:rPr>
        <w:t>) below and do not extend, and should not be read as extending, by implication or otherwise, to any other matters.</w:t>
      </w:r>
    </w:p>
    <w:p>
      <w:pPr>
        <w:spacing w:after="0" w:line="166" w:lineRule="exact"/>
        <w:rPr>
          <w:sz w:val="20"/>
          <w:szCs w:val="20"/>
          <w:color w:val="auto"/>
        </w:rPr>
      </w:pPr>
    </w:p>
    <w:p>
      <w:pPr>
        <w:ind w:left="600" w:hanging="600"/>
        <w:spacing w:after="0"/>
        <w:tabs>
          <w:tab w:leader="none" w:pos="60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OPINION</w:t>
      </w:r>
    </w:p>
    <w:p>
      <w:pPr>
        <w:spacing w:after="0" w:line="205"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paragraph 1 (</w:t>
      </w:r>
      <w:r>
        <w:rPr>
          <w:rFonts w:ascii="Times New Roman" w:cs="Times New Roman" w:eastAsia="Times New Roman" w:hAnsi="Times New Roman"/>
          <w:sz w:val="17"/>
          <w:szCs w:val="17"/>
          <w:i w:val="1"/>
          <w:iCs w:val="1"/>
          <w:color w:val="auto"/>
        </w:rPr>
        <w:t>Introduction</w:t>
      </w:r>
      <w:r>
        <w:rPr>
          <w:rFonts w:ascii="Times New Roman" w:cs="Times New Roman" w:eastAsia="Times New Roman" w:hAnsi="Times New Roman"/>
          <w:sz w:val="17"/>
          <w:szCs w:val="17"/>
          <w:color w:val="auto"/>
        </w:rPr>
        <w:t>) and the other matters set out in this letter and its Schedules, and subject further to the following:</w:t>
      </w:r>
    </w:p>
    <w:p>
      <w:pPr>
        <w:spacing w:after="0" w:line="205" w:lineRule="exact"/>
        <w:rPr>
          <w:rFonts w:ascii="Times New Roman" w:cs="Times New Roman" w:eastAsia="Times New Roman" w:hAnsi="Times New Roman"/>
          <w:sz w:val="17"/>
          <w:szCs w:val="17"/>
          <w:b w:val="1"/>
          <w:bCs w:val="1"/>
          <w:color w:val="auto"/>
        </w:rPr>
      </w:pPr>
    </w:p>
    <w:p>
      <w:pPr>
        <w:ind w:left="1200" w:hanging="602"/>
        <w:spacing w:after="0"/>
        <w:tabs>
          <w:tab w:leader="none" w:pos="12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as finally amended, having become effective under the Securities Act;</w:t>
      </w:r>
    </w:p>
    <w:p>
      <w:pPr>
        <w:spacing w:after="0" w:line="203" w:lineRule="exact"/>
        <w:rPr>
          <w:rFonts w:ascii="Times New Roman" w:cs="Times New Roman" w:eastAsia="Times New Roman" w:hAnsi="Times New Roman"/>
          <w:sz w:val="17"/>
          <w:szCs w:val="17"/>
          <w:color w:val="auto"/>
        </w:rPr>
      </w:pPr>
    </w:p>
    <w:p>
      <w:pPr>
        <w:jc w:val="both"/>
        <w:ind w:left="1200" w:hanging="602"/>
        <w:spacing w:after="0" w:line="250" w:lineRule="auto"/>
        <w:tabs>
          <w:tab w:leader="none" w:pos="12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of the Company in a general meeting or within the Company’s articles of association duly and validly having resolved: (i) as may be required, as an ordinary resolution, or within the Company’s articles of association, to authorise the board of directors of the Company pursuant to section 551 of the Companies Act 2006 (the “</w:t>
      </w:r>
      <w:r>
        <w:rPr>
          <w:rFonts w:ascii="Times New Roman" w:cs="Times New Roman" w:eastAsia="Times New Roman" w:hAnsi="Times New Roman"/>
          <w:sz w:val="17"/>
          <w:szCs w:val="17"/>
          <w:b w:val="1"/>
          <w:bCs w:val="1"/>
          <w:color w:val="auto"/>
        </w:rPr>
        <w:t>Companies Act</w:t>
      </w:r>
      <w:r>
        <w:rPr>
          <w:rFonts w:ascii="Times New Roman" w:cs="Times New Roman" w:eastAsia="Times New Roman" w:hAnsi="Times New Roman"/>
          <w:sz w:val="17"/>
          <w:szCs w:val="17"/>
          <w:color w:val="auto"/>
        </w:rPr>
        <w:t>”) to allot Shares, or to grant rights to subscribe for Shares, pursuant to the Equity Plan; and (ii) as may be required, as a special resolution, or within the Company’s articles of association, to empower the directors of the Company pursuant to section 570 of the Companies Act to allot such Shares, and grant such rights (as applicable), free of the restrictions in section 561 of the Companies Act, and such resolutions and authorities remaining in full force and effect and not having expired, been rescinded or amended;</w:t>
      </w:r>
    </w:p>
    <w:p>
      <w:pPr>
        <w:spacing w:after="0" w:line="174" w:lineRule="exact"/>
        <w:rPr>
          <w:rFonts w:ascii="Times New Roman" w:cs="Times New Roman" w:eastAsia="Times New Roman" w:hAnsi="Times New Roman"/>
          <w:sz w:val="17"/>
          <w:szCs w:val="17"/>
          <w:color w:val="auto"/>
        </w:rPr>
      </w:pPr>
    </w:p>
    <w:p>
      <w:pPr>
        <w:ind w:left="1200" w:hanging="602"/>
        <w:spacing w:after="0"/>
        <w:tabs>
          <w:tab w:leader="none" w:pos="12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of the Company and the shareholders of the Company having validly approved the Equity Plan;</w:t>
      </w:r>
    </w:p>
    <w:p>
      <w:pPr>
        <w:spacing w:after="0" w:line="203" w:lineRule="exact"/>
        <w:rPr>
          <w:rFonts w:ascii="Times New Roman" w:cs="Times New Roman" w:eastAsia="Times New Roman" w:hAnsi="Times New Roman"/>
          <w:sz w:val="17"/>
          <w:szCs w:val="17"/>
          <w:color w:val="auto"/>
        </w:rPr>
      </w:pPr>
    </w:p>
    <w:p>
      <w:pPr>
        <w:ind w:left="1200" w:hanging="602"/>
        <w:spacing w:after="0"/>
        <w:tabs>
          <w:tab w:leader="none" w:pos="12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of the Company having validly granted the awards in respect of the Shares under the Equity Plan;</w:t>
      </w:r>
    </w:p>
    <w:p>
      <w:pPr>
        <w:spacing w:after="0" w:line="203" w:lineRule="exact"/>
        <w:rPr>
          <w:rFonts w:ascii="Times New Roman" w:cs="Times New Roman" w:eastAsia="Times New Roman" w:hAnsi="Times New Roman"/>
          <w:sz w:val="17"/>
          <w:szCs w:val="17"/>
          <w:color w:val="auto"/>
        </w:rPr>
      </w:pPr>
    </w:p>
    <w:p>
      <w:pPr>
        <w:jc w:val="both"/>
        <w:ind w:left="1200" w:hanging="602"/>
        <w:spacing w:after="0" w:line="257" w:lineRule="auto"/>
        <w:tabs>
          <w:tab w:leader="none" w:pos="12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of the Company having validly resolved to allot and issue the Shares, or grant rights to subscribe for the Shares, at duly convened and quorate meetings of the board of directors of the Company or by way of duly passed written resolutions of the board of directors of the Company and such resolutions being in full force and effect and not having been rescinded or amended;</w:t>
      </w:r>
    </w:p>
    <w:p>
      <w:pPr>
        <w:spacing w:after="0" w:line="170" w:lineRule="exact"/>
        <w:rPr>
          <w:rFonts w:ascii="Times New Roman" w:cs="Times New Roman" w:eastAsia="Times New Roman" w:hAnsi="Times New Roman"/>
          <w:sz w:val="17"/>
          <w:szCs w:val="17"/>
          <w:color w:val="auto"/>
        </w:rPr>
      </w:pPr>
    </w:p>
    <w:p>
      <w:pPr>
        <w:jc w:val="both"/>
        <w:ind w:left="1200" w:hanging="602"/>
        <w:spacing w:after="0" w:line="274" w:lineRule="auto"/>
        <w:tabs>
          <w:tab w:leader="none" w:pos="120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in full of payment for such Shares in an amount of “cash consideration” (as defined in section 583(3) of the Companies Act) of not less than the aggregate nominal value for such Shares, assuming in each case that the individual grants or awards under the Equity Plan are duly authorised by all necessary corporate action (as described in (e) above) and duly granted or awarded and exercised in accordance with the requirements of law, the Company’s articles of association and the Equity Plan (and the agreements and awards duly adopted thereunder and in accordance therewith); and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714248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334760" cy="688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6334760" cy="68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0" w:hanging="602"/>
        <w:spacing w:after="0"/>
        <w:tabs>
          <w:tab w:leader="none" w:pos="12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valid entries having been made in relation to the allotment and issue of the Shares in the books and registers of the Company,</w:t>
      </w:r>
    </w:p>
    <w:p>
      <w:pPr>
        <w:spacing w:after="0" w:line="204"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it is our opinion that the Shares, if and when allotted and issued, registered in the name of the recipient in the register of members of the Company and delivered in accordance with the terms and conditions referred to above and/or in the Equity Plan, and as described in the Registration Statement, will be duly and validly authorised and issued, fully paid or credited as fully paid (subject to the receipt of valid consideration by the Company for the issue thereof) and will not be subject to any call for payment of further capital.</w:t>
      </w:r>
    </w:p>
    <w:p>
      <w:pPr>
        <w:spacing w:after="0" w:line="169" w:lineRule="exact"/>
        <w:rPr>
          <w:sz w:val="20"/>
          <w:szCs w:val="20"/>
          <w:color w:val="auto"/>
        </w:rPr>
      </w:pPr>
    </w:p>
    <w:p>
      <w:pPr>
        <w:ind w:left="600" w:hanging="600"/>
        <w:spacing w:after="0"/>
        <w:tabs>
          <w:tab w:leader="none" w:pos="60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EXTENT OF OPINIONS</w:t>
      </w:r>
    </w:p>
    <w:p>
      <w:pPr>
        <w:spacing w:after="0" w:line="207" w:lineRule="exact"/>
        <w:rPr>
          <w:rFonts w:ascii="Times New Roman" w:cs="Times New Roman" w:eastAsia="Times New Roman" w:hAnsi="Times New Roman"/>
          <w:sz w:val="17"/>
          <w:szCs w:val="17"/>
          <w:b w:val="1"/>
          <w:bCs w:val="1"/>
          <w:color w:val="auto"/>
        </w:rPr>
      </w:pPr>
    </w:p>
    <w:p>
      <w:pPr>
        <w:ind w:left="600"/>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We express no opinion as to any agreement, instrument or other document other than as specified in this letter or as to any liability to tax which may arise or be suffered as a result of or in connection with the transactions contemplated by the Equity Plan.</w:t>
      </w:r>
    </w:p>
    <w:p>
      <w:pPr>
        <w:spacing w:after="0" w:line="158" w:lineRule="exact"/>
        <w:rPr>
          <w:rFonts w:ascii="Times New Roman" w:cs="Times New Roman" w:eastAsia="Times New Roman" w:hAnsi="Times New Roman"/>
          <w:sz w:val="17"/>
          <w:szCs w:val="17"/>
          <w:b w:val="1"/>
          <w:bCs w:val="1"/>
          <w:color w:val="auto"/>
        </w:rPr>
      </w:pPr>
    </w:p>
    <w:p>
      <w:pPr>
        <w:jc w:val="both"/>
        <w:ind w:left="600"/>
        <w:spacing w:after="0" w:line="25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66" w:lineRule="exact"/>
        <w:rPr>
          <w:rFonts w:ascii="Times New Roman" w:cs="Times New Roman" w:eastAsia="Times New Roman" w:hAnsi="Times New Roman"/>
          <w:sz w:val="17"/>
          <w:szCs w:val="17"/>
          <w:b w:val="1"/>
          <w:bCs w:val="1"/>
          <w:color w:val="auto"/>
        </w:rPr>
      </w:pPr>
    </w:p>
    <w:p>
      <w:pPr>
        <w:ind w:left="600" w:hanging="600"/>
        <w:spacing w:after="0"/>
        <w:tabs>
          <w:tab w:leader="none" w:pos="60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DISCLOSURE AND RELIANCE</w:t>
      </w:r>
    </w:p>
    <w:p>
      <w:pPr>
        <w:spacing w:after="0" w:line="207" w:lineRule="exact"/>
        <w:rPr>
          <w:rFonts w:ascii="Times New Roman" w:cs="Times New Roman" w:eastAsia="Times New Roman" w:hAnsi="Times New Roman"/>
          <w:sz w:val="17"/>
          <w:szCs w:val="17"/>
          <w:b w:val="1"/>
          <w:bCs w:val="1"/>
          <w:color w:val="auto"/>
        </w:rPr>
      </w:pPr>
    </w:p>
    <w:p>
      <w:pPr>
        <w:jc w:val="both"/>
        <w:ind w:left="600"/>
        <w:spacing w:after="0" w:line="25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70" w:lineRule="exact"/>
        <w:rPr>
          <w:sz w:val="20"/>
          <w:szCs w:val="20"/>
          <w:color w:val="auto"/>
        </w:rPr>
      </w:pPr>
    </w:p>
    <w:p>
      <w:pPr>
        <w:ind w:left="600"/>
        <w:spacing w:after="0" w:line="270" w:lineRule="auto"/>
        <w:rPr>
          <w:sz w:val="20"/>
          <w:szCs w:val="20"/>
          <w:color w:val="auto"/>
        </w:rPr>
      </w:pPr>
      <w:r>
        <w:rPr>
          <w:rFonts w:ascii="Times New Roman" w:cs="Times New Roman" w:eastAsia="Times New Roman" w:hAnsi="Times New Roman"/>
          <w:sz w:val="17"/>
          <w:szCs w:val="17"/>
          <w:color w:val="auto"/>
        </w:rPr>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b w:val="1"/>
          <w:bCs w:val="1"/>
          <w:color w:val="auto"/>
        </w:rPr>
        <w:t>LATHAM &amp; WATKINS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714248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334760" cy="688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6334760" cy="68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1</w:t>
      </w:r>
    </w:p>
    <w:p>
      <w:pPr>
        <w:spacing w:after="0" w:line="20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ASSUMPTIONS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opinions in this letter have been given on the basis of the following assumptions:</w:t>
      </w:r>
    </w:p>
    <w:p>
      <w:pPr>
        <w:spacing w:after="0" w:line="204" w:lineRule="exact"/>
        <w:rPr>
          <w:sz w:val="20"/>
          <w:szCs w:val="20"/>
          <w:color w:val="auto"/>
        </w:rPr>
      </w:pPr>
    </w:p>
    <w:p>
      <w:pPr>
        <w:ind w:left="600" w:hanging="600"/>
        <w:spacing w:after="0" w:line="270"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158"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where a document has been examined by us in draft or specimen form, it will be or has been duly executed in the form of that draft or specimen;</w:t>
      </w:r>
    </w:p>
    <w:p>
      <w:pPr>
        <w:spacing w:after="0" w:line="203" w:lineRule="exact"/>
        <w:rPr>
          <w:rFonts w:ascii="Times New Roman" w:cs="Times New Roman" w:eastAsia="Times New Roman" w:hAnsi="Times New Roman"/>
          <w:sz w:val="17"/>
          <w:szCs w:val="17"/>
          <w:color w:val="auto"/>
        </w:rPr>
      </w:pPr>
    </w:p>
    <w:p>
      <w:pPr>
        <w:jc w:val="both"/>
        <w:ind w:left="600" w:hanging="600"/>
        <w:spacing w:after="0" w:line="257"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articles of association of the Company referred to in paragraph 1.3 (i) of this letter remain in full force and effect, and no alteration has been made or will be made to such articles of association, in each case, prior to any date on which the Shares are allotted, issued or rights are granted to subscribe for Shares (each such date being an “</w:t>
      </w:r>
      <w:r>
        <w:rPr>
          <w:rFonts w:ascii="Times New Roman" w:cs="Times New Roman" w:eastAsia="Times New Roman" w:hAnsi="Times New Roman"/>
          <w:sz w:val="17"/>
          <w:szCs w:val="17"/>
          <w:b w:val="1"/>
          <w:bCs w:val="1"/>
          <w:color w:val="auto"/>
        </w:rPr>
        <w:t>Allotment Date</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Equity Plan remains in full force and effect and no alteration has been made or will be made to the Equity Plan prior to an Allotment Date;</w:t>
      </w:r>
    </w:p>
    <w:p>
      <w:pPr>
        <w:spacing w:after="0" w:line="203" w:lineRule="exact"/>
        <w:rPr>
          <w:rFonts w:ascii="Times New Roman" w:cs="Times New Roman" w:eastAsia="Times New Roman" w:hAnsi="Times New Roman"/>
          <w:sz w:val="17"/>
          <w:szCs w:val="17"/>
          <w:color w:val="auto"/>
        </w:rPr>
      </w:pPr>
    </w:p>
    <w:p>
      <w:pPr>
        <w:jc w:val="both"/>
        <w:ind w:left="600" w:hanging="600"/>
        <w:spacing w:after="0" w:line="257"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all documents, forms and notices which should have been delivered to the UK Companies House in respect of the Company have been so delivered, that the results of the Searches are complete and accurate, that the position has not changed since the times at which the Searches were made and that the results of the Searches will remain complete and accurate as at each Allotment Date;</w:t>
      </w:r>
    </w:p>
    <w:p>
      <w:pPr>
        <w:spacing w:after="0" w:line="170" w:lineRule="exact"/>
        <w:rPr>
          <w:rFonts w:ascii="Times New Roman" w:cs="Times New Roman" w:eastAsia="Times New Roman" w:hAnsi="Times New Roman"/>
          <w:sz w:val="17"/>
          <w:szCs w:val="17"/>
          <w:color w:val="auto"/>
        </w:rPr>
      </w:pPr>
    </w:p>
    <w:p>
      <w:pPr>
        <w:jc w:val="both"/>
        <w:ind w:left="600" w:hanging="600"/>
        <w:spacing w:after="0" w:line="253"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resolutions described in the written resolutions of the board of directors of the Company provided to us in connection with the giving of this opinion or otherwise contemplated in connection with the matters referred to herein were and/or will be duly passed as written resolutions of the board of directors of the Company, as applicable, all constitutional, statutory and other formalities were and/or will be observed and such resolutions have not been, and will not be, revoked or varied and remain in full force and effect and will remain so at each Allotment Date;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714248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334760" cy="688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6334760" cy="68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0" w:hanging="600"/>
        <w:spacing w:after="0" w:line="251"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resolutions of the shareholders of the Company provided to us in connection with the giving of this opinion and as referred to at paragraph 2(b) of this letter or otherwise contemplated in connection with the matters referred to herein were and/or will be duly passed at a general meeting of the Company, all constitutional, statutory and other formalities were and/or will be observed in relation to such general meeting and such resolutions have not been and/or will not be revoked or varied and will not be revoked or varied prior to each Allotment Date and remain in full force and effect and will remain in full force and effect as at each Allotment Date;</w:t>
      </w:r>
    </w:p>
    <w:p>
      <w:pPr>
        <w:spacing w:after="0" w:line="174" w:lineRule="exact"/>
        <w:rPr>
          <w:rFonts w:ascii="Times New Roman" w:cs="Times New Roman" w:eastAsia="Times New Roman" w:hAnsi="Times New Roman"/>
          <w:sz w:val="17"/>
          <w:szCs w:val="17"/>
          <w:color w:val="auto"/>
        </w:rPr>
      </w:pPr>
    </w:p>
    <w:p>
      <w:pPr>
        <w:jc w:val="both"/>
        <w:ind w:left="600" w:hanging="600"/>
        <w:spacing w:after="0" w:line="253"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at the time of each allotment and issue of any Shares the Company shall have received in full “cash consideration” (as such term is defined in section 583(3) of the Companies Act)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p>
      <w:pPr>
        <w:spacing w:after="0" w:line="173" w:lineRule="exact"/>
        <w:rPr>
          <w:rFonts w:ascii="Times New Roman" w:cs="Times New Roman" w:eastAsia="Times New Roman" w:hAnsi="Times New Roman"/>
          <w:sz w:val="17"/>
          <w:szCs w:val="17"/>
          <w:color w:val="auto"/>
        </w:rPr>
      </w:pPr>
    </w:p>
    <w:p>
      <w:pPr>
        <w:jc w:val="both"/>
        <w:ind w:left="600" w:hanging="600"/>
        <w:spacing w:after="0" w:line="257"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allotment and issue of any Shares by the Company pursuant to the Equity Plan, that the recipient will have become entitled to such Shares under the terms of the Equity Plan such Shares will, where applicable, be fully vested each in accordance with the terms of the Equity Plan and such recipient has or will have complied with all other requirements of the Equity Plan in connection with the allotment and issue of such Shares;</w:t>
      </w:r>
    </w:p>
    <w:p>
      <w:pPr>
        <w:spacing w:after="0" w:line="170" w:lineRule="exact"/>
        <w:rPr>
          <w:rFonts w:ascii="Times New Roman" w:cs="Times New Roman" w:eastAsia="Times New Roman" w:hAnsi="Times New Roman"/>
          <w:sz w:val="17"/>
          <w:szCs w:val="17"/>
          <w:color w:val="auto"/>
        </w:rPr>
      </w:pPr>
    </w:p>
    <w:p>
      <w:pPr>
        <w:jc w:val="both"/>
        <w:ind w:left="600" w:hanging="600"/>
        <w:spacing w:after="0" w:line="257"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all awards have been made under the terms of the Equity Plan, that the terms of all awards have not materially deviated from the terms set out in the Equity Plan and that any Shares will be allotted and issued in accordance with the terms set out in the Equity Plan and in accordance with the Company’s articles of association;</w:t>
      </w:r>
    </w:p>
    <w:p>
      <w:pPr>
        <w:spacing w:after="0" w:line="170" w:lineRule="exact"/>
        <w:rPr>
          <w:rFonts w:ascii="Times New Roman" w:cs="Times New Roman" w:eastAsia="Times New Roman" w:hAnsi="Times New Roman"/>
          <w:sz w:val="17"/>
          <w:szCs w:val="17"/>
          <w:color w:val="auto"/>
        </w:rPr>
      </w:pPr>
    </w:p>
    <w:p>
      <w:pPr>
        <w:ind w:left="600" w:hanging="600"/>
        <w:spacing w:after="0" w:line="270"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Equity Plan has been validly adopted and no alteration has been or shall be made to the Equity Plan since the date of adoption except to the extent expressly set out in this letter;</w:t>
      </w:r>
    </w:p>
    <w:p>
      <w:pPr>
        <w:spacing w:after="0" w:line="158" w:lineRule="exact"/>
        <w:rPr>
          <w:rFonts w:ascii="Times New Roman" w:cs="Times New Roman" w:eastAsia="Times New Roman" w:hAnsi="Times New Roman"/>
          <w:sz w:val="17"/>
          <w:szCs w:val="17"/>
          <w:color w:val="auto"/>
        </w:rPr>
      </w:pPr>
    </w:p>
    <w:p>
      <w:pPr>
        <w:jc w:val="both"/>
        <w:ind w:left="600" w:hanging="600"/>
        <w:spacing w:after="0" w:line="251"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immediately prior to each Allotment Date, the directors of the Company had or shall have sufficient authority and powers conferred upon them to allot and issue such Shares and grant such rights (as applicable) under section 551 of the Companies Act and under section 570 of the Companies Act as if section 561 of the Companies Act did not apply to such allotment and issue or grant, and the directors of the Company shall not allot or issue (or purport to allot or issue) Shares and shall not grant rights (or purport to grant rights) to acquire Shares in excess of such powers or in breach of any other limitation on their power to allot and issue Shares or grant rights to acquire Shares;</w:t>
      </w:r>
    </w:p>
    <w:p>
      <w:pPr>
        <w:spacing w:after="0" w:line="174" w:lineRule="exact"/>
        <w:rPr>
          <w:rFonts w:ascii="Times New Roman" w:cs="Times New Roman" w:eastAsia="Times New Roman" w:hAnsi="Times New Roman"/>
          <w:sz w:val="17"/>
          <w:szCs w:val="17"/>
          <w:color w:val="auto"/>
        </w:rPr>
      </w:pPr>
    </w:p>
    <w:p>
      <w:pPr>
        <w:ind w:left="600" w:hanging="600"/>
        <w:spacing w:after="0" w:line="302" w:lineRule="auto"/>
        <w:tabs>
          <w:tab w:leader="none" w:pos="6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in relation to the allotment and issuance of Shares pursuant to the Equity Plan or otherwise to an employee benefit trust, that such Shares will be allotted and issued in accordance with the terms of the relevant Equity Plan, the Company’s articles of association and the requirements of all applicable laws;</w:t>
      </w:r>
    </w:p>
    <w:p>
      <w:pPr>
        <w:spacing w:after="0" w:line="135" w:lineRule="exact"/>
        <w:rPr>
          <w:rFonts w:ascii="Times New Roman" w:cs="Times New Roman" w:eastAsia="Times New Roman" w:hAnsi="Times New Roman"/>
          <w:sz w:val="16"/>
          <w:szCs w:val="16"/>
          <w:color w:val="auto"/>
        </w:rPr>
      </w:pPr>
    </w:p>
    <w:p>
      <w:pPr>
        <w:ind w:left="600" w:hanging="600"/>
        <w:spacing w:after="0" w:line="270"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no Shares shall be allotted or issued, or are or shall be committed to be allotted or issued, at a discount to their nominal value (whether in dollars or equivalent in any other currency);</w:t>
      </w:r>
    </w:p>
    <w:p>
      <w:pPr>
        <w:spacing w:after="0" w:line="158" w:lineRule="exact"/>
        <w:rPr>
          <w:rFonts w:ascii="Times New Roman" w:cs="Times New Roman" w:eastAsia="Times New Roman" w:hAnsi="Times New Roman"/>
          <w:sz w:val="17"/>
          <w:szCs w:val="17"/>
          <w:color w:val="auto"/>
        </w:rPr>
      </w:pPr>
    </w:p>
    <w:p>
      <w:pPr>
        <w:jc w:val="both"/>
        <w:ind w:left="600" w:hanging="600"/>
        <w:spacing w:after="0" w:line="253"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no Shares or rights to subscribe for Shares have been or shall be offered to the public in the United Kingdom in breach of the Financial Services and Markets Act 2000 (“</w:t>
      </w:r>
      <w:r>
        <w:rPr>
          <w:rFonts w:ascii="Times New Roman" w:cs="Times New Roman" w:eastAsia="Times New Roman" w:hAnsi="Times New Roman"/>
          <w:sz w:val="17"/>
          <w:szCs w:val="17"/>
          <w:b w:val="1"/>
          <w:bCs w:val="1"/>
          <w:color w:val="auto"/>
        </w:rPr>
        <w:t>FSMA</w:t>
      </w:r>
      <w:r>
        <w:rPr>
          <w:rFonts w:ascii="Times New Roman" w:cs="Times New Roman" w:eastAsia="Times New Roman" w:hAnsi="Times New Roman"/>
          <w:sz w:val="17"/>
          <w:szCs w:val="17"/>
          <w:color w:val="auto"/>
        </w:rPr>
        <w:t>”) or of any other United Kingdom laws or regulations concerning offers of securities to the public, and no communication has been or shall be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71424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334760" cy="688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6334760" cy="68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600"/>
        <w:spacing w:after="0" w:line="270"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in issuing and allotting and granting rights to acquire Shares and administering the Equity Plan, the Company is not carrying on a regulated activity for the purposes of section 19 of FSMA;</w:t>
      </w:r>
    </w:p>
    <w:p>
      <w:pPr>
        <w:spacing w:after="0" w:line="158" w:lineRule="exact"/>
        <w:rPr>
          <w:rFonts w:ascii="Times New Roman" w:cs="Times New Roman" w:eastAsia="Times New Roman" w:hAnsi="Times New Roman"/>
          <w:sz w:val="17"/>
          <w:szCs w:val="17"/>
          <w:color w:val="auto"/>
        </w:rPr>
      </w:pPr>
    </w:p>
    <w:p>
      <w:pPr>
        <w:ind w:left="600" w:hanging="600"/>
        <w:spacing w:after="0" w:line="302" w:lineRule="auto"/>
        <w:tabs>
          <w:tab w:leader="none" w:pos="6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Company has complied and will comply with all applicable anti-terrorism, anti-money laundering, sanctions and human rights laws and regulations and that each allotment and issue of Shares and grant of rights to acquire Shares pursuant to the Equity Plan will be consistent with all such laws and regulations;</w:t>
      </w:r>
    </w:p>
    <w:p>
      <w:pPr>
        <w:spacing w:after="0" w:line="135" w:lineRule="exact"/>
        <w:rPr>
          <w:rFonts w:ascii="Times New Roman" w:cs="Times New Roman" w:eastAsia="Times New Roman" w:hAnsi="Times New Roman"/>
          <w:sz w:val="16"/>
          <w:szCs w:val="16"/>
          <w:color w:val="auto"/>
        </w:rPr>
      </w:pPr>
    </w:p>
    <w:p>
      <w:pPr>
        <w:jc w:val="both"/>
        <w:ind w:left="600" w:hanging="600"/>
        <w:spacing w:after="0" w:line="281" w:lineRule="auto"/>
        <w:tabs>
          <w:tab w:leader="none" w:pos="6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Equity Plan and all obligations thereunder have been entered into and the Shares will be allotted and issued in good faith and on bona fide commercial terms and on arms’ length terms and for the purpose of carrying on the business of the Company and that there are reasonable grounds for believing that the entry into of the Equity Plan and the allotment and issue of the Shares will promote the success of the Company for the benefit of its members as a whole; and</w:t>
      </w:r>
    </w:p>
    <w:p>
      <w:pPr>
        <w:spacing w:after="0" w:line="151" w:lineRule="exact"/>
        <w:rPr>
          <w:rFonts w:ascii="Times New Roman" w:cs="Times New Roman" w:eastAsia="Times New Roman" w:hAnsi="Times New Roman"/>
          <w:sz w:val="16"/>
          <w:szCs w:val="16"/>
          <w:color w:val="auto"/>
        </w:rPr>
      </w:pPr>
    </w:p>
    <w:p>
      <w:pPr>
        <w:jc w:val="both"/>
        <w:ind w:left="600" w:hanging="600"/>
        <w:spacing w:after="0" w:line="248"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Company has not taken any corporate or other action nor have any steps been taken or legal proceedings been started against the Company for: (i) the liquidation, administration, winding up, dissolution, reorganisation, or bankruptcy or similar procedures in other relevant jurisdictions, of; or (ii) the commencement of a moratorium in respect of; or (iii) the appointment of a liquidator, receiver, trustee, administrator, administrative receiver, monitor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or is insolvent or has been dissolved or declared bankrupt (although the Searches gave no indication that any winding-up, dissolution, moratorium or administration order, application or filing; or appointment of a liquidator, receiver, administrator, administrative receiver, monitor or similar officer has been made with respect to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714248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334760" cy="688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6334760" cy="68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2</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RESERVATIONS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opinions in this letter are subject to the following reservations:</w:t>
      </w:r>
    </w:p>
    <w:p>
      <w:pPr>
        <w:spacing w:after="0" w:line="204" w:lineRule="exact"/>
        <w:rPr>
          <w:sz w:val="20"/>
          <w:szCs w:val="20"/>
          <w:color w:val="auto"/>
        </w:rPr>
      </w:pPr>
    </w:p>
    <w:p>
      <w:pPr>
        <w:jc w:val="both"/>
        <w:ind w:left="600" w:hanging="600"/>
        <w:spacing w:after="0" w:line="257"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170" w:lineRule="exact"/>
        <w:rPr>
          <w:rFonts w:ascii="Times New Roman" w:cs="Times New Roman" w:eastAsia="Times New Roman" w:hAnsi="Times New Roman"/>
          <w:sz w:val="17"/>
          <w:szCs w:val="17"/>
          <w:color w:val="auto"/>
        </w:rPr>
      </w:pPr>
    </w:p>
    <w:p>
      <w:pPr>
        <w:jc w:val="both"/>
        <w:ind w:left="600" w:hanging="600"/>
        <w:spacing w:after="0" w:line="253"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opinions set out in this letter are subject to (i) any limitations arising from applicable laws relating to insolvency, bankruptcy, administration, reorganisation, liquidation, moratoria, schemes, restructuring plans or analogous circumstances; and (ii) an English court exercising its discretion under section 426 of the Insolvency Act 1986 (</w:t>
      </w:r>
      <w:r>
        <w:rPr>
          <w:rFonts w:ascii="Times New Roman" w:cs="Times New Roman" w:eastAsia="Times New Roman" w:hAnsi="Times New Roman"/>
          <w:sz w:val="17"/>
          <w:szCs w:val="17"/>
          <w:i w:val="1"/>
          <w:iCs w:val="1"/>
          <w:color w:val="auto"/>
        </w:rPr>
        <w:t>co-operation between courts exercising jurisdiction in relation to insolvency</w:t>
      </w:r>
      <w:r>
        <w:rPr>
          <w:rFonts w:ascii="Times New Roman" w:cs="Times New Roman" w:eastAsia="Times New Roman" w:hAnsi="Times New Roman"/>
          <w:sz w:val="17"/>
          <w:szCs w:val="17"/>
          <w:color w:val="auto"/>
        </w:rPr>
        <w:t>) to assist the courts having the corresponding jurisdiction in any part of the United Kingdom or any relevant country or territory;</w:t>
      </w:r>
    </w:p>
    <w:p>
      <w:pPr>
        <w:spacing w:after="0" w:line="173"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express no opinion as to matters of fact;</w:t>
      </w:r>
    </w:p>
    <w:p>
      <w:pPr>
        <w:spacing w:after="0" w:line="203" w:lineRule="exact"/>
        <w:rPr>
          <w:rFonts w:ascii="Times New Roman" w:cs="Times New Roman" w:eastAsia="Times New Roman" w:hAnsi="Times New Roman"/>
          <w:sz w:val="17"/>
          <w:szCs w:val="17"/>
          <w:color w:val="auto"/>
        </w:rPr>
      </w:pPr>
    </w:p>
    <w:p>
      <w:pPr>
        <w:ind w:left="600" w:hanging="600"/>
        <w:spacing w:after="0" w:line="270"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express no opinion on the compliance of the Equity Plan, or the compliance of any award made under the Equity Plan, with the rules or regulations of the NASDAQ Stock Market LLC or the rules or regulations of any other securities exchange that are applicable to the Company;</w:t>
      </w:r>
    </w:p>
    <w:p>
      <w:pPr>
        <w:spacing w:after="0" w:line="158" w:lineRule="exact"/>
        <w:rPr>
          <w:rFonts w:ascii="Times New Roman" w:cs="Times New Roman" w:eastAsia="Times New Roman" w:hAnsi="Times New Roman"/>
          <w:sz w:val="17"/>
          <w:szCs w:val="17"/>
          <w:color w:val="auto"/>
        </w:rPr>
      </w:pPr>
    </w:p>
    <w:p>
      <w:pPr>
        <w:jc w:val="both"/>
        <w:ind w:left="600" w:hanging="600"/>
        <w:spacing w:after="0" w:line="250"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express no opinion in relation to the legality, enforceability or validity of the Equity Plan or any award agreement entered into pursuant to such Equity Plan. In particular, but without prejudice to the generality of the foregoing, we have assumed that the Shares to be allotted under the Equity Plan or any such award agreement will be paid up in full (as to their nominal value and any premium) in cash (within the meaning of section 583(1) of the Companies Act) and we express no opinion as to whether any consideration other than “cash consideration” (as such term is defined in section 583(3) of the Companies Act) which might be paid, or purport to be paid, for the Shares would result in such Shares being validly issued, fully paid and not subject to any call for payment of further capital;</w:t>
      </w:r>
    </w:p>
    <w:p>
      <w:pPr>
        <w:spacing w:after="0" w:line="174" w:lineRule="exact"/>
        <w:rPr>
          <w:rFonts w:ascii="Times New Roman" w:cs="Times New Roman" w:eastAsia="Times New Roman" w:hAnsi="Times New Roman"/>
          <w:sz w:val="17"/>
          <w:szCs w:val="17"/>
          <w:color w:val="auto"/>
        </w:rPr>
      </w:pPr>
    </w:p>
    <w:p>
      <w:pPr>
        <w:jc w:val="both"/>
        <w:ind w:left="600" w:hanging="600"/>
        <w:spacing w:after="0" w:line="257"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award of Restricted Stock Units under an Equity Plan does not constitute the award of a cash bonus, so as to create a liability for a liquidated sum, any Shares purported to be allotted and issued pursuant to any such award will not have been validly allotted and issued for cash in accordance with the requirements of the Companies Act and may not therefore be fully paid and not subject to any call for payment of further capital;</w:t>
      </w:r>
    </w:p>
    <w:p>
      <w:pPr>
        <w:spacing w:after="0" w:line="170" w:lineRule="exact"/>
        <w:rPr>
          <w:rFonts w:ascii="Times New Roman" w:cs="Times New Roman" w:eastAsia="Times New Roman" w:hAnsi="Times New Roman"/>
          <w:sz w:val="17"/>
          <w:szCs w:val="17"/>
          <w:color w:val="auto"/>
        </w:rPr>
      </w:pPr>
    </w:p>
    <w:p>
      <w:pPr>
        <w:ind w:left="600" w:hanging="600"/>
        <w:spacing w:after="0" w:line="270"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 and</w:t>
      </w:r>
    </w:p>
    <w:p>
      <w:pPr>
        <w:spacing w:after="0" w:line="154" w:lineRule="exact"/>
        <w:rPr>
          <w:rFonts w:ascii="Times New Roman" w:cs="Times New Roman" w:eastAsia="Times New Roman" w:hAnsi="Times New Roman"/>
          <w:sz w:val="17"/>
          <w:szCs w:val="17"/>
          <w:color w:val="auto"/>
        </w:rPr>
      </w:pPr>
    </w:p>
    <w:p>
      <w:pPr>
        <w:jc w:val="both"/>
        <w:ind w:left="600" w:hanging="600"/>
        <w:spacing w:after="0" w:line="260"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not undertaken any consideration, analysis or assessment of whether the National Security &amp; Investment Act 2021 (</w:t>
      </w:r>
      <w:r>
        <w:rPr>
          <w:rFonts w:ascii="Times New Roman" w:cs="Times New Roman" w:eastAsia="Times New Roman" w:hAnsi="Times New Roman"/>
          <w:sz w:val="17"/>
          <w:szCs w:val="17"/>
          <w:b w:val="1"/>
          <w:bCs w:val="1"/>
          <w:color w:val="auto"/>
        </w:rPr>
        <w:t>NS&amp;IA</w:t>
      </w:r>
      <w:r>
        <w:rPr>
          <w:rFonts w:ascii="Times New Roman" w:cs="Times New Roman" w:eastAsia="Times New Roman" w:hAnsi="Times New Roman"/>
          <w:sz w:val="17"/>
          <w:szCs w:val="17"/>
          <w:color w:val="auto"/>
        </w:rPr>
        <w:t>) may or will apply to any of the transactions contemplated herein for the purposes of the opinions in this letter. We express no opinion on the application or potential application of the NS&amp;IA in relation to the Company or any transaction contemplated herein.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714248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958215" cy="768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958215" cy="768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0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 on Form S-8 of Verona Pharma plc of our report dated March 3, 2022 relating to the financial statements, which appears in Verona Pharma plc’s Annual Report on Form 10-K for the year ended December 31,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Reading, United Kingdom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255905</wp:posOffset>
            </wp:positionV>
            <wp:extent cx="6731000" cy="237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6731000"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4760"/>
        <w:spacing w:after="0" w:line="272" w:lineRule="auto"/>
        <w:rPr>
          <w:sz w:val="20"/>
          <w:szCs w:val="20"/>
          <w:color w:val="auto"/>
        </w:rPr>
      </w:pPr>
      <w:r>
        <w:rPr>
          <w:rFonts w:ascii="Times New Roman" w:cs="Times New Roman" w:eastAsia="Times New Roman" w:hAnsi="Times New Roman"/>
          <w:sz w:val="17"/>
          <w:szCs w:val="17"/>
          <w:i w:val="1"/>
          <w:iCs w:val="1"/>
          <w:color w:val="auto"/>
        </w:rPr>
        <w:t>PricewaterhouseCoopers LLP, 3 Forbury Place, 23 Forbury Road, Reading, Berkshire, RG1 3JH T: +44 (0) 118 597 111, F: +44 (0) 1189 383 020, www.pwc.co.uk</w:t>
      </w:r>
    </w:p>
    <w:p>
      <w:pPr>
        <w:spacing w:after="0" w:line="157" w:lineRule="exact"/>
        <w:rPr>
          <w:sz w:val="20"/>
          <w:szCs w:val="20"/>
          <w:color w:val="auto"/>
        </w:rPr>
      </w:pPr>
    </w:p>
    <w:p>
      <w:pPr>
        <w:ind w:right="560"/>
        <w:spacing w:after="0" w:line="257" w:lineRule="auto"/>
        <w:rPr>
          <w:sz w:val="20"/>
          <w:szCs w:val="20"/>
          <w:color w:val="auto"/>
        </w:rPr>
      </w:pPr>
      <w:r>
        <w:rPr>
          <w:rFonts w:ascii="Times New Roman" w:cs="Times New Roman" w:eastAsia="Times New Roman" w:hAnsi="Times New Roman"/>
          <w:sz w:val="17"/>
          <w:szCs w:val="17"/>
          <w:color w:val="auto"/>
        </w:rPr>
        <w:t>PricewaterhouseCoopers LLP is a limited liability partnership registered in England with registered number OC303525. The registered office of PricewaterhouseCoopers LLP is 1 Embankment Place, London WC2N 6RH. PricewaterhouseCoopers LLP is authorised and regulated by the Financial Conduct Authority for designated investment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387985</wp:posOffset>
            </wp:positionV>
            <wp:extent cx="714248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4" w:name="page15"/>
    <w:bookmarkEnd w:id="14"/>
    <w:p>
      <w:pPr>
        <w:ind w:left="10120"/>
        <w:spacing w:after="0"/>
        <w:rPr>
          <w:sz w:val="20"/>
          <w:szCs w:val="20"/>
          <w:color w:val="auto"/>
        </w:rPr>
      </w:pPr>
      <w:r>
        <w:rPr>
          <w:rFonts w:ascii="Times New Roman" w:cs="Times New Roman" w:eastAsia="Times New Roman" w:hAnsi="Times New Roman"/>
          <w:sz w:val="19"/>
          <w:szCs w:val="19"/>
          <w:b w:val="1"/>
          <w:bCs w:val="1"/>
          <w:color w:val="auto"/>
        </w:rPr>
        <w:t>Exhibit 107.1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6"/>
          </w:tcPr>
          <w:p>
            <w:pPr>
              <w:jc w:val="center"/>
              <w:ind w:left="17"/>
              <w:spacing w:after="0"/>
              <w:rPr>
                <w:sz w:val="20"/>
                <w:szCs w:val="20"/>
                <w:color w:val="auto"/>
              </w:rPr>
            </w:pPr>
            <w:r>
              <w:rPr>
                <w:rFonts w:ascii="Times New Roman" w:cs="Times New Roman" w:eastAsia="Times New Roman" w:hAnsi="Times New Roman"/>
                <w:sz w:val="17"/>
                <w:szCs w:val="17"/>
                <w:b w:val="1"/>
                <w:bCs w:val="1"/>
                <w:color w:val="auto"/>
                <w:w w:val="96"/>
              </w:rPr>
              <w:t>Calculation of Filing Fee Tables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8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60" w:type="dxa"/>
            <w:vAlign w:val="bottom"/>
            <w:gridSpan w:val="5"/>
          </w:tcPr>
          <w:p>
            <w:pPr>
              <w:jc w:val="center"/>
              <w:ind w:right="957"/>
              <w:spacing w:after="0"/>
              <w:rPr>
                <w:sz w:val="20"/>
                <w:szCs w:val="20"/>
                <w:color w:val="auto"/>
              </w:rPr>
            </w:pPr>
            <w:r>
              <w:rPr>
                <w:rFonts w:ascii="Times New Roman" w:cs="Times New Roman" w:eastAsia="Times New Roman" w:hAnsi="Times New Roman"/>
                <w:sz w:val="17"/>
                <w:szCs w:val="17"/>
                <w:b w:val="1"/>
                <w:bCs w:val="1"/>
                <w:color w:val="auto"/>
                <w:w w:val="99"/>
              </w:rPr>
              <w:t>Form S-8</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gridSpan w:val="5"/>
          </w:tcPr>
          <w:p>
            <w:pPr>
              <w:jc w:val="center"/>
              <w:ind w:right="957"/>
              <w:spacing w:after="0"/>
              <w:rPr>
                <w:sz w:val="20"/>
                <w:szCs w:val="20"/>
                <w:color w:val="auto"/>
              </w:rPr>
            </w:pPr>
            <w:r>
              <w:rPr>
                <w:rFonts w:ascii="Times New Roman" w:cs="Times New Roman" w:eastAsia="Times New Roman" w:hAnsi="Times New Roman"/>
                <w:sz w:val="17"/>
                <w:szCs w:val="17"/>
                <w:color w:val="auto"/>
                <w:w w:val="96"/>
              </w:rPr>
              <w:t>(Form Type)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8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6"/>
          </w:tcPr>
          <w:p>
            <w:pPr>
              <w:jc w:val="center"/>
              <w:ind w:left="37"/>
              <w:spacing w:after="0"/>
              <w:rPr>
                <w:sz w:val="20"/>
                <w:szCs w:val="20"/>
                <w:color w:val="auto"/>
              </w:rPr>
            </w:pPr>
            <w:r>
              <w:rPr>
                <w:rFonts w:ascii="Times New Roman" w:cs="Times New Roman" w:eastAsia="Times New Roman" w:hAnsi="Times New Roman"/>
                <w:sz w:val="17"/>
                <w:szCs w:val="17"/>
                <w:b w:val="1"/>
                <w:bCs w:val="1"/>
                <w:color w:val="auto"/>
                <w:w w:val="96"/>
              </w:rPr>
              <w:t>Verona Pharma plc</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20" w:type="dxa"/>
            <w:vAlign w:val="bottom"/>
            <w:gridSpan w:val="10"/>
          </w:tcPr>
          <w:p>
            <w:pPr>
              <w:jc w:val="center"/>
              <w:ind w:right="1060"/>
              <w:spacing w:after="0"/>
              <w:rPr>
                <w:sz w:val="20"/>
                <w:szCs w:val="20"/>
                <w:color w:val="auto"/>
              </w:rPr>
            </w:pPr>
            <w:r>
              <w:rPr>
                <w:rFonts w:ascii="Times New Roman" w:cs="Times New Roman" w:eastAsia="Times New Roman" w:hAnsi="Times New Roman"/>
                <w:sz w:val="17"/>
                <w:szCs w:val="17"/>
                <w:color w:val="auto"/>
                <w:w w:val="97"/>
              </w:rPr>
              <w:t>(Exact Name of Registrant as Specified in its Charter)</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9"/>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6"/>
          </w:tcPr>
          <w:p>
            <w:pPr>
              <w:jc w:val="center"/>
              <w:ind w:left="37"/>
              <w:spacing w:after="0"/>
              <w:rPr>
                <w:sz w:val="20"/>
                <w:szCs w:val="20"/>
                <w:color w:val="auto"/>
              </w:rPr>
            </w:pPr>
            <w:r>
              <w:rPr>
                <w:rFonts w:ascii="Times New Roman" w:cs="Times New Roman" w:eastAsia="Times New Roman" w:hAnsi="Times New Roman"/>
                <w:sz w:val="17"/>
                <w:szCs w:val="17"/>
                <w:b w:val="1"/>
                <w:bCs w:val="1"/>
                <w:color w:val="auto"/>
                <w:w w:val="97"/>
              </w:rPr>
              <w:t>Table 1—Newly Registered Securities</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center"/>
              <w:ind w:right="437"/>
              <w:spacing w:after="0"/>
              <w:rPr>
                <w:sz w:val="20"/>
                <w:szCs w:val="20"/>
                <w:color w:val="auto"/>
              </w:rPr>
            </w:pPr>
            <w:r>
              <w:rPr>
                <w:rFonts w:ascii="Times New Roman" w:cs="Times New Roman" w:eastAsia="Times New Roman" w:hAnsi="Times New Roman"/>
                <w:sz w:val="17"/>
                <w:szCs w:val="17"/>
                <w:b w:val="1"/>
                <w:bCs w:val="1"/>
                <w:color w:val="auto"/>
                <w:w w:val="99"/>
              </w:rPr>
              <w:t>Proposed</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0"/>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left="97"/>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1560" w:type="dxa"/>
            <w:vAlign w:val="bottom"/>
            <w:gridSpan w:val="3"/>
          </w:tcPr>
          <w:p>
            <w:pPr>
              <w:jc w:val="center"/>
              <w:ind w:right="437"/>
              <w:spacing w:after="0"/>
              <w:rPr>
                <w:sz w:val="20"/>
                <w:szCs w:val="20"/>
                <w:color w:val="auto"/>
              </w:rPr>
            </w:pPr>
            <w:r>
              <w:rPr>
                <w:rFonts w:ascii="Times New Roman" w:cs="Times New Roman" w:eastAsia="Times New Roman" w:hAnsi="Times New Roman"/>
                <w:sz w:val="17"/>
                <w:szCs w:val="17"/>
                <w:b w:val="1"/>
                <w:bCs w:val="1"/>
                <w:color w:val="auto"/>
                <w:w w:val="95"/>
              </w:rPr>
              <w:t>Maximum</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Security</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Security Class</w:t>
            </w:r>
          </w:p>
        </w:tc>
        <w:tc>
          <w:tcPr>
            <w:tcW w:w="120" w:type="dxa"/>
            <w:vAlign w:val="bottom"/>
          </w:tcPr>
          <w:p>
            <w:pPr>
              <w:spacing w:after="0"/>
              <w:rPr>
                <w:sz w:val="17"/>
                <w:szCs w:val="17"/>
                <w:color w:val="auto"/>
              </w:rPr>
            </w:pPr>
          </w:p>
        </w:tc>
        <w:tc>
          <w:tcPr>
            <w:tcW w:w="1140" w:type="dxa"/>
            <w:vAlign w:val="bottom"/>
          </w:tcPr>
          <w:p>
            <w:pPr>
              <w:jc w:val="center"/>
              <w:ind w:left="77"/>
              <w:spacing w:after="0"/>
              <w:rPr>
                <w:sz w:val="20"/>
                <w:szCs w:val="20"/>
                <w:color w:val="auto"/>
              </w:rPr>
            </w:pPr>
            <w:r>
              <w:rPr>
                <w:rFonts w:ascii="Times New Roman" w:cs="Times New Roman" w:eastAsia="Times New Roman" w:hAnsi="Times New Roman"/>
                <w:sz w:val="17"/>
                <w:szCs w:val="17"/>
                <w:b w:val="1"/>
                <w:bCs w:val="1"/>
                <w:color w:val="auto"/>
                <w:w w:val="97"/>
              </w:rPr>
              <w:t>Calculation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5"/>
              </w:rPr>
              <w:t>to be</w:t>
            </w:r>
          </w:p>
        </w:tc>
        <w:tc>
          <w:tcPr>
            <w:tcW w:w="1560" w:type="dxa"/>
            <w:vAlign w:val="bottom"/>
            <w:gridSpan w:val="3"/>
          </w:tcPr>
          <w:p>
            <w:pPr>
              <w:jc w:val="center"/>
              <w:ind w:right="457"/>
              <w:spacing w:after="0"/>
              <w:rPr>
                <w:sz w:val="20"/>
                <w:szCs w:val="20"/>
                <w:color w:val="auto"/>
              </w:rPr>
            </w:pPr>
            <w:r>
              <w:rPr>
                <w:rFonts w:ascii="Times New Roman" w:cs="Times New Roman" w:eastAsia="Times New Roman" w:hAnsi="Times New Roman"/>
                <w:sz w:val="17"/>
                <w:szCs w:val="17"/>
                <w:b w:val="1"/>
                <w:bCs w:val="1"/>
                <w:color w:val="auto"/>
                <w:w w:val="97"/>
              </w:rPr>
              <w:t>Offering Price</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6"/>
              </w:rPr>
              <w:t>Aggregate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Amount of</w:t>
            </w:r>
          </w:p>
        </w:tc>
      </w:tr>
      <w:tr>
        <w:trPr>
          <w:trHeight w:val="220"/>
        </w:trPr>
        <w:tc>
          <w:tcPr>
            <w:tcW w:w="108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Type</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120" w:type="dxa"/>
            <w:vAlign w:val="bottom"/>
          </w:tcPr>
          <w:p>
            <w:pPr>
              <w:spacing w:after="0"/>
              <w:rPr>
                <w:sz w:val="19"/>
                <w:szCs w:val="19"/>
                <w:color w:val="auto"/>
              </w:rPr>
            </w:pPr>
          </w:p>
        </w:tc>
        <w:tc>
          <w:tcPr>
            <w:tcW w:w="1140" w:type="dxa"/>
            <w:vAlign w:val="bottom"/>
          </w:tcPr>
          <w:p>
            <w:pPr>
              <w:jc w:val="center"/>
              <w:ind w:left="77"/>
              <w:spacing w:after="0"/>
              <w:rPr>
                <w:sz w:val="20"/>
                <w:szCs w:val="20"/>
                <w:color w:val="auto"/>
              </w:rPr>
            </w:pPr>
            <w:r>
              <w:rPr>
                <w:rFonts w:ascii="Times New Roman" w:cs="Times New Roman" w:eastAsia="Times New Roman" w:hAnsi="Times New Roman"/>
                <w:sz w:val="17"/>
                <w:szCs w:val="17"/>
                <w:b w:val="1"/>
                <w:bCs w:val="1"/>
                <w:color w:val="auto"/>
                <w:w w:val="99"/>
              </w:rPr>
              <w:t>Rule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6"/>
              </w:rPr>
              <w:t>Registered (1)</w:t>
            </w:r>
          </w:p>
        </w:tc>
        <w:tc>
          <w:tcPr>
            <w:tcW w:w="1560" w:type="dxa"/>
            <w:vAlign w:val="bottom"/>
            <w:gridSpan w:val="3"/>
          </w:tcPr>
          <w:p>
            <w:pPr>
              <w:jc w:val="center"/>
              <w:ind w:right="437"/>
              <w:spacing w:after="0"/>
              <w:rPr>
                <w:sz w:val="20"/>
                <w:szCs w:val="20"/>
                <w:color w:val="auto"/>
              </w:rPr>
            </w:pPr>
            <w:r>
              <w:rPr>
                <w:rFonts w:ascii="Times New Roman" w:cs="Times New Roman" w:eastAsia="Times New Roman" w:hAnsi="Times New Roman"/>
                <w:sz w:val="17"/>
                <w:szCs w:val="17"/>
                <w:b w:val="1"/>
                <w:bCs w:val="1"/>
                <w:color w:val="auto"/>
                <w:w w:val="96"/>
              </w:rPr>
              <w:t>Per Unit</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Offering Price</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Fee Rate</w:t>
            </w:r>
          </w:p>
        </w:tc>
        <w:tc>
          <w:tcPr>
            <w:tcW w:w="20" w:type="dxa"/>
            <w:vAlign w:val="bottom"/>
          </w:tcPr>
          <w:p>
            <w:pPr>
              <w:spacing w:after="0"/>
              <w:rPr>
                <w:sz w:val="19"/>
                <w:szCs w:val="19"/>
                <w:color w:val="auto"/>
              </w:rPr>
            </w:pP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Registration Fee</w:t>
            </w:r>
          </w:p>
        </w:tc>
      </w:tr>
      <w:tr>
        <w:trPr>
          <w:trHeight w:val="176"/>
        </w:trPr>
        <w:tc>
          <w:tcPr>
            <w:tcW w:w="108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Equity</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Ordinary Shares,</w:t>
            </w: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Rule 457(c)</w:t>
            </w:r>
          </w:p>
        </w:tc>
        <w:tc>
          <w:tcPr>
            <w:tcW w:w="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0"/>
        </w:trPr>
        <w:tc>
          <w:tcPr>
            <w:tcW w:w="10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nominal value</w:t>
            </w:r>
          </w:p>
        </w:tc>
        <w:tc>
          <w:tcPr>
            <w:tcW w:w="1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and Rule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$110.20 per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8"/>
        </w:trPr>
        <w:tc>
          <w:tcPr>
            <w:tcW w:w="10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£0.05 per share</w:t>
            </w:r>
          </w:p>
        </w:tc>
        <w:tc>
          <w:tcPr>
            <w:tcW w:w="1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457(h)</w:t>
            </w:r>
          </w:p>
        </w:tc>
        <w:tc>
          <w:tcPr>
            <w:tcW w:w="18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17,132,312(2)  $</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  $</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26,212,437.</w:t>
            </w:r>
            <w:r>
              <w:rPr>
                <w:rFonts w:ascii="Times New Roman" w:cs="Times New Roman" w:eastAsia="Times New Roman" w:hAnsi="Times New Roman"/>
                <w:sz w:val="17"/>
                <w:szCs w:val="17"/>
                <w:u w:val="single" w:color="auto"/>
                <w:color w:val="auto"/>
              </w:rPr>
              <w:t>36</w:t>
            </w:r>
          </w:p>
        </w:tc>
        <w:tc>
          <w:tcPr>
            <w:tcW w:w="1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$1,000,000</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2,888.61</w:t>
            </w:r>
          </w:p>
        </w:tc>
        <w:tc>
          <w:tcPr>
            <w:tcW w:w="80" w:type="dxa"/>
            <w:vAlign w:val="bottom"/>
            <w:shd w:val="clear" w:color="auto" w:fill="CCEEFF"/>
          </w:tcPr>
          <w:p>
            <w:pPr>
              <w:spacing w:after="0"/>
              <w:rPr>
                <w:sz w:val="19"/>
                <w:szCs w:val="19"/>
                <w:color w:val="auto"/>
              </w:rPr>
            </w:pPr>
          </w:p>
        </w:tc>
      </w:tr>
      <w:tr>
        <w:trPr>
          <w:trHeight w:val="192"/>
        </w:trPr>
        <w:tc>
          <w:tcPr>
            <w:tcW w:w="2480" w:type="dxa"/>
            <w:vAlign w:val="bottom"/>
            <w:tcBorders>
              <w:bottom w:val="single" w:sz="8" w:color="CCEEFF"/>
            </w:tcBorders>
            <w:gridSpan w:val="3"/>
          </w:tcPr>
          <w:p>
            <w:pPr>
              <w:spacing w:after="0" w:line="192" w:lineRule="exact"/>
              <w:rPr>
                <w:sz w:val="20"/>
                <w:szCs w:val="20"/>
                <w:color w:val="auto"/>
              </w:rPr>
            </w:pPr>
            <w:r>
              <w:rPr>
                <w:rFonts w:ascii="Times New Roman" w:cs="Times New Roman" w:eastAsia="Times New Roman" w:hAnsi="Times New Roman"/>
                <w:sz w:val="17"/>
                <w:szCs w:val="17"/>
                <w:b w:val="1"/>
                <w:bCs w:val="1"/>
                <w:color w:val="auto"/>
              </w:rPr>
              <w:t>Total Offering Amounts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26,212,437.36</w:t>
            </w: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2,888.61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92"/>
        </w:trPr>
        <w:tc>
          <w:tcPr>
            <w:tcW w:w="2480" w:type="dxa"/>
            <w:vAlign w:val="bottom"/>
            <w:gridSpan w:val="3"/>
            <w:shd w:val="clear" w:color="auto" w:fill="CCEEFF"/>
          </w:tcPr>
          <w:p>
            <w:pPr>
              <w:spacing w:after="0" w:line="192" w:lineRule="exact"/>
              <w:rPr>
                <w:sz w:val="20"/>
                <w:szCs w:val="20"/>
                <w:color w:val="auto"/>
              </w:rPr>
            </w:pPr>
            <w:r>
              <w:rPr>
                <w:rFonts w:ascii="Times New Roman" w:cs="Times New Roman" w:eastAsia="Times New Roman" w:hAnsi="Times New Roman"/>
                <w:sz w:val="17"/>
                <w:szCs w:val="17"/>
                <w:b w:val="1"/>
                <w:bCs w:val="1"/>
                <w:color w:val="auto"/>
              </w:rPr>
              <w:t>Total Fee Offsets (4)</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2"/>
        </w:trPr>
        <w:tc>
          <w:tcPr>
            <w:tcW w:w="1080" w:type="dxa"/>
            <w:vAlign w:val="bottom"/>
          </w:tcPr>
          <w:p>
            <w:pPr>
              <w:spacing w:after="0" w:line="192" w:lineRule="exact"/>
              <w:rPr>
                <w:sz w:val="20"/>
                <w:szCs w:val="20"/>
                <w:color w:val="auto"/>
              </w:rPr>
            </w:pPr>
            <w:r>
              <w:rPr>
                <w:rFonts w:ascii="Times New Roman" w:cs="Times New Roman" w:eastAsia="Times New Roman" w:hAnsi="Times New Roman"/>
                <w:sz w:val="17"/>
                <w:szCs w:val="17"/>
                <w:b w:val="1"/>
                <w:bCs w:val="1"/>
                <w:color w:val="auto"/>
              </w:rPr>
              <w:t>Net Fee Due</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2,888.61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17894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1789430" cy="7620"/>
                    </a:xfrm>
                    <a:prstGeom prst="rect">
                      <a:avLst/>
                    </a:prstGeom>
                    <a:noFill/>
                  </pic:spPr>
                </pic:pic>
              </a:graphicData>
            </a:graphic>
          </wp:anchor>
        </w:drawing>
      </w:r>
    </w:p>
    <w:p>
      <w:pPr>
        <w:spacing w:after="0" w:line="288" w:lineRule="exact"/>
        <w:rPr>
          <w:sz w:val="20"/>
          <w:szCs w:val="20"/>
          <w:color w:val="auto"/>
        </w:rPr>
      </w:pPr>
    </w:p>
    <w:p>
      <w:pPr>
        <w:ind w:left="580" w:right="260" w:hanging="580"/>
        <w:spacing w:after="0" w:line="270" w:lineRule="auto"/>
        <w:tabs>
          <w:tab w:leader="none" w:pos="5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spacing w:after="0" w:line="158" w:lineRule="exact"/>
        <w:rPr>
          <w:rFonts w:ascii="Times New Roman" w:cs="Times New Roman" w:eastAsia="Times New Roman" w:hAnsi="Times New Roman"/>
          <w:sz w:val="17"/>
          <w:szCs w:val="17"/>
          <w:color w:val="auto"/>
        </w:rPr>
      </w:pPr>
    </w:p>
    <w:p>
      <w:pPr>
        <w:ind w:left="580" w:right="160" w:hanging="580"/>
        <w:spacing w:after="0" w:line="274" w:lineRule="auto"/>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 additional 17,132,312 ordinary shares, nominal value £0.05 per share (“Ordinary Shares”), of Verona Pharma plc (the “Registrant”) that may become issuable under the Verona Pharma plc 2017 Incentive Award Plan (the “2017 Plan”) pursuant to the terms of the 2017 Plan. These shares may be represented by the Registrant’s American Depositary Shares (“ADSs”), each of which represents eight Ordinary Shares. The Registrant’s ADSs issuable upon deposit of the Ordinary Shares registered hereby have been registered under a separate registration statement on Form F-6 (File No. 333-217353).</w:t>
      </w:r>
    </w:p>
    <w:p>
      <w:pPr>
        <w:spacing w:after="0" w:line="157" w:lineRule="exact"/>
        <w:rPr>
          <w:rFonts w:ascii="Times New Roman" w:cs="Times New Roman" w:eastAsia="Times New Roman" w:hAnsi="Times New Roman"/>
          <w:sz w:val="16"/>
          <w:szCs w:val="16"/>
          <w:color w:val="auto"/>
        </w:rPr>
      </w:pPr>
    </w:p>
    <w:p>
      <w:pPr>
        <w:ind w:left="580" w:right="100" w:hanging="580"/>
        <w:spacing w:after="0" w:line="257" w:lineRule="auto"/>
        <w:tabs>
          <w:tab w:leader="none" w:pos="5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registration fee pursuant to Rules 457(c) and 457(h) of the Securities Act of 1933, as amended, and based upon the average of the high and low prices of the ADSs as reported on The Nasdaq Global Market on November 10, 2022, divided by eight to reflect the ratio of ADSs to Ordinary Shares as described in footnote (2) above.</w:t>
      </w:r>
    </w:p>
    <w:p>
      <w:pPr>
        <w:spacing w:after="0" w:line="170" w:lineRule="exact"/>
        <w:rPr>
          <w:rFonts w:ascii="Times New Roman" w:cs="Times New Roman" w:eastAsia="Times New Roman" w:hAnsi="Times New Roman"/>
          <w:sz w:val="17"/>
          <w:szCs w:val="17"/>
          <w:color w:val="auto"/>
        </w:rPr>
      </w:pPr>
    </w:p>
    <w:p>
      <w:pPr>
        <w:ind w:left="580" w:hanging="580"/>
        <w:spacing w:after="0"/>
        <w:tabs>
          <w:tab w:leader="none" w:pos="5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432435</wp:posOffset>
            </wp:positionV>
            <wp:extent cx="714248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2"/>
    </w:lvl>
    <w:lvl w:ilvl="1">
      <w:lvlJc w:val="left"/>
      <w:lvlText w:val="(%2)"/>
      <w:numFmt w:val="lowerLetter"/>
      <w:start w:val="1"/>
    </w:lvl>
  </w:abstractNum>
  <w:abstractNum w:abstractNumId="6">
    <w:nsid w:val="4DB127F8"/>
    <w:multiLevelType w:val="hybridMultilevel"/>
    <w:lvl w:ilvl="0">
      <w:lvlJc w:val="left"/>
      <w:lvlText w:val="(%1)"/>
      <w:numFmt w:val="lowerLetter"/>
      <w:start w:val="7"/>
    </w:lvl>
  </w:abstractNum>
  <w:abstractNum w:abstractNumId="7">
    <w:nsid w:val="216231B"/>
    <w:multiLevelType w:val="hybridMultilevel"/>
    <w:lvl w:ilvl="0">
      <w:lvlJc w:val="left"/>
      <w:lvlText w:val="%1."/>
      <w:numFmt w:val="decimal"/>
      <w:start w:val="3"/>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7"/>
    </w:lvl>
  </w:abstractNum>
  <w:abstractNum w:abstractNumId="10">
    <w:nsid w:val="66EF438D"/>
    <w:multiLevelType w:val="hybridMultilevel"/>
    <w:lvl w:ilvl="0">
      <w:lvlJc w:val="left"/>
      <w:lvlText w:val="(%1)"/>
      <w:numFmt w:val="lowerLetter"/>
      <w:start w:val="16"/>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jpeg"/><Relationship Id="rId30" Type="http://schemas.openxmlformats.org/officeDocument/2006/relationships/image" Target="media/image18.png"/><Relationship Id="rId31" Type="http://schemas.openxmlformats.org/officeDocument/2006/relationships/image" Target="media/image19.jpeg"/><Relationship Id="rId32" Type="http://schemas.openxmlformats.org/officeDocument/2006/relationships/image" Target="media/image20.png"/><Relationship Id="rId33" Type="http://schemas.openxmlformats.org/officeDocument/2006/relationships/image" Target="media/image21.jpeg"/><Relationship Id="rId34" Type="http://schemas.openxmlformats.org/officeDocument/2006/relationships/image" Target="media/image22.png"/><Relationship Id="rId35" Type="http://schemas.openxmlformats.org/officeDocument/2006/relationships/image" Target="media/image23.jpeg"/><Relationship Id="rId36" Type="http://schemas.openxmlformats.org/officeDocument/2006/relationships/image" Target="media/image24.png"/><Relationship Id="rId37" Type="http://schemas.openxmlformats.org/officeDocument/2006/relationships/image" Target="media/image25.jpeg"/><Relationship Id="rId38" Type="http://schemas.openxmlformats.org/officeDocument/2006/relationships/image" Target="media/image26.png"/><Relationship Id="rId39" Type="http://schemas.openxmlformats.org/officeDocument/2006/relationships/image" Target="media/image27.jpeg"/><Relationship Id="rId40" Type="http://schemas.openxmlformats.org/officeDocument/2006/relationships/image" Target="media/image28.png"/><Relationship Id="rId41" Type="http://schemas.openxmlformats.org/officeDocument/2006/relationships/image" Target="media/image29.jpeg"/><Relationship Id="rId42" Type="http://schemas.openxmlformats.org/officeDocument/2006/relationships/image" Target="media/image30.png"/><Relationship Id="rId43" Type="http://schemas.openxmlformats.org/officeDocument/2006/relationships/image" Target="media/image31.jpeg"/><Relationship Id="rId44" Type="http://schemas.openxmlformats.org/officeDocument/2006/relationships/image" Target="media/image32.png"/><Relationship Id="rId45" Type="http://schemas.openxmlformats.org/officeDocument/2006/relationships/image" Target="media/image33.jpeg"/><Relationship Id="rId46" Type="http://schemas.openxmlformats.org/officeDocument/2006/relationships/image" Target="media/image34.jpe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18" Type="http://schemas.openxmlformats.org/officeDocument/2006/relationships/hyperlink" Target="https://www.sec.gov/Archives/edgar/data/1657312/000110465917027148/a16-21903_12s8.htm" TargetMode="External"/><Relationship Id="rId19" Type="http://schemas.openxmlformats.org/officeDocument/2006/relationships/hyperlink" Target="https://www.sec.gov/Archives/edgar/data/1657312/000110465920054419/tm2018038d1_s8.htm" TargetMode="External"/><Relationship Id="rId20" Type="http://schemas.openxmlformats.org/officeDocument/2006/relationships/hyperlink" Target="https://www.sec.gov/Archives/edgar/data/1657312/000110465920097235/tm2028905-1_s8.htm" TargetMode="External"/><Relationship Id="rId21" Type="http://schemas.openxmlformats.org/officeDocument/2006/relationships/hyperlink" Target="https://www.sec.gov/Archives/edgar/data/1657312/000110465920140541/tm2039594d1_ex1.htm" TargetMode="External"/><Relationship Id="rId22" Type="http://schemas.openxmlformats.org/officeDocument/2006/relationships/hyperlink" Target="https://www.sec.gov/Archives/edgar/data/1657312/000110465920054419/tm2018038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2022-11-15T15:17:26Z</dcterms:created>
  <dcterms:modified xsi:type="dcterms:W3CDTF">2022-11-15T15:17:26Z</dcterms:modified>
</cp:coreProperties>
</file>