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EBSWORTH DAVID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707,739</w:t>
            </w:r>
            <w:r>
              <w:rPr>
                <w:rFonts w:ascii="Arial" w:cs="Arial" w:eastAsia="Arial" w:hAnsi="Arial"/>
                <w:sz w:val="25"/>
                <w:szCs w:val="25"/>
                <w:color w:val="008000"/>
                <w:vertAlign w:val="superscript"/>
              </w:rPr>
              <w:t>(1)(2)</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Warrants</w:t>
            </w:r>
          </w:p>
        </w:tc>
        <w:tc>
          <w:tcPr>
            <w:tcW w:w="1280" w:type="dxa"/>
            <w:vAlign w:val="bottom"/>
            <w:tcBorders>
              <w:bottom w:val="single" w:sz="8" w:color="2C2C2C"/>
            </w:tcBorders>
            <w:gridSpan w:val="2"/>
          </w:tcPr>
          <w:p>
            <w:pPr>
              <w:jc w:val="right"/>
              <w:ind w:right="61"/>
              <w:spacing w:after="0"/>
              <w:rPr>
                <w:sz w:val="20"/>
                <w:szCs w:val="20"/>
                <w:color w:val="auto"/>
              </w:rPr>
            </w:pPr>
            <w:r>
              <w:rPr>
                <w:rFonts w:ascii="Arial" w:cs="Arial" w:eastAsia="Arial" w:hAnsi="Arial"/>
                <w:sz w:val="15"/>
                <w:szCs w:val="15"/>
                <w:color w:val="0000FF"/>
              </w:rPr>
              <w:t>05/02/2017</w:t>
            </w:r>
          </w:p>
        </w:tc>
        <w:tc>
          <w:tcPr>
            <w:tcW w:w="900" w:type="dxa"/>
            <w:vAlign w:val="bottom"/>
            <w:tcBorders>
              <w:bottom w:val="single" w:sz="8" w:color="2C2C2C"/>
            </w:tcBorders>
          </w:tcPr>
          <w:p>
            <w:pPr>
              <w:jc w:val="right"/>
              <w:ind w:right="25"/>
              <w:spacing w:after="0"/>
              <w:rPr>
                <w:sz w:val="20"/>
                <w:szCs w:val="20"/>
                <w:color w:val="auto"/>
              </w:rPr>
            </w:pPr>
            <w:r>
              <w:rPr>
                <w:rFonts w:ascii="Arial" w:cs="Arial" w:eastAsia="Arial" w:hAnsi="Arial"/>
                <w:sz w:val="15"/>
                <w:szCs w:val="15"/>
                <w:color w:val="0000FF"/>
              </w:rPr>
              <w:t>05/02/2022</w:t>
            </w:r>
          </w:p>
        </w:tc>
        <w:tc>
          <w:tcPr>
            <w:tcW w:w="174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8"/>
              </w:rPr>
              <w:t>Ordinary Shares</w:t>
            </w: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20"/>
                <w:szCs w:val="20"/>
                <w:color w:val="0000FF"/>
                <w:w w:val="90"/>
              </w:rPr>
              <w:t>4,920</w:t>
            </w:r>
            <w:r>
              <w:rPr>
                <w:rFonts w:ascii="Arial" w:cs="Arial" w:eastAsia="Arial" w:hAnsi="Arial"/>
                <w:sz w:val="25"/>
                <w:szCs w:val="25"/>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2.3289</w:t>
            </w:r>
            <w:r>
              <w:rPr>
                <w:rFonts w:ascii="Arial" w:cs="Arial" w:eastAsia="Arial" w:hAnsi="Arial"/>
                <w:sz w:val="25"/>
                <w:szCs w:val="25"/>
                <w:color w:val="008000"/>
                <w:vertAlign w:val="superscript"/>
              </w:rPr>
              <w:t>(4)</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-1818640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5" w:lineRule="exact"/>
        <w:rPr>
          <w:sz w:val="24"/>
          <w:szCs w:val="24"/>
          <w:color w:val="auto"/>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58,000 Ordinary Shares underlying Restricted Share Units, each of which represents a contingent right to receive one (1) Ordinary Share of the Issuer (which may be represented by 7,250 American Depositary Shares ("ADSs")); (ii) 649,736 Ordinary Shares underlying 81,217 American Depositary Shares ("ADSs"); and (iii) 3 Ordinary Shares.</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(unless otherwise indicated), each of which represents eight (8) Ordinary Shares of the Issuer.</w:t>
      </w:r>
    </w:p>
    <w:p>
      <w:pPr>
        <w:spacing w:after="0" w:line="52" w:lineRule="exact"/>
        <w:rPr>
          <w:rFonts w:ascii="Arial" w:cs="Arial" w:eastAsia="Arial" w:hAnsi="Arial"/>
          <w:sz w:val="15"/>
          <w:szCs w:val="15"/>
          <w:color w:val="008000"/>
        </w:rPr>
      </w:pPr>
    </w:p>
    <w:p>
      <w:pPr>
        <w:ind w:left="40" w:right="7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number of securities underlying the warrant and the exercise price therefor are listed in terms of Ordinary Shares in columns 3 and 4, however, the security may be represented by ADSs, each of which represents eight (8) Ordinary Shares.</w:t>
      </w:r>
    </w:p>
    <w:p>
      <w:pPr>
        <w:spacing w:after="0" w:line="2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4"/>
              </w:rPr>
              <w:t>in-fact for David Ebsworth</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19th day of December,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David Ebsworth</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 Name:David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15875</wp:posOffset>
            </wp:positionV>
            <wp:extent cx="2887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-145415</wp:posOffset>
            </wp:positionV>
            <wp:extent cx="28873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7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207107"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2021-01-04T19:40:52Z</dcterms:created>
  <dcterms:modified xsi:type="dcterms:W3CDTF">2021-01-04T19:40:52Z</dcterms:modified>
</cp:coreProperties>
</file>