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Sinha Vikas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10,224</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0.9938</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84,456</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and is based on the sale price of the ADSs divided by eight (8). The securities were sold in multiple transactions at per share prices ranging from</w:t>
      </w:r>
    </w:p>
    <w:p>
      <w:pPr>
        <w:spacing w:after="0" w:line="19" w:lineRule="exact"/>
        <w:rPr>
          <w:sz w:val="24"/>
          <w:szCs w:val="24"/>
          <w:color w:val="auto"/>
        </w:rPr>
      </w:pPr>
    </w:p>
    <w:p>
      <w:pPr>
        <w:ind w:left="40" w:right="360"/>
        <w:spacing w:after="0" w:line="250" w:lineRule="auto"/>
        <w:rPr>
          <w:sz w:val="20"/>
          <w:szCs w:val="20"/>
          <w:color w:val="auto"/>
        </w:rPr>
      </w:pPr>
      <w:r>
        <w:rPr>
          <w:rFonts w:ascii="Arial" w:cs="Arial" w:eastAsia="Arial" w:hAnsi="Arial"/>
          <w:sz w:val="13"/>
          <w:szCs w:val="13"/>
          <w:color w:val="008000"/>
        </w:rPr>
        <w:t>$0.99375 to $0.99625.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sz w:val="24"/>
          <w:szCs w:val="24"/>
          <w:color w:val="auto"/>
        </w:rPr>
      </w:pPr>
    </w:p>
    <w:p>
      <w:pPr>
        <w:ind w:left="40" w:right="38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Consists of (i) 29,000 Ordinary Shares underlying Restricted Share Units, each of which represents a contingent right to receive one (1) Ordinary Share of the Issuer (which are represented by 3,625 ADSs); and (ii) 55,456 Ordinary Shares represented by 6,932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02/03/2021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Vikas Sinha</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37845"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2021-02-03T18:12:05Z</dcterms:created>
  <dcterms:modified xsi:type="dcterms:W3CDTF">2021-02-03T18:12:05Z</dcterms:modified>
</cp:coreProperties>
</file>