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231"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FORM 6-K</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3"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April 2019</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Commission File Number: 001-38067</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58" w:lineRule="exact"/>
        <w:rPr>
          <w:sz w:val="24"/>
          <w:szCs w:val="24"/>
          <w:color w:val="auto"/>
        </w:rPr>
      </w:pPr>
    </w:p>
    <w:p>
      <w:pPr>
        <w:ind w:left="294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8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3 More London Riverside</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58" w:lineRule="exact"/>
        <w:rPr>
          <w:sz w:val="24"/>
          <w:szCs w:val="24"/>
          <w:color w:val="auto"/>
        </w:rPr>
      </w:pPr>
    </w:p>
    <w:p>
      <w:pPr>
        <w:ind w:left="296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66" w:lineRule="exact"/>
        <w:rPr>
          <w:sz w:val="24"/>
          <w:szCs w:val="24"/>
          <w:color w:val="auto"/>
        </w:rPr>
      </w:pPr>
    </w:p>
    <w:p>
      <w:pPr>
        <w:ind w:left="4640" w:right="999" w:hanging="4628"/>
        <w:spacing w:after="0" w:line="33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97" w:right="1440"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April 4, 2019, Verona Pharma plc issued a press release reporting the grant of options and Restricted Stock Units ("RSU's") to directors and employees of Verona Pharma, under and in accordance with Verona Pharma’s 2017 Incentive Award Plan ("The Grant of Options and RSUs and PDMR Dealings Announcement").</w:t>
      </w:r>
    </w:p>
    <w:p>
      <w:pPr>
        <w:spacing w:after="0" w:line="20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Verona Pharma notified the following transactions by persons discharging managerial responsibilities (“PDMRs”) in its Ordinary Shares through the grant of options over Ordinary Shares, RSUs and Restricted American Depositary Share Units ("RADSUs"), under and in accordance with Verona Pharma’s 2017 Incentive Award Plan.</w:t>
      </w:r>
    </w:p>
    <w:p>
      <w:pPr>
        <w:spacing w:after="0" w:line="29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40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42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Options over</w:t>
            </w:r>
          </w:p>
        </w:tc>
        <w:tc>
          <w:tcPr>
            <w:tcW w:w="31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RSUs and RADSUs</w:t>
            </w:r>
          </w:p>
        </w:tc>
      </w:tr>
      <w:tr>
        <w:trPr>
          <w:trHeight w:val="250"/>
        </w:trPr>
        <w:tc>
          <w:tcPr>
            <w:tcW w:w="4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Dr. Jan-Anders Karlsson, CEO</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1,026,944 Ordinary Shares</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266,424 RSUs</w:t>
            </w:r>
          </w:p>
        </w:tc>
      </w:tr>
      <w:tr>
        <w:trPr>
          <w:trHeight w:val="250"/>
        </w:trPr>
        <w:tc>
          <w:tcPr>
            <w:tcW w:w="4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Piers Morgan, CFO</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359,430 Ordinary Shares</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93,247 RSUs</w:t>
            </w:r>
          </w:p>
        </w:tc>
      </w:tr>
      <w:tr>
        <w:trPr>
          <w:trHeight w:val="229"/>
        </w:trPr>
        <w:tc>
          <w:tcPr>
            <w:tcW w:w="4020" w:type="dxa"/>
            <w:vAlign w:val="bottom"/>
            <w:tcBorders>
              <w:left w:val="single" w:sz="8" w:color="auto"/>
              <w:right w:val="single" w:sz="8" w:color="auto"/>
            </w:tcBorders>
          </w:tcPr>
          <w:p>
            <w:pPr>
              <w:spacing w:after="0"/>
              <w:rPr>
                <w:sz w:val="19"/>
                <w:szCs w:val="19"/>
                <w:color w:val="auto"/>
              </w:rPr>
            </w:pPr>
          </w:p>
        </w:tc>
        <w:tc>
          <w:tcPr>
            <w:tcW w:w="4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70,000 ADSs</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15,000 RADSUs</w:t>
            </w:r>
          </w:p>
        </w:tc>
      </w:tr>
      <w:tr>
        <w:trPr>
          <w:trHeight w:val="224"/>
        </w:trPr>
        <w:tc>
          <w:tcPr>
            <w:tcW w:w="4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Dr. Kathleen Rickard, CMO</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(representing 560,000 Ordinary Shares)</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(representing 120,000 RSUs)</w:t>
            </w:r>
          </w:p>
        </w:tc>
      </w:tr>
      <w:tr>
        <w:trPr>
          <w:trHeight w:val="250"/>
        </w:trPr>
        <w:tc>
          <w:tcPr>
            <w:tcW w:w="4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Claire Poll, Legal Counsel</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256,735 Ordinary Shares</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66,603 RSUs</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Grant of Options and RSUs and PDMR Dealings Announcement is furnished herewith as Exhibit 1 to this Report on Form 6-K.</w:t>
      </w:r>
    </w:p>
    <w:p>
      <w:pPr>
        <w:spacing w:after="0" w:line="225"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This Report on Form 6-K, excluding Exhibit 1, is hereby incorporated by reference into the Company’s Registration Statement on Form F-3 (File No. 333-225107).</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Exhibit</w:t>
            </w:r>
          </w:p>
        </w:tc>
        <w:tc>
          <w:tcPr>
            <w:tcW w:w="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4420" w:type="dxa"/>
            <w:vAlign w:val="bottom"/>
          </w:tcPr>
          <w:p>
            <w:pPr>
              <w:spacing w:after="0"/>
              <w:rPr>
                <w:sz w:val="18"/>
                <w:szCs w:val="18"/>
                <w:color w:val="auto"/>
              </w:rPr>
            </w:pPr>
          </w:p>
        </w:tc>
      </w:tr>
      <w:tr>
        <w:trPr>
          <w:trHeight w:val="237"/>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No.</w:t>
            </w:r>
          </w:p>
        </w:tc>
        <w:tc>
          <w:tcPr>
            <w:tcW w:w="40" w:type="dxa"/>
            <w:vAlign w:val="bottom"/>
          </w:tcPr>
          <w:p>
            <w:pPr>
              <w:spacing w:after="0"/>
              <w:rPr>
                <w:sz w:val="20"/>
                <w:szCs w:val="20"/>
                <w:color w:val="auto"/>
              </w:rPr>
            </w:pPr>
          </w:p>
        </w:tc>
        <w:tc>
          <w:tcPr>
            <w:tcW w:w="9540" w:type="dxa"/>
            <w:vAlign w:val="bottom"/>
            <w:gridSpan w:val="2"/>
          </w:tcPr>
          <w:p>
            <w:pPr>
              <w:ind w:left="4300"/>
              <w:spacing w:after="0"/>
              <w:rPr>
                <w:sz w:val="20"/>
                <w:szCs w:val="20"/>
                <w:color w:val="auto"/>
              </w:rPr>
            </w:pPr>
            <w:r>
              <w:rPr>
                <w:rFonts w:ascii="Arial" w:cs="Arial" w:eastAsia="Arial" w:hAnsi="Arial"/>
                <w:sz w:val="18"/>
                <w:szCs w:val="18"/>
                <w:color w:val="auto"/>
              </w:rPr>
              <w:t>Description</w:t>
            </w:r>
          </w:p>
        </w:tc>
      </w:tr>
      <w:tr>
        <w:trPr>
          <w:trHeight w:val="378"/>
        </w:trPr>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0000EE"/>
              </w:rPr>
              <w:t>1</w:t>
            </w:r>
          </w:p>
        </w:tc>
        <w:tc>
          <w:tcPr>
            <w:tcW w:w="1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0000EE"/>
              </w:rPr>
              <w:t>Grant of Options and RSUs and PDMR Dealings Announcement</w:t>
            </w: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20" w:type="dxa"/>
            <w:vAlign w:val="bottom"/>
            <w:shd w:val="clear" w:color="auto" w:fill="0000EE"/>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40"/>
          </w:cols>
          <w:pgMar w:left="240" w:top="576" w:right="219" w:bottom="1440" w:gutter="0" w:footer="0" w:header="0"/>
        </w:sectPr>
      </w:pPr>
    </w:p>
    <w:bookmarkStart w:id="2" w:name="page3"/>
    <w:bookmarkEnd w:id="2"/>
    <w:p>
      <w:pPr>
        <w:spacing w:after="0" w:line="82"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VERONA PHARMA PLC</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560" w:type="dxa"/>
            <w:vAlign w:val="bottom"/>
          </w:tcPr>
          <w:p>
            <w:pPr>
              <w:spacing w:after="0"/>
              <w:rPr>
                <w:sz w:val="20"/>
                <w:szCs w:val="20"/>
                <w:color w:val="auto"/>
              </w:rPr>
            </w:pPr>
            <w:r>
              <w:rPr>
                <w:rFonts w:ascii="Arial" w:cs="Arial" w:eastAsia="Arial" w:hAnsi="Arial"/>
                <w:sz w:val="18"/>
                <w:szCs w:val="18"/>
                <w:color w:val="auto"/>
              </w:rPr>
              <w:t>Date: April 12, 2019</w:t>
            </w:r>
          </w:p>
        </w:tc>
        <w:tc>
          <w:tcPr>
            <w:tcW w:w="1580" w:type="dxa"/>
            <w:vAlign w:val="bottom"/>
          </w:tcPr>
          <w:p>
            <w:pPr>
              <w:ind w:left="940"/>
              <w:spacing w:after="0"/>
              <w:rPr>
                <w:sz w:val="20"/>
                <w:szCs w:val="20"/>
                <w:color w:val="auto"/>
              </w:rPr>
            </w:pPr>
            <w:r>
              <w:rPr>
                <w:rFonts w:ascii="Arial" w:cs="Arial" w:eastAsia="Arial" w:hAnsi="Arial"/>
                <w:sz w:val="18"/>
                <w:szCs w:val="18"/>
                <w:color w:val="auto"/>
              </w:rPr>
              <w:t>By:</w:t>
            </w: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Claire Poll</w:t>
            </w:r>
          </w:p>
        </w:tc>
        <w:tc>
          <w:tcPr>
            <w:tcW w:w="3860" w:type="dxa"/>
            <w:vAlign w:val="bottom"/>
            <w:tcBorders>
              <w:bottom w:val="single" w:sz="8" w:color="auto"/>
            </w:tcBorders>
          </w:tcPr>
          <w:p>
            <w:pPr>
              <w:spacing w:after="0"/>
              <w:rPr>
                <w:sz w:val="19"/>
                <w:szCs w:val="19"/>
                <w:color w:val="auto"/>
              </w:rPr>
            </w:pPr>
          </w:p>
        </w:tc>
      </w:tr>
      <w:tr>
        <w:trPr>
          <w:trHeight w:val="243"/>
        </w:trPr>
        <w:tc>
          <w:tcPr>
            <w:tcW w:w="25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Name:</w:t>
            </w:r>
          </w:p>
        </w:tc>
        <w:tc>
          <w:tcPr>
            <w:tcW w:w="3860" w:type="dxa"/>
            <w:vAlign w:val="bottom"/>
          </w:tcPr>
          <w:p>
            <w:pPr>
              <w:ind w:left="180"/>
              <w:spacing w:after="0"/>
              <w:rPr>
                <w:sz w:val="20"/>
                <w:szCs w:val="20"/>
                <w:color w:val="auto"/>
              </w:rPr>
            </w:pPr>
            <w:r>
              <w:rPr>
                <w:rFonts w:ascii="Arial" w:cs="Arial" w:eastAsia="Arial" w:hAnsi="Arial"/>
                <w:sz w:val="18"/>
                <w:szCs w:val="18"/>
                <w:color w:val="auto"/>
              </w:rPr>
              <w:t>Claire Poll</w:t>
            </w:r>
          </w:p>
        </w:tc>
      </w:tr>
      <w:tr>
        <w:trPr>
          <w:trHeight w:val="270"/>
        </w:trPr>
        <w:tc>
          <w:tcPr>
            <w:tcW w:w="25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Title:</w:t>
            </w:r>
          </w:p>
        </w:tc>
        <w:tc>
          <w:tcPr>
            <w:tcW w:w="3860" w:type="dxa"/>
            <w:vAlign w:val="bottom"/>
          </w:tcPr>
          <w:p>
            <w:pPr>
              <w:ind w:left="180"/>
              <w:spacing w:after="0"/>
              <w:rPr>
                <w:sz w:val="20"/>
                <w:szCs w:val="20"/>
                <w:color w:val="auto"/>
              </w:rPr>
            </w:pPr>
            <w:r>
              <w:rPr>
                <w:rFonts w:ascii="Arial" w:cs="Arial" w:eastAsia="Arial" w:hAnsi="Arial"/>
                <w:sz w:val="18"/>
                <w:szCs w:val="18"/>
                <w:color w:val="auto"/>
              </w:rPr>
              <w:t>Legal Counsel</w:t>
            </w:r>
          </w:p>
        </w:tc>
      </w:tr>
    </w:tbl>
    <w:p>
      <w:pPr>
        <w:sectPr>
          <w:pgSz w:w="11900" w:h="16838" w:orient="portrait"/>
          <w:cols w:equalWidth="0" w:num="1">
            <w:col w:w="9260"/>
          </w:cols>
          <w:pgMar w:left="1340" w:top="1440" w:right="12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1482725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5405755</wp:posOffset>
            </wp:positionH>
            <wp:positionV relativeFrom="page">
              <wp:posOffset>88900</wp:posOffset>
            </wp:positionV>
            <wp:extent cx="1998345" cy="763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99834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Grant of Options and RSUs and PDMR Dealings</w:t>
      </w:r>
    </w:p>
    <w:p>
      <w:pPr>
        <w:spacing w:after="0" w:line="26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April 4, 2019, LONDON - Verona Pharma plc (AIM:VRP) (Nasdaq:VRNA) (“Verona Pharma”), a clinical-stage biopharmaceutical company focused on developing and commercializing innovative therapies for respiratory diseases, announces that, on April 1, 2019, it granted the following options over ordinary shares of £0.05 each (the “Ordinary Shares”) and American Depositary Shares (“ADS”) and restricted share units (“RSUs”) and Restricted American Depositary Share Units (“RADSUs”) to directors and employees of Verona Pharma under and in accordance with Verona Pharma’s 2017 Incentive Award Plan (which is set out in Verona Pharma’s 2018 annual report and 20-F):</w:t>
      </w:r>
    </w:p>
    <w:p>
      <w:pPr>
        <w:spacing w:after="0" w:line="16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2,592,322 options to purchase Ordinary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163,841 options to purchase ADSs, representing 1,310,728 Ordinary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523,392 RSUs;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27,138 RADSUs, representing 217,104 Ordinary Shares.</w:t>
      </w:r>
    </w:p>
    <w:p>
      <w:pPr>
        <w:spacing w:after="0" w:line="22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Each RSU and RADSU represents an unfunded, unsecured right to receive, on the applicable settlement date, one Ordinary Share or the equivalent number of ADSs, as applicable, or an amount in cash or other consideration. Except where the context indicates otherwise, references hereunder to the Ordinary Shares shall be deemed to include a number of ADSs equal to an Ordinary Share. No consideration was paid in respect of the grant of awards.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PDMR Dealings</w:t>
      </w:r>
    </w:p>
    <w:p>
      <w:pPr>
        <w:spacing w:after="0" w:line="20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Verona Pharma notifies the following transactions by persons discharging managerial responsibilities (“PDMRs”) in its Ordinary Shares through the grant of options over Ordinary Shares and ADSs and RSUs under and in accordance with Verona Pharma’s 2017 Incentive Award Plan.</w:t>
      </w:r>
    </w:p>
    <w:p>
      <w:pPr>
        <w:spacing w:after="0" w:line="28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8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42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Options over</w:t>
            </w:r>
          </w:p>
        </w:tc>
        <w:tc>
          <w:tcPr>
            <w:tcW w:w="342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RSUs and RADSUs</w:t>
            </w:r>
          </w:p>
        </w:tc>
      </w:tr>
      <w:tr>
        <w:trPr>
          <w:trHeight w:val="250"/>
        </w:trPr>
        <w:tc>
          <w:tcPr>
            <w:tcW w:w="3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Dr. Jan-Anders Karlsson, CEO</w:t>
            </w:r>
          </w:p>
        </w:tc>
        <w:tc>
          <w:tcPr>
            <w:tcW w:w="4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1,026,944 Ordinary Shares</w:t>
            </w:r>
          </w:p>
        </w:tc>
        <w:tc>
          <w:tcPr>
            <w:tcW w:w="34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266,424 RSUs</w:t>
            </w:r>
          </w:p>
        </w:tc>
      </w:tr>
      <w:tr>
        <w:trPr>
          <w:trHeight w:val="250"/>
        </w:trPr>
        <w:tc>
          <w:tcPr>
            <w:tcW w:w="3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Piers Morgan, CFO</w:t>
            </w:r>
          </w:p>
        </w:tc>
        <w:tc>
          <w:tcPr>
            <w:tcW w:w="4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359,430 Ordinary Shares</w:t>
            </w: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93,247</w:t>
            </w:r>
          </w:p>
        </w:tc>
        <w:tc>
          <w:tcPr>
            <w:tcW w:w="2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RSUs</w:t>
            </w:r>
          </w:p>
        </w:tc>
      </w:tr>
      <w:tr>
        <w:trPr>
          <w:trHeight w:val="229"/>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Dr. Kathleen Rickard, CMO</w:t>
            </w:r>
          </w:p>
        </w:tc>
        <w:tc>
          <w:tcPr>
            <w:tcW w:w="4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70,000 ADSs</w:t>
            </w:r>
          </w:p>
        </w:tc>
        <w:tc>
          <w:tcPr>
            <w:tcW w:w="600" w:type="dxa"/>
            <w:vAlign w:val="bottom"/>
          </w:tcPr>
          <w:p>
            <w:pPr>
              <w:ind w:left="20"/>
              <w:spacing w:after="0"/>
              <w:rPr>
                <w:sz w:val="20"/>
                <w:szCs w:val="20"/>
                <w:color w:val="auto"/>
              </w:rPr>
            </w:pPr>
            <w:r>
              <w:rPr>
                <w:rFonts w:ascii="Arial" w:cs="Arial" w:eastAsia="Arial" w:hAnsi="Arial"/>
                <w:sz w:val="18"/>
                <w:szCs w:val="18"/>
                <w:color w:val="auto"/>
              </w:rPr>
              <w:t>15,000</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RADSUs</w:t>
            </w:r>
          </w:p>
        </w:tc>
      </w:tr>
      <w:tr>
        <w:trPr>
          <w:trHeight w:val="224"/>
        </w:trPr>
        <w:tc>
          <w:tcPr>
            <w:tcW w:w="3800" w:type="dxa"/>
            <w:vAlign w:val="bottom"/>
            <w:tcBorders>
              <w:left w:val="single" w:sz="8" w:color="auto"/>
              <w:bottom w:val="single" w:sz="8" w:color="auto"/>
              <w:right w:val="single" w:sz="8" w:color="auto"/>
            </w:tcBorders>
          </w:tcPr>
          <w:p>
            <w:pPr>
              <w:spacing w:after="0"/>
              <w:rPr>
                <w:sz w:val="19"/>
                <w:szCs w:val="19"/>
                <w:color w:val="auto"/>
              </w:rPr>
            </w:pPr>
          </w:p>
        </w:tc>
        <w:tc>
          <w:tcPr>
            <w:tcW w:w="4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(representing 560,000 Ordinary Shares)</w:t>
            </w:r>
          </w:p>
        </w:tc>
        <w:tc>
          <w:tcPr>
            <w:tcW w:w="34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(representing 120,000 RSUs)</w:t>
            </w:r>
          </w:p>
        </w:tc>
      </w:tr>
      <w:tr>
        <w:trPr>
          <w:trHeight w:val="250"/>
        </w:trPr>
        <w:tc>
          <w:tcPr>
            <w:tcW w:w="3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Claire Poll, Legal Counsel</w:t>
            </w:r>
          </w:p>
        </w:tc>
        <w:tc>
          <w:tcPr>
            <w:tcW w:w="4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256,735 Ordinary Shares</w:t>
            </w: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66,603</w:t>
            </w:r>
          </w:p>
        </w:tc>
        <w:tc>
          <w:tcPr>
            <w:tcW w:w="2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RSUs</w:t>
            </w:r>
          </w:p>
        </w:tc>
      </w:tr>
    </w:tbl>
    <w:p>
      <w:pPr>
        <w:spacing w:after="0" w:line="200" w:lineRule="exact"/>
        <w:rPr>
          <w:sz w:val="20"/>
          <w:szCs w:val="20"/>
          <w:color w:val="auto"/>
        </w:rPr>
      </w:pPr>
    </w:p>
    <w:p>
      <w:pPr>
        <w:spacing w:after="0" w:line="33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options over Ordinary Shares have an exercise price of £0.58 per Ordinary Share, being the closing mid-market price on March 29, 2019. The options over ADSs have an exercise price of £4.64 per ADS, on the basis that each ADS represents 8 ordinary shares. The RSUs also have a value of £0.58 per RSU and the RADSUs have a value of £4.64 per RADSU.</w:t>
      </w:r>
    </w:p>
    <w:p>
      <w:pPr>
        <w:spacing w:after="0" w:line="9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options, RSUs and RADSUs set forth in the table above will vest as to 50% of the Ordinary Shares or ADSs (as appropriate) in three substantially equal annual instalments following the grant date and as to 50% of the Ordinary Shares or ADSs (as appropriate) in four substantially equal annual instalments following the grant date.</w:t>
      </w:r>
    </w:p>
    <w:p>
      <w:pPr>
        <w:sectPr>
          <w:pgSz w:w="11900" w:h="16838" w:orient="portrait"/>
          <w:cols w:equalWidth="0" w:num="1">
            <w:col w:w="11440"/>
          </w:cols>
          <w:pgMar w:left="240" w:top="1440" w:right="2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The notification of dealing form in respect of option/RSU awards for each PDMR can be found below.</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6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1</w:t>
            </w:r>
          </w:p>
        </w:tc>
        <w:tc>
          <w:tcPr>
            <w:tcW w:w="10840" w:type="dxa"/>
            <w:vAlign w:val="bottom"/>
            <w:tcBorders>
              <w:top w:val="single" w:sz="8" w:color="auto"/>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Details of the person discharging managerial responsibilities/person closely associated</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60" w:type="dxa"/>
            <w:vAlign w:val="bottom"/>
            <w:tcBorders>
              <w:bottom w:val="single" w:sz="8" w:color="auto"/>
            </w:tcBorders>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80" w:type="dxa"/>
            <w:vAlign w:val="bottom"/>
          </w:tcPr>
          <w:p>
            <w:pPr>
              <w:ind w:left="80"/>
              <w:spacing w:after="0"/>
              <w:rPr>
                <w:sz w:val="20"/>
                <w:szCs w:val="20"/>
                <w:color w:val="auto"/>
              </w:rPr>
            </w:pPr>
            <w:r>
              <w:rPr>
                <w:rFonts w:ascii="Arial" w:cs="Arial" w:eastAsia="Arial" w:hAnsi="Arial"/>
                <w:sz w:val="18"/>
                <w:szCs w:val="18"/>
                <w:color w:val="auto"/>
                <w:w w:val="99"/>
              </w:rPr>
              <w:t>Name</w:t>
            </w:r>
          </w:p>
        </w:tc>
        <w:tc>
          <w:tcPr>
            <w:tcW w:w="4460" w:type="dxa"/>
            <w:vAlign w:val="bottom"/>
            <w:tcBorders>
              <w:right w:val="single" w:sz="8" w:color="auto"/>
            </w:tcBorders>
          </w:tcPr>
          <w:p>
            <w:pPr>
              <w:spacing w:after="0"/>
              <w:rPr>
                <w:sz w:val="22"/>
                <w:szCs w:val="22"/>
                <w:color w:val="auto"/>
              </w:rPr>
            </w:pP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Dr. Jan-Anders Karlsson</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37"/>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2</w:t>
            </w:r>
          </w:p>
        </w:tc>
        <w:tc>
          <w:tcPr>
            <w:tcW w:w="5040" w:type="dxa"/>
            <w:vAlign w:val="bottom"/>
            <w:gridSpan w:val="2"/>
          </w:tcPr>
          <w:p>
            <w:pPr>
              <w:ind w:left="80"/>
              <w:spacing w:after="0"/>
              <w:rPr>
                <w:sz w:val="20"/>
                <w:szCs w:val="20"/>
                <w:color w:val="auto"/>
              </w:rPr>
            </w:pPr>
            <w:r>
              <w:rPr>
                <w:rFonts w:ascii="Arial" w:cs="Arial" w:eastAsia="Arial" w:hAnsi="Arial"/>
                <w:sz w:val="18"/>
                <w:szCs w:val="18"/>
                <w:b w:val="1"/>
                <w:bCs w:val="1"/>
                <w:color w:val="auto"/>
              </w:rPr>
              <w:t>Reason for the notification</w:t>
            </w:r>
          </w:p>
        </w:tc>
        <w:tc>
          <w:tcPr>
            <w:tcW w:w="5800" w:type="dxa"/>
            <w:vAlign w:val="bottom"/>
            <w:tcBorders>
              <w:right w:val="single" w:sz="8" w:color="auto"/>
            </w:tcBorders>
          </w:tcPr>
          <w:p>
            <w:pPr>
              <w:spacing w:after="0"/>
              <w:rPr>
                <w:sz w:val="20"/>
                <w:szCs w:val="20"/>
                <w:color w:val="auto"/>
              </w:rPr>
            </w:pP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50"/>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Position/status</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Chief Executive Officer</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Initial notification/Amendment</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Initial notification</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37"/>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3</w:t>
            </w:r>
          </w:p>
        </w:tc>
        <w:tc>
          <w:tcPr>
            <w:tcW w:w="108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Details of the issuer, emission allowance market participant, auction platform, auctioneer or auction monitor</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60" w:type="dxa"/>
            <w:vAlign w:val="bottom"/>
            <w:tcBorders>
              <w:bottom w:val="single" w:sz="8" w:color="auto"/>
            </w:tcBorders>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37"/>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80" w:type="dxa"/>
            <w:vAlign w:val="bottom"/>
          </w:tcPr>
          <w:p>
            <w:pPr>
              <w:ind w:left="80"/>
              <w:spacing w:after="0"/>
              <w:rPr>
                <w:sz w:val="20"/>
                <w:szCs w:val="20"/>
                <w:color w:val="auto"/>
              </w:rPr>
            </w:pPr>
            <w:r>
              <w:rPr>
                <w:rFonts w:ascii="Arial" w:cs="Arial" w:eastAsia="Arial" w:hAnsi="Arial"/>
                <w:sz w:val="18"/>
                <w:szCs w:val="18"/>
                <w:color w:val="auto"/>
                <w:w w:val="99"/>
              </w:rPr>
              <w:t>Name</w:t>
            </w:r>
          </w:p>
        </w:tc>
        <w:tc>
          <w:tcPr>
            <w:tcW w:w="4460" w:type="dxa"/>
            <w:vAlign w:val="bottom"/>
            <w:tcBorders>
              <w:right w:val="single" w:sz="8" w:color="auto"/>
            </w:tcBorders>
          </w:tcPr>
          <w:p>
            <w:pPr>
              <w:spacing w:after="0"/>
              <w:rPr>
                <w:sz w:val="20"/>
                <w:szCs w:val="20"/>
                <w:color w:val="auto"/>
              </w:rPr>
            </w:pP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Verona Pharma plc</w:t>
            </w:r>
          </w:p>
        </w:tc>
      </w:tr>
      <w:tr>
        <w:trPr>
          <w:trHeight w:val="230"/>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460" w:type="dxa"/>
            <w:vAlign w:val="bottom"/>
            <w:tcBorders>
              <w:bottom w:val="single" w:sz="8" w:color="auto"/>
              <w:right w:val="single" w:sz="8" w:color="auto"/>
            </w:tcBorders>
          </w:tcPr>
          <w:p>
            <w:pPr>
              <w:spacing w:after="0"/>
              <w:rPr>
                <w:sz w:val="19"/>
                <w:szCs w:val="19"/>
                <w:color w:val="auto"/>
              </w:rPr>
            </w:pPr>
          </w:p>
        </w:tc>
        <w:tc>
          <w:tcPr>
            <w:tcW w:w="5800" w:type="dxa"/>
            <w:vAlign w:val="bottom"/>
            <w:tcBorders>
              <w:bottom w:val="single" w:sz="8" w:color="auto"/>
              <w:right w:val="single" w:sz="8" w:color="auto"/>
            </w:tcBorders>
          </w:tcPr>
          <w:p>
            <w:pPr>
              <w:spacing w:after="0"/>
              <w:rPr>
                <w:sz w:val="19"/>
                <w:szCs w:val="19"/>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580" w:type="dxa"/>
            <w:vAlign w:val="bottom"/>
          </w:tcPr>
          <w:p>
            <w:pPr>
              <w:ind w:left="80"/>
              <w:spacing w:after="0"/>
              <w:rPr>
                <w:sz w:val="20"/>
                <w:szCs w:val="20"/>
                <w:color w:val="auto"/>
              </w:rPr>
            </w:pPr>
            <w:r>
              <w:rPr>
                <w:rFonts w:ascii="Arial" w:cs="Arial" w:eastAsia="Arial" w:hAnsi="Arial"/>
                <w:sz w:val="18"/>
                <w:szCs w:val="18"/>
                <w:color w:val="auto"/>
              </w:rPr>
              <w:t>LEI</w:t>
            </w:r>
          </w:p>
        </w:tc>
        <w:tc>
          <w:tcPr>
            <w:tcW w:w="4460" w:type="dxa"/>
            <w:vAlign w:val="bottom"/>
            <w:tcBorders>
              <w:right w:val="single" w:sz="8" w:color="auto"/>
            </w:tcBorders>
          </w:tcPr>
          <w:p>
            <w:pPr>
              <w:spacing w:after="0"/>
              <w:rPr>
                <w:sz w:val="22"/>
                <w:szCs w:val="22"/>
                <w:color w:val="auto"/>
              </w:rPr>
            </w:pP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213800EVI6O6J3TIAL06</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27"/>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4</w:t>
            </w:r>
          </w:p>
        </w:tc>
        <w:tc>
          <w:tcPr>
            <w:tcW w:w="108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Details of the transaction(s): section to be repeated for (i) each type of instrument; (ii) each type of transaction; (iii) each</w:t>
            </w:r>
          </w:p>
        </w:tc>
      </w:tr>
      <w:tr>
        <w:trPr>
          <w:trHeight w:val="239"/>
        </w:trPr>
        <w:tc>
          <w:tcPr>
            <w:tcW w:w="600" w:type="dxa"/>
            <w:vAlign w:val="bottom"/>
            <w:tcBorders>
              <w:left w:val="single" w:sz="8" w:color="auto"/>
              <w:right w:val="single" w:sz="8" w:color="auto"/>
            </w:tcBorders>
          </w:tcPr>
          <w:p>
            <w:pPr>
              <w:spacing w:after="0"/>
              <w:rPr>
                <w:sz w:val="20"/>
                <w:szCs w:val="20"/>
                <w:color w:val="auto"/>
              </w:rPr>
            </w:pPr>
          </w:p>
        </w:tc>
        <w:tc>
          <w:tcPr>
            <w:tcW w:w="108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date; and (iv) each place where transactions have been conducted</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49"/>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Description of the financial instrument, type of instrument</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Ordinary Shares of 5 pence each</w:t>
            </w: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Identification code</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ISIN Code: GB00BYW2KH80</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Nature of the transaction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Issue of options over Ordinary Shares</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49"/>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Price(s) and volume(s)</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Price(s) : Exercise Price: £0.58</w:t>
            </w: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Volume(s) : Options over 1,026,944 Ordinary Shares</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49"/>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Aggregated information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 (single transaction)</w:t>
            </w: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5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44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Aggregated volume</w:t>
            </w:r>
          </w:p>
        </w:tc>
        <w:tc>
          <w:tcPr>
            <w:tcW w:w="5800" w:type="dxa"/>
            <w:vAlign w:val="bottom"/>
            <w:tcBorders>
              <w:right w:val="single" w:sz="8" w:color="auto"/>
            </w:tcBorders>
          </w:tcPr>
          <w:p>
            <w:pPr>
              <w:spacing w:after="0"/>
              <w:rPr>
                <w:sz w:val="17"/>
                <w:szCs w:val="17"/>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5800" w:type="dxa"/>
            <w:vAlign w:val="bottom"/>
            <w:tcBorders>
              <w:right w:val="single" w:sz="8" w:color="auto"/>
            </w:tcBorders>
          </w:tcPr>
          <w:p>
            <w:pPr>
              <w:spacing w:after="0"/>
              <w:rPr>
                <w:sz w:val="18"/>
                <w:szCs w:val="18"/>
                <w:color w:val="auto"/>
              </w:rPr>
            </w:pP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Date of the transaction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 April 2019</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Place of the transaction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London Stock Exchange, AIM</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27"/>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w:t>
            </w:r>
          </w:p>
        </w:tc>
        <w:tc>
          <w:tcPr>
            <w:tcW w:w="108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Details of the transaction(s): section to be repeated for (i) each type of instrument; (ii) each type of transaction; (iii) each</w:t>
            </w:r>
          </w:p>
        </w:tc>
      </w:tr>
      <w:tr>
        <w:trPr>
          <w:trHeight w:val="239"/>
        </w:trPr>
        <w:tc>
          <w:tcPr>
            <w:tcW w:w="600" w:type="dxa"/>
            <w:vAlign w:val="bottom"/>
            <w:tcBorders>
              <w:left w:val="single" w:sz="8" w:color="auto"/>
              <w:right w:val="single" w:sz="8" w:color="auto"/>
            </w:tcBorders>
          </w:tcPr>
          <w:p>
            <w:pPr>
              <w:spacing w:after="0"/>
              <w:rPr>
                <w:sz w:val="20"/>
                <w:szCs w:val="20"/>
                <w:color w:val="auto"/>
              </w:rPr>
            </w:pPr>
          </w:p>
        </w:tc>
        <w:tc>
          <w:tcPr>
            <w:tcW w:w="108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date; and (iv) each place where transactions have been conducted</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49"/>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Description of the financial instrument, type of instrument</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Ordinary Shares of 5 pence each</w:t>
            </w: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Identification code</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ISIN Code: GB00BYW2KH80</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22"/>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Nature of the transaction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Grant of RSUs, each of which represents an unfunded, unsecured right</w:t>
            </w: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c>
          <w:tcPr>
            <w:tcW w:w="58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to receive, on the applicable settlement date, one Ordinary Share or an</w:t>
            </w:r>
          </w:p>
        </w:tc>
      </w:tr>
      <w:tr>
        <w:trPr>
          <w:trHeight w:val="224"/>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460" w:type="dxa"/>
            <w:vAlign w:val="bottom"/>
            <w:tcBorders>
              <w:bottom w:val="single" w:sz="8" w:color="auto"/>
              <w:right w:val="single" w:sz="8" w:color="auto"/>
            </w:tcBorders>
          </w:tcPr>
          <w:p>
            <w:pPr>
              <w:spacing w:after="0"/>
              <w:rPr>
                <w:sz w:val="19"/>
                <w:szCs w:val="19"/>
                <w:color w:val="auto"/>
              </w:rPr>
            </w:pPr>
          </w:p>
        </w:tc>
        <w:tc>
          <w:tcPr>
            <w:tcW w:w="5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amount in cash or other consideration</w:t>
            </w:r>
          </w:p>
        </w:tc>
      </w:tr>
      <w:tr>
        <w:trPr>
          <w:trHeight w:val="256"/>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Price(s) and volume(s)</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Price(s) : No consideration</w:t>
            </w: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Volume(s) : 266,424</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49"/>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Aggregated information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 (single transaction)</w:t>
            </w: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5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44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Aggregated volume</w:t>
            </w:r>
          </w:p>
        </w:tc>
        <w:tc>
          <w:tcPr>
            <w:tcW w:w="5800" w:type="dxa"/>
            <w:vAlign w:val="bottom"/>
            <w:tcBorders>
              <w:right w:val="single" w:sz="8" w:color="auto"/>
            </w:tcBorders>
          </w:tcPr>
          <w:p>
            <w:pPr>
              <w:spacing w:after="0"/>
              <w:rPr>
                <w:sz w:val="17"/>
                <w:szCs w:val="17"/>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5800" w:type="dxa"/>
            <w:vAlign w:val="bottom"/>
            <w:tcBorders>
              <w:right w:val="single" w:sz="8" w:color="auto"/>
            </w:tcBorders>
          </w:tcPr>
          <w:p>
            <w:pPr>
              <w:spacing w:after="0"/>
              <w:rPr>
                <w:sz w:val="18"/>
                <w:szCs w:val="18"/>
                <w:color w:val="auto"/>
              </w:rPr>
            </w:pP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Date of the transaction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 April 2019</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Place of the transaction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London Stock Exchange, AIM</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60" w:type="dxa"/>
            <w:vAlign w:val="bottom"/>
            <w:tcBorders>
              <w:bottom w:val="single" w:sz="8" w:color="auto"/>
              <w:right w:val="single" w:sz="8" w:color="auto"/>
            </w:tcBorders>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bl>
    <w:p>
      <w:pPr>
        <w:sectPr>
          <w:pgSz w:w="11900" w:h="16838" w:orient="portrait"/>
          <w:cols w:equalWidth="0" w:num="1">
            <w:col w:w="11440"/>
          </w:cols>
          <w:pgMar w:left="240" w:top="382" w:right="21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6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1</w:t>
            </w:r>
          </w:p>
        </w:tc>
        <w:tc>
          <w:tcPr>
            <w:tcW w:w="10840" w:type="dxa"/>
            <w:vAlign w:val="bottom"/>
            <w:tcBorders>
              <w:top w:val="single" w:sz="8" w:color="auto"/>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Details of the person discharging managerial responsibilities/person closely associated</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60" w:type="dxa"/>
            <w:vAlign w:val="bottom"/>
            <w:tcBorders>
              <w:bottom w:val="single" w:sz="8" w:color="auto"/>
            </w:tcBorders>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80" w:type="dxa"/>
            <w:vAlign w:val="bottom"/>
          </w:tcPr>
          <w:p>
            <w:pPr>
              <w:ind w:left="80"/>
              <w:spacing w:after="0"/>
              <w:rPr>
                <w:sz w:val="20"/>
                <w:szCs w:val="20"/>
                <w:color w:val="auto"/>
              </w:rPr>
            </w:pPr>
            <w:r>
              <w:rPr>
                <w:rFonts w:ascii="Arial" w:cs="Arial" w:eastAsia="Arial" w:hAnsi="Arial"/>
                <w:sz w:val="18"/>
                <w:szCs w:val="18"/>
                <w:color w:val="auto"/>
                <w:w w:val="99"/>
              </w:rPr>
              <w:t>Name</w:t>
            </w:r>
          </w:p>
        </w:tc>
        <w:tc>
          <w:tcPr>
            <w:tcW w:w="4460" w:type="dxa"/>
            <w:vAlign w:val="bottom"/>
            <w:tcBorders>
              <w:right w:val="single" w:sz="8" w:color="auto"/>
            </w:tcBorders>
          </w:tcPr>
          <w:p>
            <w:pPr>
              <w:spacing w:after="0"/>
              <w:rPr>
                <w:sz w:val="22"/>
                <w:szCs w:val="22"/>
                <w:color w:val="auto"/>
              </w:rPr>
            </w:pP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Piers Morgan</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37"/>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2</w:t>
            </w:r>
          </w:p>
        </w:tc>
        <w:tc>
          <w:tcPr>
            <w:tcW w:w="5040" w:type="dxa"/>
            <w:vAlign w:val="bottom"/>
            <w:gridSpan w:val="2"/>
          </w:tcPr>
          <w:p>
            <w:pPr>
              <w:ind w:left="80"/>
              <w:spacing w:after="0"/>
              <w:rPr>
                <w:sz w:val="20"/>
                <w:szCs w:val="20"/>
                <w:color w:val="auto"/>
              </w:rPr>
            </w:pPr>
            <w:r>
              <w:rPr>
                <w:rFonts w:ascii="Arial" w:cs="Arial" w:eastAsia="Arial" w:hAnsi="Arial"/>
                <w:sz w:val="18"/>
                <w:szCs w:val="18"/>
                <w:b w:val="1"/>
                <w:bCs w:val="1"/>
                <w:color w:val="auto"/>
              </w:rPr>
              <w:t>Reason for the notification</w:t>
            </w:r>
          </w:p>
        </w:tc>
        <w:tc>
          <w:tcPr>
            <w:tcW w:w="5800" w:type="dxa"/>
            <w:vAlign w:val="bottom"/>
            <w:tcBorders>
              <w:right w:val="single" w:sz="8" w:color="auto"/>
            </w:tcBorders>
          </w:tcPr>
          <w:p>
            <w:pPr>
              <w:spacing w:after="0"/>
              <w:rPr>
                <w:sz w:val="20"/>
                <w:szCs w:val="20"/>
                <w:color w:val="auto"/>
              </w:rPr>
            </w:pP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50"/>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Position/status</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Chief Financial Officer</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Initial notification/Amendment</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Initial notification</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37"/>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3</w:t>
            </w:r>
          </w:p>
        </w:tc>
        <w:tc>
          <w:tcPr>
            <w:tcW w:w="108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Details of the issuer, emission allowance market participant, auction platform, auctioneer or auction monitor</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60" w:type="dxa"/>
            <w:vAlign w:val="bottom"/>
            <w:tcBorders>
              <w:bottom w:val="single" w:sz="8" w:color="auto"/>
            </w:tcBorders>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37"/>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80" w:type="dxa"/>
            <w:vAlign w:val="bottom"/>
          </w:tcPr>
          <w:p>
            <w:pPr>
              <w:ind w:left="80"/>
              <w:spacing w:after="0"/>
              <w:rPr>
                <w:sz w:val="20"/>
                <w:szCs w:val="20"/>
                <w:color w:val="auto"/>
              </w:rPr>
            </w:pPr>
            <w:r>
              <w:rPr>
                <w:rFonts w:ascii="Arial" w:cs="Arial" w:eastAsia="Arial" w:hAnsi="Arial"/>
                <w:sz w:val="18"/>
                <w:szCs w:val="18"/>
                <w:color w:val="auto"/>
                <w:w w:val="99"/>
              </w:rPr>
              <w:t>Name</w:t>
            </w:r>
          </w:p>
        </w:tc>
        <w:tc>
          <w:tcPr>
            <w:tcW w:w="4460" w:type="dxa"/>
            <w:vAlign w:val="bottom"/>
            <w:tcBorders>
              <w:right w:val="single" w:sz="8" w:color="auto"/>
            </w:tcBorders>
          </w:tcPr>
          <w:p>
            <w:pPr>
              <w:spacing w:after="0"/>
              <w:rPr>
                <w:sz w:val="20"/>
                <w:szCs w:val="20"/>
                <w:color w:val="auto"/>
              </w:rPr>
            </w:pP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Verona Pharma plc</w:t>
            </w:r>
          </w:p>
        </w:tc>
      </w:tr>
      <w:tr>
        <w:trPr>
          <w:trHeight w:val="230"/>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460" w:type="dxa"/>
            <w:vAlign w:val="bottom"/>
            <w:tcBorders>
              <w:bottom w:val="single" w:sz="8" w:color="auto"/>
              <w:right w:val="single" w:sz="8" w:color="auto"/>
            </w:tcBorders>
          </w:tcPr>
          <w:p>
            <w:pPr>
              <w:spacing w:after="0"/>
              <w:rPr>
                <w:sz w:val="19"/>
                <w:szCs w:val="19"/>
                <w:color w:val="auto"/>
              </w:rPr>
            </w:pPr>
          </w:p>
        </w:tc>
        <w:tc>
          <w:tcPr>
            <w:tcW w:w="5800" w:type="dxa"/>
            <w:vAlign w:val="bottom"/>
            <w:tcBorders>
              <w:bottom w:val="single" w:sz="8" w:color="auto"/>
              <w:right w:val="single" w:sz="8" w:color="auto"/>
            </w:tcBorders>
          </w:tcPr>
          <w:p>
            <w:pPr>
              <w:spacing w:after="0"/>
              <w:rPr>
                <w:sz w:val="19"/>
                <w:szCs w:val="19"/>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580" w:type="dxa"/>
            <w:vAlign w:val="bottom"/>
          </w:tcPr>
          <w:p>
            <w:pPr>
              <w:ind w:left="80"/>
              <w:spacing w:after="0"/>
              <w:rPr>
                <w:sz w:val="20"/>
                <w:szCs w:val="20"/>
                <w:color w:val="auto"/>
              </w:rPr>
            </w:pPr>
            <w:r>
              <w:rPr>
                <w:rFonts w:ascii="Arial" w:cs="Arial" w:eastAsia="Arial" w:hAnsi="Arial"/>
                <w:sz w:val="18"/>
                <w:szCs w:val="18"/>
                <w:color w:val="auto"/>
              </w:rPr>
              <w:t>LEI</w:t>
            </w:r>
          </w:p>
        </w:tc>
        <w:tc>
          <w:tcPr>
            <w:tcW w:w="4460" w:type="dxa"/>
            <w:vAlign w:val="bottom"/>
            <w:tcBorders>
              <w:right w:val="single" w:sz="8" w:color="auto"/>
            </w:tcBorders>
          </w:tcPr>
          <w:p>
            <w:pPr>
              <w:spacing w:after="0"/>
              <w:rPr>
                <w:sz w:val="22"/>
                <w:szCs w:val="22"/>
                <w:color w:val="auto"/>
              </w:rPr>
            </w:pP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213800EVI6O6J3TIAL06</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27"/>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4</w:t>
            </w:r>
          </w:p>
        </w:tc>
        <w:tc>
          <w:tcPr>
            <w:tcW w:w="108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Details of the transaction(s): section to be repeated for (i) each type of instrument; (ii) each type of transaction; (iii) each</w:t>
            </w:r>
          </w:p>
        </w:tc>
      </w:tr>
      <w:tr>
        <w:trPr>
          <w:trHeight w:val="239"/>
        </w:trPr>
        <w:tc>
          <w:tcPr>
            <w:tcW w:w="600" w:type="dxa"/>
            <w:vAlign w:val="bottom"/>
            <w:tcBorders>
              <w:left w:val="single" w:sz="8" w:color="auto"/>
              <w:right w:val="single" w:sz="8" w:color="auto"/>
            </w:tcBorders>
          </w:tcPr>
          <w:p>
            <w:pPr>
              <w:spacing w:after="0"/>
              <w:rPr>
                <w:sz w:val="20"/>
                <w:szCs w:val="20"/>
                <w:color w:val="auto"/>
              </w:rPr>
            </w:pPr>
          </w:p>
        </w:tc>
        <w:tc>
          <w:tcPr>
            <w:tcW w:w="108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date; and (iv) each place where transactions have been conducted</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49"/>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Description of the financial instrument, type of instrument</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Ordinary Shares of 5 pence each</w:t>
            </w: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Identification code</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ISIN Code: GB00BYW2KH80</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Nature of the transaction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Issue of options over Ordinary Shares</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49"/>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Price(s) and volume(s)</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Price(s) : Exercise Price: £0.58</w:t>
            </w: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Volume(s) : Options over 359,430 Ordinary Shares</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49"/>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Aggregated information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 (single transaction)</w:t>
            </w: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5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44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Aggregated volume</w:t>
            </w:r>
          </w:p>
        </w:tc>
        <w:tc>
          <w:tcPr>
            <w:tcW w:w="5800" w:type="dxa"/>
            <w:vAlign w:val="bottom"/>
            <w:tcBorders>
              <w:right w:val="single" w:sz="8" w:color="auto"/>
            </w:tcBorders>
          </w:tcPr>
          <w:p>
            <w:pPr>
              <w:spacing w:after="0"/>
              <w:rPr>
                <w:sz w:val="17"/>
                <w:szCs w:val="17"/>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5800" w:type="dxa"/>
            <w:vAlign w:val="bottom"/>
            <w:tcBorders>
              <w:right w:val="single" w:sz="8" w:color="auto"/>
            </w:tcBorders>
          </w:tcPr>
          <w:p>
            <w:pPr>
              <w:spacing w:after="0"/>
              <w:rPr>
                <w:sz w:val="18"/>
                <w:szCs w:val="18"/>
                <w:color w:val="auto"/>
              </w:rPr>
            </w:pP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Date of the transaction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 April 2019</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Place of the transaction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London Stock Exchange, AIM</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27"/>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w:t>
            </w:r>
          </w:p>
        </w:tc>
        <w:tc>
          <w:tcPr>
            <w:tcW w:w="108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Details of the transaction(s): section to be repeated for (i) each type of instrument; (ii) each type of transaction; (iii) each</w:t>
            </w:r>
          </w:p>
        </w:tc>
      </w:tr>
      <w:tr>
        <w:trPr>
          <w:trHeight w:val="239"/>
        </w:trPr>
        <w:tc>
          <w:tcPr>
            <w:tcW w:w="600" w:type="dxa"/>
            <w:vAlign w:val="bottom"/>
            <w:tcBorders>
              <w:left w:val="single" w:sz="8" w:color="auto"/>
              <w:right w:val="single" w:sz="8" w:color="auto"/>
            </w:tcBorders>
          </w:tcPr>
          <w:p>
            <w:pPr>
              <w:spacing w:after="0"/>
              <w:rPr>
                <w:sz w:val="20"/>
                <w:szCs w:val="20"/>
                <w:color w:val="auto"/>
              </w:rPr>
            </w:pPr>
          </w:p>
        </w:tc>
        <w:tc>
          <w:tcPr>
            <w:tcW w:w="108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date; and (iv) each place where transactions have been conducted</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49"/>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Description of the financial instrument, type of instrument</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Ordinary Shares of 5 pence each</w:t>
            </w: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Identification code</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ISIN Code: GB00BYW2KH80</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22"/>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Nature of the transaction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Grant of RSUs, each of which represents an unfunded, unsecured right</w:t>
            </w: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c>
          <w:tcPr>
            <w:tcW w:w="58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to receive, on the applicable settlement date, one Ordinary Share or an</w:t>
            </w:r>
          </w:p>
        </w:tc>
      </w:tr>
      <w:tr>
        <w:trPr>
          <w:trHeight w:val="224"/>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460" w:type="dxa"/>
            <w:vAlign w:val="bottom"/>
            <w:tcBorders>
              <w:bottom w:val="single" w:sz="8" w:color="auto"/>
              <w:right w:val="single" w:sz="8" w:color="auto"/>
            </w:tcBorders>
          </w:tcPr>
          <w:p>
            <w:pPr>
              <w:spacing w:after="0"/>
              <w:rPr>
                <w:sz w:val="19"/>
                <w:szCs w:val="19"/>
                <w:color w:val="auto"/>
              </w:rPr>
            </w:pPr>
          </w:p>
        </w:tc>
        <w:tc>
          <w:tcPr>
            <w:tcW w:w="5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amount in cash or other consideration</w:t>
            </w:r>
          </w:p>
        </w:tc>
      </w:tr>
      <w:tr>
        <w:trPr>
          <w:trHeight w:val="256"/>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Price(s) and volume(s)</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Price(s) : No consideration</w:t>
            </w: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Volume(s) : 93,247</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49"/>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Aggregated information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 (single transaction)</w:t>
            </w: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5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44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Aggregated volume</w:t>
            </w:r>
          </w:p>
        </w:tc>
        <w:tc>
          <w:tcPr>
            <w:tcW w:w="5800" w:type="dxa"/>
            <w:vAlign w:val="bottom"/>
            <w:tcBorders>
              <w:right w:val="single" w:sz="8" w:color="auto"/>
            </w:tcBorders>
          </w:tcPr>
          <w:p>
            <w:pPr>
              <w:spacing w:after="0"/>
              <w:rPr>
                <w:sz w:val="17"/>
                <w:szCs w:val="17"/>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5800" w:type="dxa"/>
            <w:vAlign w:val="bottom"/>
            <w:tcBorders>
              <w:right w:val="single" w:sz="8" w:color="auto"/>
            </w:tcBorders>
          </w:tcPr>
          <w:p>
            <w:pPr>
              <w:spacing w:after="0"/>
              <w:rPr>
                <w:sz w:val="18"/>
                <w:szCs w:val="18"/>
                <w:color w:val="auto"/>
              </w:rPr>
            </w:pP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Date of the transaction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 April 2019</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Place of the transaction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London Stock Exchange, AIM</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60" w:type="dxa"/>
            <w:vAlign w:val="bottom"/>
            <w:tcBorders>
              <w:bottom w:val="single" w:sz="8" w:color="auto"/>
              <w:right w:val="single" w:sz="8" w:color="auto"/>
            </w:tcBorders>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bl>
    <w:p>
      <w:pPr>
        <w:sectPr>
          <w:pgSz w:w="11900" w:h="16838" w:orient="portrait"/>
          <w:cols w:equalWidth="0" w:num="1">
            <w:col w:w="11440"/>
          </w:cols>
          <w:pgMar w:left="240" w:top="498" w:right="21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6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1</w:t>
            </w:r>
          </w:p>
        </w:tc>
        <w:tc>
          <w:tcPr>
            <w:tcW w:w="10840" w:type="dxa"/>
            <w:vAlign w:val="bottom"/>
            <w:tcBorders>
              <w:top w:val="single" w:sz="8" w:color="auto"/>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Details of the person discharging managerial responsibilities/person closely associated</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60" w:type="dxa"/>
            <w:vAlign w:val="bottom"/>
            <w:tcBorders>
              <w:bottom w:val="single" w:sz="8" w:color="auto"/>
            </w:tcBorders>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80" w:type="dxa"/>
            <w:vAlign w:val="bottom"/>
          </w:tcPr>
          <w:p>
            <w:pPr>
              <w:ind w:left="80"/>
              <w:spacing w:after="0"/>
              <w:rPr>
                <w:sz w:val="20"/>
                <w:szCs w:val="20"/>
                <w:color w:val="auto"/>
              </w:rPr>
            </w:pPr>
            <w:r>
              <w:rPr>
                <w:rFonts w:ascii="Arial" w:cs="Arial" w:eastAsia="Arial" w:hAnsi="Arial"/>
                <w:sz w:val="18"/>
                <w:szCs w:val="18"/>
                <w:color w:val="auto"/>
                <w:w w:val="99"/>
              </w:rPr>
              <w:t>Name</w:t>
            </w:r>
          </w:p>
        </w:tc>
        <w:tc>
          <w:tcPr>
            <w:tcW w:w="4460" w:type="dxa"/>
            <w:vAlign w:val="bottom"/>
            <w:tcBorders>
              <w:right w:val="single" w:sz="8" w:color="auto"/>
            </w:tcBorders>
          </w:tcPr>
          <w:p>
            <w:pPr>
              <w:spacing w:after="0"/>
              <w:rPr>
                <w:sz w:val="22"/>
                <w:szCs w:val="22"/>
                <w:color w:val="auto"/>
              </w:rPr>
            </w:pP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Dr. Kathleen Rickard</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37"/>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2</w:t>
            </w:r>
          </w:p>
        </w:tc>
        <w:tc>
          <w:tcPr>
            <w:tcW w:w="5040" w:type="dxa"/>
            <w:vAlign w:val="bottom"/>
            <w:gridSpan w:val="2"/>
          </w:tcPr>
          <w:p>
            <w:pPr>
              <w:ind w:left="80"/>
              <w:spacing w:after="0"/>
              <w:rPr>
                <w:sz w:val="20"/>
                <w:szCs w:val="20"/>
                <w:color w:val="auto"/>
              </w:rPr>
            </w:pPr>
            <w:r>
              <w:rPr>
                <w:rFonts w:ascii="Arial" w:cs="Arial" w:eastAsia="Arial" w:hAnsi="Arial"/>
                <w:sz w:val="18"/>
                <w:szCs w:val="18"/>
                <w:b w:val="1"/>
                <w:bCs w:val="1"/>
                <w:color w:val="auto"/>
              </w:rPr>
              <w:t>Reason for the notification</w:t>
            </w:r>
          </w:p>
        </w:tc>
        <w:tc>
          <w:tcPr>
            <w:tcW w:w="5800" w:type="dxa"/>
            <w:vAlign w:val="bottom"/>
            <w:tcBorders>
              <w:right w:val="single" w:sz="8" w:color="auto"/>
            </w:tcBorders>
          </w:tcPr>
          <w:p>
            <w:pPr>
              <w:spacing w:after="0"/>
              <w:rPr>
                <w:sz w:val="20"/>
                <w:szCs w:val="20"/>
                <w:color w:val="auto"/>
              </w:rPr>
            </w:pP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50"/>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Position/status</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Chief Medical Officer</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Initial notification/Amendment</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Initial notification</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37"/>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3</w:t>
            </w:r>
          </w:p>
        </w:tc>
        <w:tc>
          <w:tcPr>
            <w:tcW w:w="108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Details of the issuer, emission allowance market participant, auction platform, auctioneer or auction monitor</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60" w:type="dxa"/>
            <w:vAlign w:val="bottom"/>
            <w:tcBorders>
              <w:bottom w:val="single" w:sz="8" w:color="auto"/>
            </w:tcBorders>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37"/>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80" w:type="dxa"/>
            <w:vAlign w:val="bottom"/>
          </w:tcPr>
          <w:p>
            <w:pPr>
              <w:ind w:left="80"/>
              <w:spacing w:after="0"/>
              <w:rPr>
                <w:sz w:val="20"/>
                <w:szCs w:val="20"/>
                <w:color w:val="auto"/>
              </w:rPr>
            </w:pPr>
            <w:r>
              <w:rPr>
                <w:rFonts w:ascii="Arial" w:cs="Arial" w:eastAsia="Arial" w:hAnsi="Arial"/>
                <w:sz w:val="18"/>
                <w:szCs w:val="18"/>
                <w:color w:val="auto"/>
                <w:w w:val="99"/>
              </w:rPr>
              <w:t>Name</w:t>
            </w:r>
          </w:p>
        </w:tc>
        <w:tc>
          <w:tcPr>
            <w:tcW w:w="4460" w:type="dxa"/>
            <w:vAlign w:val="bottom"/>
            <w:tcBorders>
              <w:right w:val="single" w:sz="8" w:color="auto"/>
            </w:tcBorders>
          </w:tcPr>
          <w:p>
            <w:pPr>
              <w:spacing w:after="0"/>
              <w:rPr>
                <w:sz w:val="20"/>
                <w:szCs w:val="20"/>
                <w:color w:val="auto"/>
              </w:rPr>
            </w:pPr>
          </w:p>
        </w:tc>
        <w:tc>
          <w:tcPr>
            <w:tcW w:w="58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Verona Pharma plc</w:t>
            </w:r>
          </w:p>
        </w:tc>
      </w:tr>
      <w:tr>
        <w:trPr>
          <w:trHeight w:val="230"/>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460" w:type="dxa"/>
            <w:vAlign w:val="bottom"/>
            <w:tcBorders>
              <w:bottom w:val="single" w:sz="8" w:color="auto"/>
              <w:right w:val="single" w:sz="8" w:color="auto"/>
            </w:tcBorders>
          </w:tcPr>
          <w:p>
            <w:pPr>
              <w:spacing w:after="0"/>
              <w:rPr>
                <w:sz w:val="19"/>
                <w:szCs w:val="19"/>
                <w:color w:val="auto"/>
              </w:rPr>
            </w:pPr>
          </w:p>
        </w:tc>
        <w:tc>
          <w:tcPr>
            <w:tcW w:w="5800" w:type="dxa"/>
            <w:vAlign w:val="bottom"/>
            <w:tcBorders>
              <w:bottom w:val="single" w:sz="8" w:color="auto"/>
              <w:right w:val="single" w:sz="8" w:color="auto"/>
            </w:tcBorders>
          </w:tcPr>
          <w:p>
            <w:pPr>
              <w:spacing w:after="0"/>
              <w:rPr>
                <w:sz w:val="19"/>
                <w:szCs w:val="19"/>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580" w:type="dxa"/>
            <w:vAlign w:val="bottom"/>
          </w:tcPr>
          <w:p>
            <w:pPr>
              <w:ind w:left="80"/>
              <w:spacing w:after="0"/>
              <w:rPr>
                <w:sz w:val="20"/>
                <w:szCs w:val="20"/>
                <w:color w:val="auto"/>
              </w:rPr>
            </w:pPr>
            <w:r>
              <w:rPr>
                <w:rFonts w:ascii="Arial" w:cs="Arial" w:eastAsia="Arial" w:hAnsi="Arial"/>
                <w:sz w:val="18"/>
                <w:szCs w:val="18"/>
                <w:color w:val="auto"/>
              </w:rPr>
              <w:t>LEI</w:t>
            </w:r>
          </w:p>
        </w:tc>
        <w:tc>
          <w:tcPr>
            <w:tcW w:w="4460" w:type="dxa"/>
            <w:vAlign w:val="bottom"/>
            <w:tcBorders>
              <w:right w:val="single" w:sz="8" w:color="auto"/>
            </w:tcBorders>
          </w:tcPr>
          <w:p>
            <w:pPr>
              <w:spacing w:after="0"/>
              <w:rPr>
                <w:sz w:val="22"/>
                <w:szCs w:val="22"/>
                <w:color w:val="auto"/>
              </w:rPr>
            </w:pPr>
          </w:p>
        </w:tc>
        <w:tc>
          <w:tcPr>
            <w:tcW w:w="58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213800EVI6O6J3TIAL06</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27"/>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4</w:t>
            </w:r>
          </w:p>
        </w:tc>
        <w:tc>
          <w:tcPr>
            <w:tcW w:w="108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Details of the transaction(s): section to be repeated for (i) each type of instrument; (ii) each type of transaction; (iii) each</w:t>
            </w:r>
          </w:p>
        </w:tc>
      </w:tr>
      <w:tr>
        <w:trPr>
          <w:trHeight w:val="239"/>
        </w:trPr>
        <w:tc>
          <w:tcPr>
            <w:tcW w:w="600" w:type="dxa"/>
            <w:vAlign w:val="bottom"/>
            <w:tcBorders>
              <w:left w:val="single" w:sz="8" w:color="auto"/>
              <w:right w:val="single" w:sz="8" w:color="auto"/>
            </w:tcBorders>
          </w:tcPr>
          <w:p>
            <w:pPr>
              <w:spacing w:after="0"/>
              <w:rPr>
                <w:sz w:val="20"/>
                <w:szCs w:val="20"/>
                <w:color w:val="auto"/>
              </w:rPr>
            </w:pPr>
          </w:p>
        </w:tc>
        <w:tc>
          <w:tcPr>
            <w:tcW w:w="108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date; and (iv) each place where transactions have been conducted</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22"/>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Description of the financial instrument, type of instrument</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American Depositary Shares (“ADSs”), representing ordinary shares of</w:t>
            </w: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504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Identification code</w:t>
            </w:r>
          </w:p>
        </w:tc>
        <w:tc>
          <w:tcPr>
            <w:tcW w:w="58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5p each, on deposit with a U.S. banking institution selected by the</w:t>
            </w: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Company and which are registered pursuant to a Form F-6.</w:t>
            </w:r>
          </w:p>
        </w:tc>
      </w:tr>
      <w:tr>
        <w:trPr>
          <w:trHeight w:val="230"/>
        </w:trPr>
        <w:tc>
          <w:tcPr>
            <w:tcW w:w="600" w:type="dxa"/>
            <w:vAlign w:val="bottom"/>
            <w:tcBorders>
              <w:left w:val="single" w:sz="8" w:color="auto"/>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4460" w:type="dxa"/>
            <w:vAlign w:val="bottom"/>
            <w:tcBorders>
              <w:right w:val="single" w:sz="8" w:color="auto"/>
            </w:tcBorders>
          </w:tcPr>
          <w:p>
            <w:pPr>
              <w:spacing w:after="0"/>
              <w:rPr>
                <w:sz w:val="19"/>
                <w:szCs w:val="19"/>
                <w:color w:val="auto"/>
              </w:rPr>
            </w:pP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ISIN Code: GB00BYW2KH80</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Nature of the transaction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Issue of options over Ordinary Shares</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49"/>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Price(s) and volume(s)</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Price(s) : Exercise Price: £4.64</w:t>
            </w: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c>
          <w:tcPr>
            <w:tcW w:w="58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Volume(s) : Options over 70,000 ADSs (representing 560,000 Ordinary</w:t>
            </w: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Shares)</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49"/>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Aggregated information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 (single transaction)</w:t>
            </w: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5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44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Aggregated volume</w:t>
            </w:r>
          </w:p>
        </w:tc>
        <w:tc>
          <w:tcPr>
            <w:tcW w:w="5800" w:type="dxa"/>
            <w:vAlign w:val="bottom"/>
            <w:tcBorders>
              <w:right w:val="single" w:sz="8" w:color="auto"/>
            </w:tcBorders>
          </w:tcPr>
          <w:p>
            <w:pPr>
              <w:spacing w:after="0"/>
              <w:rPr>
                <w:sz w:val="17"/>
                <w:szCs w:val="17"/>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5800" w:type="dxa"/>
            <w:vAlign w:val="bottom"/>
            <w:tcBorders>
              <w:right w:val="single" w:sz="8" w:color="auto"/>
            </w:tcBorders>
          </w:tcPr>
          <w:p>
            <w:pPr>
              <w:spacing w:after="0"/>
              <w:rPr>
                <w:sz w:val="18"/>
                <w:szCs w:val="18"/>
                <w:color w:val="auto"/>
              </w:rPr>
            </w:pP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Date of the transaction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 April 2019</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Place of the transaction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NASDAQ</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27"/>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w:t>
            </w:r>
          </w:p>
        </w:tc>
        <w:tc>
          <w:tcPr>
            <w:tcW w:w="108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Details of the transaction(s): section to be repeated for (i) each type of instrument; (ii) each type of transaction; (iii) each</w:t>
            </w:r>
          </w:p>
        </w:tc>
      </w:tr>
      <w:tr>
        <w:trPr>
          <w:trHeight w:val="239"/>
        </w:trPr>
        <w:tc>
          <w:tcPr>
            <w:tcW w:w="600" w:type="dxa"/>
            <w:vAlign w:val="bottom"/>
            <w:tcBorders>
              <w:left w:val="single" w:sz="8" w:color="auto"/>
              <w:right w:val="single" w:sz="8" w:color="auto"/>
            </w:tcBorders>
          </w:tcPr>
          <w:p>
            <w:pPr>
              <w:spacing w:after="0"/>
              <w:rPr>
                <w:sz w:val="20"/>
                <w:szCs w:val="20"/>
                <w:color w:val="auto"/>
              </w:rPr>
            </w:pPr>
          </w:p>
        </w:tc>
        <w:tc>
          <w:tcPr>
            <w:tcW w:w="108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date; and (iv) each place where transactions have been conducted</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49"/>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Description of the financial instrument, type of instrument</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ADSs</w:t>
            </w: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Identification code</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ISIN Code: US9250501064</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22"/>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Nature of the transaction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Grant of RSUs, each of which represents an unfunded, unsecured right</w:t>
            </w: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c>
          <w:tcPr>
            <w:tcW w:w="58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to receive, on the applicable settlement date, one Ordinary Share or an</w:t>
            </w:r>
          </w:p>
        </w:tc>
      </w:tr>
      <w:tr>
        <w:trPr>
          <w:trHeight w:val="224"/>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460" w:type="dxa"/>
            <w:vAlign w:val="bottom"/>
            <w:tcBorders>
              <w:bottom w:val="single" w:sz="8" w:color="auto"/>
              <w:right w:val="single" w:sz="8" w:color="auto"/>
            </w:tcBorders>
          </w:tcPr>
          <w:p>
            <w:pPr>
              <w:spacing w:after="0"/>
              <w:rPr>
                <w:sz w:val="19"/>
                <w:szCs w:val="19"/>
                <w:color w:val="auto"/>
              </w:rPr>
            </w:pPr>
          </w:p>
        </w:tc>
        <w:tc>
          <w:tcPr>
            <w:tcW w:w="5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amount in cash or other consideration</w:t>
            </w:r>
          </w:p>
        </w:tc>
      </w:tr>
      <w:tr>
        <w:trPr>
          <w:trHeight w:val="256"/>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Price(s) and volume(s)</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Price(s) : No consideration</w:t>
            </w: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Volume(s) : 15,000 (representing 120,000 Ordinary Shares)</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49"/>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Aggregated information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 (single transaction)</w:t>
            </w: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5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44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Aggregated volume</w:t>
            </w:r>
          </w:p>
        </w:tc>
        <w:tc>
          <w:tcPr>
            <w:tcW w:w="5800" w:type="dxa"/>
            <w:vAlign w:val="bottom"/>
            <w:tcBorders>
              <w:right w:val="single" w:sz="8" w:color="auto"/>
            </w:tcBorders>
          </w:tcPr>
          <w:p>
            <w:pPr>
              <w:spacing w:after="0"/>
              <w:rPr>
                <w:sz w:val="17"/>
                <w:szCs w:val="17"/>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5800" w:type="dxa"/>
            <w:vAlign w:val="bottom"/>
            <w:tcBorders>
              <w:right w:val="single" w:sz="8" w:color="auto"/>
            </w:tcBorders>
          </w:tcPr>
          <w:p>
            <w:pPr>
              <w:spacing w:after="0"/>
              <w:rPr>
                <w:sz w:val="18"/>
                <w:szCs w:val="18"/>
                <w:color w:val="auto"/>
              </w:rPr>
            </w:pP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Date of the transaction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 April 2019</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Place of the transaction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NASDAQ</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60" w:type="dxa"/>
            <w:vAlign w:val="bottom"/>
            <w:tcBorders>
              <w:bottom w:val="single" w:sz="8" w:color="auto"/>
              <w:right w:val="single" w:sz="8" w:color="auto"/>
            </w:tcBorders>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bl>
    <w:p>
      <w:pPr>
        <w:sectPr>
          <w:pgSz w:w="11900" w:h="16838" w:orient="portrait"/>
          <w:cols w:equalWidth="0" w:num="1">
            <w:col w:w="11440"/>
          </w:cols>
          <w:pgMar w:left="240" w:top="498" w:right="21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6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1</w:t>
            </w:r>
          </w:p>
        </w:tc>
        <w:tc>
          <w:tcPr>
            <w:tcW w:w="10840" w:type="dxa"/>
            <w:vAlign w:val="bottom"/>
            <w:tcBorders>
              <w:top w:val="single" w:sz="8" w:color="auto"/>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Details of the person discharging managerial responsibilities/person closely associated</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60" w:type="dxa"/>
            <w:vAlign w:val="bottom"/>
            <w:tcBorders>
              <w:bottom w:val="single" w:sz="8" w:color="auto"/>
            </w:tcBorders>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80" w:type="dxa"/>
            <w:vAlign w:val="bottom"/>
          </w:tcPr>
          <w:p>
            <w:pPr>
              <w:ind w:left="80"/>
              <w:spacing w:after="0"/>
              <w:rPr>
                <w:sz w:val="20"/>
                <w:szCs w:val="20"/>
                <w:color w:val="auto"/>
              </w:rPr>
            </w:pPr>
            <w:r>
              <w:rPr>
                <w:rFonts w:ascii="Arial" w:cs="Arial" w:eastAsia="Arial" w:hAnsi="Arial"/>
                <w:sz w:val="18"/>
                <w:szCs w:val="18"/>
                <w:color w:val="auto"/>
                <w:w w:val="99"/>
              </w:rPr>
              <w:t>Name</w:t>
            </w:r>
          </w:p>
        </w:tc>
        <w:tc>
          <w:tcPr>
            <w:tcW w:w="4460" w:type="dxa"/>
            <w:vAlign w:val="bottom"/>
            <w:tcBorders>
              <w:right w:val="single" w:sz="8" w:color="auto"/>
            </w:tcBorders>
          </w:tcPr>
          <w:p>
            <w:pPr>
              <w:spacing w:after="0"/>
              <w:rPr>
                <w:sz w:val="22"/>
                <w:szCs w:val="22"/>
                <w:color w:val="auto"/>
              </w:rPr>
            </w:pP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Claire Poll</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37"/>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2</w:t>
            </w:r>
          </w:p>
        </w:tc>
        <w:tc>
          <w:tcPr>
            <w:tcW w:w="5040" w:type="dxa"/>
            <w:vAlign w:val="bottom"/>
            <w:gridSpan w:val="2"/>
          </w:tcPr>
          <w:p>
            <w:pPr>
              <w:ind w:left="80"/>
              <w:spacing w:after="0"/>
              <w:rPr>
                <w:sz w:val="20"/>
                <w:szCs w:val="20"/>
                <w:color w:val="auto"/>
              </w:rPr>
            </w:pPr>
            <w:r>
              <w:rPr>
                <w:rFonts w:ascii="Arial" w:cs="Arial" w:eastAsia="Arial" w:hAnsi="Arial"/>
                <w:sz w:val="18"/>
                <w:szCs w:val="18"/>
                <w:b w:val="1"/>
                <w:bCs w:val="1"/>
                <w:color w:val="auto"/>
              </w:rPr>
              <w:t>Reason for the notification</w:t>
            </w:r>
          </w:p>
        </w:tc>
        <w:tc>
          <w:tcPr>
            <w:tcW w:w="5800" w:type="dxa"/>
            <w:vAlign w:val="bottom"/>
            <w:tcBorders>
              <w:right w:val="single" w:sz="8" w:color="auto"/>
            </w:tcBorders>
          </w:tcPr>
          <w:p>
            <w:pPr>
              <w:spacing w:after="0"/>
              <w:rPr>
                <w:sz w:val="20"/>
                <w:szCs w:val="20"/>
                <w:color w:val="auto"/>
              </w:rPr>
            </w:pP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50"/>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Position/status</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Legal Counsel</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Initial notification/Amendment</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Initial notification</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37"/>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3</w:t>
            </w:r>
          </w:p>
        </w:tc>
        <w:tc>
          <w:tcPr>
            <w:tcW w:w="108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Details of the issuer, emission allowance market participant, auction platform, auctioneer or auction monitor</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60" w:type="dxa"/>
            <w:vAlign w:val="bottom"/>
            <w:tcBorders>
              <w:bottom w:val="single" w:sz="8" w:color="auto"/>
            </w:tcBorders>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37"/>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80" w:type="dxa"/>
            <w:vAlign w:val="bottom"/>
          </w:tcPr>
          <w:p>
            <w:pPr>
              <w:ind w:left="80"/>
              <w:spacing w:after="0"/>
              <w:rPr>
                <w:sz w:val="20"/>
                <w:szCs w:val="20"/>
                <w:color w:val="auto"/>
              </w:rPr>
            </w:pPr>
            <w:r>
              <w:rPr>
                <w:rFonts w:ascii="Arial" w:cs="Arial" w:eastAsia="Arial" w:hAnsi="Arial"/>
                <w:sz w:val="18"/>
                <w:szCs w:val="18"/>
                <w:color w:val="auto"/>
                <w:w w:val="99"/>
              </w:rPr>
              <w:t>Name</w:t>
            </w:r>
          </w:p>
        </w:tc>
        <w:tc>
          <w:tcPr>
            <w:tcW w:w="4460" w:type="dxa"/>
            <w:vAlign w:val="bottom"/>
            <w:tcBorders>
              <w:right w:val="single" w:sz="8" w:color="auto"/>
            </w:tcBorders>
          </w:tcPr>
          <w:p>
            <w:pPr>
              <w:spacing w:after="0"/>
              <w:rPr>
                <w:sz w:val="20"/>
                <w:szCs w:val="20"/>
                <w:color w:val="auto"/>
              </w:rPr>
            </w:pP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Verona Pharma plc</w:t>
            </w:r>
          </w:p>
        </w:tc>
      </w:tr>
      <w:tr>
        <w:trPr>
          <w:trHeight w:val="230"/>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460" w:type="dxa"/>
            <w:vAlign w:val="bottom"/>
            <w:tcBorders>
              <w:bottom w:val="single" w:sz="8" w:color="auto"/>
              <w:right w:val="single" w:sz="8" w:color="auto"/>
            </w:tcBorders>
          </w:tcPr>
          <w:p>
            <w:pPr>
              <w:spacing w:after="0"/>
              <w:rPr>
                <w:sz w:val="19"/>
                <w:szCs w:val="19"/>
                <w:color w:val="auto"/>
              </w:rPr>
            </w:pPr>
          </w:p>
        </w:tc>
        <w:tc>
          <w:tcPr>
            <w:tcW w:w="5800" w:type="dxa"/>
            <w:vAlign w:val="bottom"/>
            <w:tcBorders>
              <w:bottom w:val="single" w:sz="8" w:color="auto"/>
              <w:right w:val="single" w:sz="8" w:color="auto"/>
            </w:tcBorders>
          </w:tcPr>
          <w:p>
            <w:pPr>
              <w:spacing w:after="0"/>
              <w:rPr>
                <w:sz w:val="19"/>
                <w:szCs w:val="19"/>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580" w:type="dxa"/>
            <w:vAlign w:val="bottom"/>
          </w:tcPr>
          <w:p>
            <w:pPr>
              <w:ind w:left="80"/>
              <w:spacing w:after="0"/>
              <w:rPr>
                <w:sz w:val="20"/>
                <w:szCs w:val="20"/>
                <w:color w:val="auto"/>
              </w:rPr>
            </w:pPr>
            <w:r>
              <w:rPr>
                <w:rFonts w:ascii="Arial" w:cs="Arial" w:eastAsia="Arial" w:hAnsi="Arial"/>
                <w:sz w:val="18"/>
                <w:szCs w:val="18"/>
                <w:color w:val="auto"/>
              </w:rPr>
              <w:t>LEI</w:t>
            </w:r>
          </w:p>
        </w:tc>
        <w:tc>
          <w:tcPr>
            <w:tcW w:w="4460" w:type="dxa"/>
            <w:vAlign w:val="bottom"/>
            <w:tcBorders>
              <w:right w:val="single" w:sz="8" w:color="auto"/>
            </w:tcBorders>
          </w:tcPr>
          <w:p>
            <w:pPr>
              <w:spacing w:after="0"/>
              <w:rPr>
                <w:sz w:val="22"/>
                <w:szCs w:val="22"/>
                <w:color w:val="auto"/>
              </w:rPr>
            </w:pP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213800EVI6O6J3TIAL06</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27"/>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4</w:t>
            </w:r>
          </w:p>
        </w:tc>
        <w:tc>
          <w:tcPr>
            <w:tcW w:w="108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Details of the transaction(s): section to be repeated for (i) each type of instrument; (ii) each type of transaction; (iii) each</w:t>
            </w:r>
          </w:p>
        </w:tc>
      </w:tr>
      <w:tr>
        <w:trPr>
          <w:trHeight w:val="239"/>
        </w:trPr>
        <w:tc>
          <w:tcPr>
            <w:tcW w:w="600" w:type="dxa"/>
            <w:vAlign w:val="bottom"/>
            <w:tcBorders>
              <w:left w:val="single" w:sz="8" w:color="auto"/>
              <w:right w:val="single" w:sz="8" w:color="auto"/>
            </w:tcBorders>
          </w:tcPr>
          <w:p>
            <w:pPr>
              <w:spacing w:after="0"/>
              <w:rPr>
                <w:sz w:val="20"/>
                <w:szCs w:val="20"/>
                <w:color w:val="auto"/>
              </w:rPr>
            </w:pPr>
          </w:p>
        </w:tc>
        <w:tc>
          <w:tcPr>
            <w:tcW w:w="108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date; and (iv) each place where transactions have been conducted</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49"/>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Description of the financial instrument, type of instrument</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Ordinary Shares of 5 pence each</w:t>
            </w: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Identification code</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ISIN Code: GB00BYW2KH80</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Nature of the transaction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Issue of options over Ordinary Shares</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49"/>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Price(s) and volume(s)</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Price(s) : Exercise Price: £0.58</w:t>
            </w: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Volume(s) : Options over 256,735 Ordinary Shares</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49"/>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Aggregated information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 (single transaction)</w:t>
            </w: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5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44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Aggregated volume</w:t>
            </w:r>
          </w:p>
        </w:tc>
        <w:tc>
          <w:tcPr>
            <w:tcW w:w="5800" w:type="dxa"/>
            <w:vAlign w:val="bottom"/>
            <w:tcBorders>
              <w:right w:val="single" w:sz="8" w:color="auto"/>
            </w:tcBorders>
          </w:tcPr>
          <w:p>
            <w:pPr>
              <w:spacing w:after="0"/>
              <w:rPr>
                <w:sz w:val="17"/>
                <w:szCs w:val="17"/>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5800" w:type="dxa"/>
            <w:vAlign w:val="bottom"/>
            <w:tcBorders>
              <w:right w:val="single" w:sz="8" w:color="auto"/>
            </w:tcBorders>
          </w:tcPr>
          <w:p>
            <w:pPr>
              <w:spacing w:after="0"/>
              <w:rPr>
                <w:sz w:val="18"/>
                <w:szCs w:val="18"/>
                <w:color w:val="auto"/>
              </w:rPr>
            </w:pP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Date of the transaction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 April 2019</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Place of the transaction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London Stock Exchange, AIM</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27"/>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w:t>
            </w:r>
          </w:p>
        </w:tc>
        <w:tc>
          <w:tcPr>
            <w:tcW w:w="108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Details of the transaction(s): section to be repeated for (i) each type of instrument; (ii) each type of transaction; (iii) each</w:t>
            </w:r>
          </w:p>
        </w:tc>
      </w:tr>
      <w:tr>
        <w:trPr>
          <w:trHeight w:val="239"/>
        </w:trPr>
        <w:tc>
          <w:tcPr>
            <w:tcW w:w="600" w:type="dxa"/>
            <w:vAlign w:val="bottom"/>
            <w:tcBorders>
              <w:left w:val="single" w:sz="8" w:color="auto"/>
              <w:right w:val="single" w:sz="8" w:color="auto"/>
            </w:tcBorders>
          </w:tcPr>
          <w:p>
            <w:pPr>
              <w:spacing w:after="0"/>
              <w:rPr>
                <w:sz w:val="20"/>
                <w:szCs w:val="20"/>
                <w:color w:val="auto"/>
              </w:rPr>
            </w:pPr>
          </w:p>
        </w:tc>
        <w:tc>
          <w:tcPr>
            <w:tcW w:w="108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date; and (iv) each place where transactions have been conducted</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49"/>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Description of the financial instrument, type of instrument</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Ordinary Shares of 5 pence each</w:t>
            </w: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Identification code</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ISIN Code: GB00BYW2KH80</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22"/>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Nature of the transaction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Grant of RSUs, each of which represents an unfunded, unsecured right</w:t>
            </w: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c>
          <w:tcPr>
            <w:tcW w:w="58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to receive, on the applicable settlement date, one Ordinary Share or an</w:t>
            </w:r>
          </w:p>
        </w:tc>
      </w:tr>
      <w:tr>
        <w:trPr>
          <w:trHeight w:val="224"/>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460" w:type="dxa"/>
            <w:vAlign w:val="bottom"/>
            <w:tcBorders>
              <w:bottom w:val="single" w:sz="8" w:color="auto"/>
              <w:right w:val="single" w:sz="8" w:color="auto"/>
            </w:tcBorders>
          </w:tcPr>
          <w:p>
            <w:pPr>
              <w:spacing w:after="0"/>
              <w:rPr>
                <w:sz w:val="19"/>
                <w:szCs w:val="19"/>
                <w:color w:val="auto"/>
              </w:rPr>
            </w:pPr>
          </w:p>
        </w:tc>
        <w:tc>
          <w:tcPr>
            <w:tcW w:w="5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amount in cash or other consideration</w:t>
            </w:r>
          </w:p>
        </w:tc>
      </w:tr>
      <w:tr>
        <w:trPr>
          <w:trHeight w:val="256"/>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Price(s) and volume(s)</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Price(s) : No consideration</w:t>
            </w: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Volume(s) : 66,603</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49"/>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Aggregated information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 (single transaction)</w:t>
            </w: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5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44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Aggregated volume</w:t>
            </w:r>
          </w:p>
        </w:tc>
        <w:tc>
          <w:tcPr>
            <w:tcW w:w="5800" w:type="dxa"/>
            <w:vAlign w:val="bottom"/>
            <w:tcBorders>
              <w:right w:val="single" w:sz="8" w:color="auto"/>
            </w:tcBorders>
          </w:tcPr>
          <w:p>
            <w:pPr>
              <w:spacing w:after="0"/>
              <w:rPr>
                <w:sz w:val="17"/>
                <w:szCs w:val="17"/>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5800" w:type="dxa"/>
            <w:vAlign w:val="bottom"/>
            <w:tcBorders>
              <w:right w:val="single" w:sz="8" w:color="auto"/>
            </w:tcBorders>
          </w:tcPr>
          <w:p>
            <w:pPr>
              <w:spacing w:after="0"/>
              <w:rPr>
                <w:sz w:val="18"/>
                <w:szCs w:val="18"/>
                <w:color w:val="auto"/>
              </w:rPr>
            </w:pP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Date of the transaction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 April 2019</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040" w:type="dxa"/>
            <w:vAlign w:val="bottom"/>
            <w:tcBorders>
              <w:bottom w:val="single" w:sz="8" w:color="auto"/>
              <w:right w:val="single" w:sz="8" w:color="auto"/>
            </w:tcBorders>
            <w:gridSpan w:val="2"/>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26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w:t>
            </w:r>
          </w:p>
        </w:tc>
        <w:tc>
          <w:tcPr>
            <w:tcW w:w="50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Place of the transaction</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London Stock Exchange, AIM</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60" w:type="dxa"/>
            <w:vAlign w:val="bottom"/>
            <w:tcBorders>
              <w:bottom w:val="single" w:sz="8" w:color="auto"/>
              <w:right w:val="single" w:sz="8" w:color="auto"/>
            </w:tcBorders>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bl>
    <w:p>
      <w:pPr>
        <w:sectPr>
          <w:pgSz w:w="11900" w:h="16838" w:orient="portrait"/>
          <w:cols w:equalWidth="0" w:num="1">
            <w:col w:w="11440"/>
          </w:cols>
          <w:pgMar w:left="240" w:top="498" w:right="21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240" w:type="dxa"/>
            <w:vAlign w:val="bottom"/>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5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594"/>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Verona Pharma plc</w:t>
            </w:r>
          </w:p>
        </w:tc>
        <w:tc>
          <w:tcPr>
            <w:tcW w:w="1500" w:type="dxa"/>
            <w:vAlign w:val="bottom"/>
          </w:tcPr>
          <w:p>
            <w:pPr>
              <w:ind w:left="840"/>
              <w:spacing w:after="0"/>
              <w:rPr>
                <w:sz w:val="20"/>
                <w:szCs w:val="20"/>
                <w:color w:val="auto"/>
              </w:rPr>
            </w:pPr>
            <w:r>
              <w:rPr>
                <w:rFonts w:ascii="Arial" w:cs="Arial" w:eastAsia="Arial" w:hAnsi="Arial"/>
                <w:sz w:val="18"/>
                <w:szCs w:val="18"/>
                <w:color w:val="auto"/>
                <w:w w:val="97"/>
              </w:rPr>
              <w:t>Tel: +44</w:t>
            </w:r>
          </w:p>
        </w:tc>
        <w:tc>
          <w:tcPr>
            <w:tcW w:w="1400" w:type="dxa"/>
            <w:vAlign w:val="bottom"/>
          </w:tcPr>
          <w:p>
            <w:pPr>
              <w:ind w:left="40"/>
              <w:spacing w:after="0"/>
              <w:rPr>
                <w:sz w:val="20"/>
                <w:szCs w:val="20"/>
                <w:color w:val="auto"/>
              </w:rPr>
            </w:pPr>
            <w:r>
              <w:rPr>
                <w:rFonts w:ascii="Arial" w:cs="Arial" w:eastAsia="Arial" w:hAnsi="Arial"/>
                <w:sz w:val="18"/>
                <w:szCs w:val="18"/>
                <w:color w:val="auto"/>
              </w:rPr>
              <w:t>(0)20 3283 4200</w:t>
            </w:r>
          </w:p>
        </w:tc>
      </w:tr>
      <w:tr>
        <w:trPr>
          <w:trHeight w:val="257"/>
        </w:trPr>
        <w:tc>
          <w:tcPr>
            <w:tcW w:w="5240" w:type="dxa"/>
            <w:vAlign w:val="bottom"/>
          </w:tcPr>
          <w:p>
            <w:pPr>
              <w:ind w:left="40"/>
              <w:spacing w:after="0"/>
              <w:rPr>
                <w:sz w:val="20"/>
                <w:szCs w:val="20"/>
                <w:color w:val="auto"/>
              </w:rPr>
            </w:pPr>
            <w:r>
              <w:rPr>
                <w:rFonts w:ascii="Arial" w:cs="Arial" w:eastAsia="Arial" w:hAnsi="Arial"/>
                <w:sz w:val="18"/>
                <w:szCs w:val="18"/>
                <w:color w:val="auto"/>
              </w:rPr>
              <w:t>Jan-Anders Karlsson, Chief Executive Officer</w:t>
            </w:r>
          </w:p>
        </w:tc>
        <w:tc>
          <w:tcPr>
            <w:tcW w:w="2900" w:type="dxa"/>
            <w:vAlign w:val="bottom"/>
            <w:gridSpan w:val="2"/>
          </w:tcPr>
          <w:p>
            <w:pPr>
              <w:ind w:left="840"/>
              <w:spacing w:after="0"/>
              <w:rPr>
                <w:sz w:val="20"/>
                <w:szCs w:val="20"/>
                <w:color w:val="auto"/>
              </w:rPr>
            </w:pPr>
            <w:r>
              <w:rPr>
                <w:rFonts w:ascii="Arial" w:cs="Arial" w:eastAsia="Arial" w:hAnsi="Arial"/>
                <w:sz w:val="18"/>
                <w:szCs w:val="18"/>
                <w:color w:val="auto"/>
              </w:rPr>
              <w:t>info@veronapharma.com</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Victoria Stewart, Director of Communications</w:t>
            </w: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20"/>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Stifel Nicolaus Europe Limited (Nominated Adviser</w:t>
            </w:r>
          </w:p>
        </w:tc>
        <w:tc>
          <w:tcPr>
            <w:tcW w:w="15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9"/>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and UK Broker)</w:t>
            </w:r>
          </w:p>
        </w:tc>
        <w:tc>
          <w:tcPr>
            <w:tcW w:w="1500" w:type="dxa"/>
            <w:vAlign w:val="bottom"/>
          </w:tcPr>
          <w:p>
            <w:pPr>
              <w:ind w:left="840"/>
              <w:spacing w:after="0"/>
              <w:rPr>
                <w:sz w:val="20"/>
                <w:szCs w:val="20"/>
                <w:color w:val="auto"/>
              </w:rPr>
            </w:pPr>
            <w:r>
              <w:rPr>
                <w:rFonts w:ascii="Arial" w:cs="Arial" w:eastAsia="Arial" w:hAnsi="Arial"/>
                <w:sz w:val="18"/>
                <w:szCs w:val="18"/>
                <w:color w:val="auto"/>
                <w:w w:val="97"/>
              </w:rPr>
              <w:t>Tel: +44</w:t>
            </w:r>
          </w:p>
        </w:tc>
        <w:tc>
          <w:tcPr>
            <w:tcW w:w="1400" w:type="dxa"/>
            <w:vAlign w:val="bottom"/>
          </w:tcPr>
          <w:p>
            <w:pPr>
              <w:ind w:left="40"/>
              <w:spacing w:after="0"/>
              <w:rPr>
                <w:sz w:val="20"/>
                <w:szCs w:val="20"/>
                <w:color w:val="auto"/>
              </w:rPr>
            </w:pPr>
            <w:r>
              <w:rPr>
                <w:rFonts w:ascii="Arial" w:cs="Arial" w:eastAsia="Arial" w:hAnsi="Arial"/>
                <w:sz w:val="18"/>
                <w:szCs w:val="18"/>
                <w:color w:val="auto"/>
                <w:w w:val="97"/>
              </w:rPr>
              <w:t>(0) 20 7710 7600</w:t>
            </w:r>
          </w:p>
        </w:tc>
      </w:tr>
    </w:tbl>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Stewart Wallace / Jonathan Senior / Ben Maddison</w:t>
      </w:r>
    </w:p>
    <w:sectPr>
      <w:pgSz w:w="11900" w:h="16838" w:orient="portrait"/>
      <w:cols w:equalWidth="0" w:num="1">
        <w:col w:w="10219"/>
      </w:cols>
      <w:pgMar w:left="240" w:top="5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2019-12-03T13:40:36Z</dcterms:created>
  <dcterms:modified xsi:type="dcterms:W3CDTF">2019-12-03T13:40:36Z</dcterms:modified>
</cp:coreProperties>
</file>