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ind w:left="50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7" w:lineRule="exact"/>
        <w:rPr>
          <w:sz w:val="24"/>
          <w:szCs w:val="24"/>
          <w:color w:val="auto"/>
        </w:rPr>
      </w:pPr>
    </w:p>
    <w:p>
      <w:pPr>
        <w:jc w:val="center"/>
        <w:ind w:left="1720" w:right="158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August 2018</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August 7, 2018, Verona Pharma plc issued its interim results for the six months ended June 30, 2018 (the “Interim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Interim Results are furnished herewith as Exhibit 1 to this Report on Form 6-K.</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Condensed Consolidated Interim Statement of Financial Position, Condensed Consolidated Interim Statement of Comprehensive Income, Condensed Consolidated Interim Statement of Cash Flows, and Condensed Consolidated Interim Statement of Changes in Equity and the notes thereto in Exhibit 1 are hereby incorporated by reference into the Company's Registration Statement on Form F-3 (333-225107).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20"/>
          </w:cols>
          <w:pgMar w:left="24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820"/>
        <w:spacing w:after="0"/>
        <w:rPr>
          <w:sz w:val="20"/>
          <w:szCs w:val="20"/>
          <w:color w:val="auto"/>
        </w:rPr>
      </w:pPr>
      <w:r>
        <w:rPr>
          <w:rFonts w:ascii="Arial" w:cs="Arial" w:eastAsia="Arial" w:hAnsi="Arial"/>
          <w:sz w:val="17"/>
          <w:szCs w:val="17"/>
          <w:color w:val="auto"/>
        </w:rPr>
        <w:t>Exhibit</w:t>
      </w:r>
    </w:p>
    <w:p>
      <w:pPr>
        <w:spacing w:after="0" w:line="7" w:lineRule="exact"/>
        <w:rPr>
          <w:sz w:val="20"/>
          <w:szCs w:val="20"/>
          <w:color w:val="auto"/>
        </w:rPr>
      </w:pPr>
    </w:p>
    <w:p>
      <w:pPr>
        <w:jc w:val="center"/>
        <w:ind w:right="282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23495</wp:posOffset>
            </wp:positionV>
            <wp:extent cx="1209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22225</wp:posOffset>
            </wp:positionV>
            <wp:extent cx="5351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5000"/>
          </w:cols>
          <w:pgMar w:left="240" w:top="576" w:right="339" w:bottom="1440" w:gutter="0" w:footer="0" w:header="0"/>
          <w:type w:val="continuous"/>
        </w:sectPr>
      </w:pPr>
    </w:p>
    <w:p>
      <w:pPr>
        <w:spacing w:after="0" w:line="50" w:lineRule="exact"/>
        <w:rPr>
          <w:sz w:val="20"/>
          <w:szCs w:val="20"/>
          <w:color w:val="auto"/>
        </w:rPr>
      </w:pPr>
    </w:p>
    <w:p>
      <w:pPr>
        <w:ind w:left="2580" w:hanging="1238"/>
        <w:spacing w:after="0"/>
        <w:tabs>
          <w:tab w:leader="none" w:pos="2580" w:val="left"/>
        </w:tabs>
        <w:numPr>
          <w:ilvl w:val="0"/>
          <w:numId w:val="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Verona Pharma plc Interim Results for the six months ended June 30, 2018.</w:t>
      </w:r>
    </w:p>
    <w:p>
      <w:pPr>
        <w:sectPr>
          <w:pgSz w:w="11900" w:h="16838" w:orient="portrait"/>
          <w:cols w:equalWidth="0" w:num="1">
            <w:col w:w="11320"/>
          </w:cols>
          <w:pgMar w:left="240" w:top="576" w:right="339" w:bottom="1440" w:gutter="0" w:footer="0" w:header="0"/>
          <w:type w:val="continuous"/>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2540" w:type="dxa"/>
            <w:vAlign w:val="bottom"/>
          </w:tcPr>
          <w:p>
            <w:pPr>
              <w:spacing w:after="0"/>
              <w:rPr>
                <w:sz w:val="20"/>
                <w:szCs w:val="20"/>
                <w:color w:val="auto"/>
              </w:rPr>
            </w:pPr>
          </w:p>
        </w:tc>
        <w:tc>
          <w:tcPr>
            <w:tcW w:w="3320" w:type="dxa"/>
            <w:vAlign w:val="bottom"/>
            <w:gridSpan w:val="2"/>
          </w:tcPr>
          <w:p>
            <w:pPr>
              <w:ind w:left="840"/>
              <w:spacing w:after="0"/>
              <w:rPr>
                <w:sz w:val="20"/>
                <w:szCs w:val="20"/>
                <w:color w:val="auto"/>
              </w:rPr>
            </w:pPr>
            <w:r>
              <w:rPr>
                <w:rFonts w:ascii="Arial" w:cs="Arial" w:eastAsia="Arial" w:hAnsi="Arial"/>
                <w:sz w:val="18"/>
                <w:szCs w:val="18"/>
                <w:b w:val="1"/>
                <w:bCs w:val="1"/>
                <w:color w:val="auto"/>
              </w:rPr>
              <w:t>VERONA PHARMA PLC</w:t>
            </w:r>
          </w:p>
        </w:tc>
        <w:tc>
          <w:tcPr>
            <w:tcW w:w="5000" w:type="dxa"/>
            <w:vAlign w:val="bottom"/>
          </w:tcPr>
          <w:p>
            <w:pPr>
              <w:spacing w:after="0"/>
              <w:rPr>
                <w:sz w:val="20"/>
                <w:szCs w:val="20"/>
                <w:color w:val="auto"/>
              </w:rPr>
            </w:pPr>
          </w:p>
        </w:tc>
      </w:tr>
      <w:tr>
        <w:trPr>
          <w:trHeight w:val="547"/>
        </w:trPr>
        <w:tc>
          <w:tcPr>
            <w:tcW w:w="2540" w:type="dxa"/>
            <w:vAlign w:val="bottom"/>
          </w:tcPr>
          <w:p>
            <w:pPr>
              <w:spacing w:after="0"/>
              <w:rPr>
                <w:sz w:val="20"/>
                <w:szCs w:val="20"/>
                <w:color w:val="auto"/>
              </w:rPr>
            </w:pPr>
            <w:r>
              <w:rPr>
                <w:rFonts w:ascii="Arial" w:cs="Arial" w:eastAsia="Arial" w:hAnsi="Arial"/>
                <w:sz w:val="18"/>
                <w:szCs w:val="18"/>
                <w:color w:val="auto"/>
              </w:rPr>
              <w:t>Date: August 7, 2018</w:t>
            </w:r>
          </w:p>
        </w:tc>
        <w:tc>
          <w:tcPr>
            <w:tcW w:w="2140" w:type="dxa"/>
            <w:vAlign w:val="bottom"/>
          </w:tcPr>
          <w:p>
            <w:pPr>
              <w:ind w:left="140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Jan-Anders Karlsson</w:t>
            </w:r>
          </w:p>
        </w:tc>
      </w:tr>
      <w:tr>
        <w:trPr>
          <w:trHeight w:val="243"/>
        </w:trPr>
        <w:tc>
          <w:tcPr>
            <w:tcW w:w="2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Name:</w:t>
            </w:r>
          </w:p>
        </w:tc>
        <w:tc>
          <w:tcPr>
            <w:tcW w:w="5000" w:type="dxa"/>
            <w:vAlign w:val="bottom"/>
          </w:tcPr>
          <w:p>
            <w:pPr>
              <w:ind w:left="460"/>
              <w:spacing w:after="0"/>
              <w:rPr>
                <w:sz w:val="20"/>
                <w:szCs w:val="20"/>
                <w:color w:val="auto"/>
              </w:rPr>
            </w:pPr>
            <w:r>
              <w:rPr>
                <w:rFonts w:ascii="Arial" w:cs="Arial" w:eastAsia="Arial" w:hAnsi="Arial"/>
                <w:sz w:val="18"/>
                <w:szCs w:val="18"/>
                <w:color w:val="auto"/>
              </w:rPr>
              <w:t>Jan-Anders Karlsson, PhD.</w:t>
            </w:r>
          </w:p>
        </w:tc>
      </w:tr>
      <w:tr>
        <w:trPr>
          <w:trHeight w:val="270"/>
        </w:trPr>
        <w:tc>
          <w:tcPr>
            <w:tcW w:w="25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Title:</w:t>
            </w:r>
          </w:p>
        </w:tc>
        <w:tc>
          <w:tcPr>
            <w:tcW w:w="5000" w:type="dxa"/>
            <w:vAlign w:val="bottom"/>
          </w:tcPr>
          <w:p>
            <w:pPr>
              <w:ind w:left="4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160"/>
          </w:cols>
          <w:pgMar w:left="240" w:top="900" w:right="4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517525</wp:posOffset>
            </wp:positionV>
            <wp:extent cx="199834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54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Operational Update and Financial Results for the Three and Six Months Ended June 30, 2018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Significant progress with RPL554 as potential treatment for COPD and CF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Recently initiated important Phase 2 trial as add-on to dual bronchodilator therapy for COPD maintenance treatment</w:t>
      </w:r>
    </w:p>
    <w:p>
      <w:pPr>
        <w:spacing w:after="0" w:line="200" w:lineRule="exact"/>
        <w:rPr>
          <w:sz w:val="20"/>
          <w:szCs w:val="20"/>
          <w:color w:val="auto"/>
        </w:rPr>
      </w:pP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August 7, 2018, London </w:t>
      </w:r>
      <w:r>
        <w:rPr>
          <w:rFonts w:ascii="Arial" w:cs="Arial" w:eastAsia="Arial" w:hAnsi="Arial"/>
          <w:sz w:val="18"/>
          <w:szCs w:val="18"/>
          <w:color w:val="auto"/>
        </w:rPr>
        <w:t>– Verona Pharma plc (AIM: VRP) (Nasdaq: VRNA) (“Verona Pharma”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developing and commercializing innovative therapies for respiratory diseases, announces today an operational update and financial results for the three months and six months ended June 30, 2018.</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product candidate, RPL554, is a first-in-class, inhaled, dual inhibitor of the enzymes phosphodiesterase 3 and 4, or PDE3 and PDE4, that acts as both a bronchodilator and an anti-inflammatory agent in a single compound. Verona Pharma is developing RPL554 for the treatment of chronic obstructive pulmonary disease (“COPD”) and cystic fibrosis (“CF”), and potentially asthma.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the three months ended June 30, 2018, the Company:</w:t>
      </w:r>
    </w:p>
    <w:p>
      <w:pPr>
        <w:spacing w:after="0" w:line="24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two posters at the American Thoracic Society 2018 International Conference: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demonstrated improvement in lung function produced by adding RPL554 to tiotropium;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showed that nebulized inhaled RPL554 is an appropriate form of delivery.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the three months ended March 31, 2018, the Company:</w:t>
      </w:r>
    </w:p>
    <w:p>
      <w:pPr>
        <w:spacing w:after="0" w:line="24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positive top-line data from a Phase 2b four week, 400 patient clinical trial for maintenance treatment of COPD:</w:t>
      </w:r>
    </w:p>
    <w:p>
      <w:pPr>
        <w:spacing w:after="0" w:line="117" w:lineRule="exact"/>
        <w:rPr>
          <w:rFonts w:ascii="Arial" w:cs="Arial" w:eastAsia="Arial" w:hAnsi="Arial"/>
          <w:sz w:val="18"/>
          <w:szCs w:val="18"/>
          <w:color w:val="auto"/>
        </w:rPr>
      </w:pPr>
    </w:p>
    <w:p>
      <w:pPr>
        <w:ind w:left="660" w:hanging="328"/>
        <w:spacing w:after="0" w:line="23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RPL554 met the primary endpoint at all doses, showing a statistically significant difference vs. placebo (p&lt;0.001) with absolute changes from baseline &gt;200mL in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after 4 weeks of dosing.</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peak bronchodilator effect was observed at the first dose and was sustained over four weeks (p&lt;0.001).</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Recording of daily COPD symptoms, using E-RS (EXACT-PRO) demonstrated a significant, clinically relevant, progressive improvement in total COPD symptoms (p&lt;0.002), including improvements in breathlessness (p&lt;0.02), chest symptoms (p&lt;0.02), and cough and sputum (p&lt;0.02).</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trend of improvement in quality of life score, the St. George's Respiratory Questionnaire (SGRQ-C) of &gt;2.5 units was observed in all dose groups after four weeks.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Patients’ Global Impression of Change indicates that patients felt better on RPL554 compared to placebo (p&lt;0.01).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RPL554 was well tolerated at all doses with an adverse event profile similar to placebo.</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positive top-line data from a Phase 2a clinical trial to study pharmacokinetic and pharmacodynamic profile in CF: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PK profile was consistent with that observed in patients with COPD, although with lower peak serum levels of RPL554 in CF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Serum half-life was dose-dependent; 7.5 to 10.1 hours for 1.5 mg and 6 mg, respectively.</w:t>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Post-period end the Company:</w:t>
      </w:r>
    </w:p>
    <w:p>
      <w:pPr>
        <w:spacing w:after="0" w:line="247" w:lineRule="exact"/>
        <w:rPr>
          <w:sz w:val="20"/>
          <w:szCs w:val="20"/>
          <w:color w:val="auto"/>
        </w:rPr>
      </w:pPr>
    </w:p>
    <w:p>
      <w:pPr>
        <w:ind w:left="34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Initiated a Phase 2 trial expected to enroll approximately 75 patients, evaluating RPL554 as an add-on to dual bronchodilator therapy for COPD maintenance treatment: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Randomized, double-blind three-way cross-over study at sites in the US and the UK;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Add-on to an inhaled LAMA/LABA, tiotropium/olodaterol (Stiolto® Respimat®);</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Expected that some patients will continue a stable dose of inhaled corticosteroids (ICS) throughout the study, providing a "triple therapy" background;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Top-line data expected first quarter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5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cash equivalents and short term investments at June 30, 2018, amounted to £68.9 million (December 31, 2017: £80.3 million).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six months ended June 30, 2018, reported operating loss of £11.5 million (six months ended June 30, 2017: £10.9 million) and</w:t>
      </w:r>
    </w:p>
    <w:p>
      <w:pPr>
        <w:spacing w:after="0" w:line="9"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reported loss after tax of £14.6 million (six months ended June 30, 2017: £5.1 million). Operating expenses increased from £10.9 million to £11.5 million due primarily to development activities with RPL554. The increase in loss after tax reflects £6.0 million of finance expense relating to the increase in the fair value of the liability representing the warrants over Verona Pharma shares, a non-cash item. This is as opposed to £5.1 million of finance income in the six months ended June 30, 2017, due to a decrease in the fair value liability of these warrants.</w:t>
      </w:r>
    </w:p>
    <w:p>
      <w:pPr>
        <w:spacing w:after="0" w:line="9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loss per share of 13.9 pence for the six months ended June 30, 2018 (six months ended June 30, 2017: 7.3 pence).</w:t>
      </w:r>
    </w:p>
    <w:p>
      <w:pPr>
        <w:spacing w:after="0" w:line="11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used in operating activities for the six months ended June 30, 2018, of £12.3 million (six months ended June 30, 2017: £8.2 million). The increase in cash used was due to pre-clinical and clinical studies with RPL554 and other working capital movements.</w:t>
      </w:r>
    </w:p>
    <w:p>
      <w:pPr>
        <w:spacing w:after="0" w:line="3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Jan-Anders Karlsson, PhD, CEO of Verona Pharma, commented: "We continue to advance the clinical development of nebulized RPL554 for COPD as exemplified by the data readout from the Phase 2b four week, 400 patient trial in the first quarter and the recent commencement of dosing in our next Phase 2 trial in the US and UK. This new trial will examine the effect of inhaled RPL554 as an add-on to LAMA/LABA therapy, and in some patients as an addition to triple therapy. Many of these COPD patients continue to experience breathing difficulties and daily symptoms that impair their quality of life despite treatment with double and triple therapy. We believe the bronchodilator and anti-inflammatory properties of RPL554 will be particularly useful in this large group of patients with a high unmet medical need, and very limited treatment options. This Phase 2 trial is intended to provide important data to inform the design of pivotal Phase 3 trials with RPL554, expected to commence later next year."</w:t>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will host an investment community conference call at 8:00 a.m. Eastern Daylight Time (1:00 pm British Summer Time) on Tuesday, August 7, 2018. Analysts and investors may participate in the conference call by utilizing the conference ID: 7830929 and dialing the following numbers:</w:t>
      </w:r>
    </w:p>
    <w:p>
      <w:pPr>
        <w:spacing w:after="0" w:line="20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800-458-4121 or 929-477-0324 for callers in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0800 279 7204 or 44 (0)330 336 9411 for callers in the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0800 101 1732 or 49 (0)69 2222 2018 for calls in Germany</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Those interested in listening to the conference call live via the internet may do so by visiting the “Investors” page of Verona Pharma’s website at www.veronapharma.com and clicking on the webcast link. A webcast replay of the conference call [audio] will be available for 30 days by visiting the “Investors” page of Verona Pharma’s website at www.veronapharma.com and clicking on the “Events and presentations” link.</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electronic copy of the interim results will be made available today on the Company’s website (www.veronapharma.com).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inside information for the purposes of Article 7 Regulation (EU) No. 596/201</w:t>
      </w:r>
      <w:r>
        <w:rPr>
          <w:rFonts w:ascii="Arial" w:cs="Arial" w:eastAsia="Arial" w:hAnsi="Arial"/>
          <w:sz w:val="16"/>
          <w:szCs w:val="16"/>
          <w:color w:val="auto"/>
        </w:rPr>
        <w:t>4.</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been observed to result in statistically significant improvements in lung function and clinical symptoms as compared to placebo, and has shown clinically meaningful and statistically significant improvements in lung function when administered in addition to frequently used short- and long-acting bronchodilators as compared to such bronchodilators administered as a single agent. Verona Pharma is developing RPL554 for the treatment of chronic obstructive pulmonary disease (COPD), cystic fibrosis (CF), and potentially asthma.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press release and operational and financial review contain forward-looking statements. All statements contained in this press release and operational and financial review that do not relate to matters of historical fact should be considered forward-looking statements, including, but not limited to, statements regarding the treatment potential for RPL554, the intent of the Phase 2 trial to examine RPL554 as an add-on therapy or as a triple therapy, the enrollment in the Phase 2 trial, the value of RPL554 for patients on double or triple therapy and its attractiveness to such patients, the expectation of continuing ICS dosing in the Phase 2 study of RPL554, the utility of the data from the Phase 2 trial to inform the design of pivotal Phase 3 trials and the timing of commencing such trials, the timing of clinical data, the potential for RPL554 to be the first novel class of bronchodilator in over 40 years and first therapy that acts as a bronchodilator and anti-inflammatory agent, the size and number of COPD patients with uncontrolled COPD, the placement and potential of RPL554 as a safe and effective add-on therapy, the potential for a DPI or pMDI formulation of RPL554 to treat COPD patients who prefer a handheld inhaler device and the number of patients and market opportunity for such formulations, our plans to out-license these formulations to a third party and the development and commercialization resources of such a party, the timing of clinical trials for DPI and pMDI formulations, our plans to develop a DPI or pMDI formulation for the treatment of asthma or other respiratory diseases, and the sufficiency of our funds to progress development of a nebulized RPL554.</w:t>
      </w:r>
    </w:p>
    <w:p>
      <w:pPr>
        <w:sectPr>
          <w:pgSz w:w="11900" w:h="16838" w:orient="portrait"/>
          <w:cols w:equalWidth="0" w:num="1">
            <w:col w:w="11420"/>
          </w:cols>
          <w:pgMar w:left="240" w:top="360" w:right="239" w:bottom="144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18"/>
          <w:szCs w:val="18"/>
          <w:color w:val="auto"/>
        </w:rPr>
        <w:t>All statements contained in this press release that do not relate to matters of historical fact should be considered forward-looking statements.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RPL554, which may not be available and which may force us to delay, reduce or eliminate our development or commercialization efforts; the reliance of our business on the success of RPL554,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RPL554, which could adversely affect our ability to develop or commercialize RPL554; potential delays in enrolling patients, which could adversely affect our research and development efforts; we may not be successful in developing RPL554 for multiple indications; our ability to obtain approval for and commercialize RPL554 in multiple major pharmaceutical markets; misconduct or other improper activities by our employees, consultants, principal investigators, and third-party service providers; the loss of any key personnel and our ability to recruit replacement personnel, material differences between our “top-line” data and final data; our reliance on third parties, including clinical investigators, manufacturers and suppliers, and the risks related to these parties’ ability to successfully develop and commercialize RPL554; and lawsuits related to patents covering RPL554 and the potential for our patents to be found invalid or unenforceable.</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and other important factors under the caption “Risk Factors” in our Annual Report on Form 20-F filed with the Securities and Exchange Commission (“SEC”) on February 27, 2018, and our other reports filed with the SEC, could cause actual results to differ materially from those indicated by the forward-looking statements made in this press release and operational and financial review. Any such forward-looking statements represent management's estimates as of the date of this press release and operational and financial review.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420"/>
          </w:cols>
          <w:pgMar w:left="240" w:top="382"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Verona Pharma plc</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Tel: +44 (0)20 3283 4200</w:t>
      </w:r>
    </w:p>
    <w:p>
      <w:pPr>
        <w:spacing w:after="0" w:line="200" w:lineRule="exact"/>
        <w:rPr>
          <w:sz w:val="20"/>
          <w:szCs w:val="20"/>
          <w:color w:val="auto"/>
        </w:rPr>
      </w:pPr>
    </w:p>
    <w:p>
      <w:pPr>
        <w:sectPr>
          <w:pgSz w:w="11900" w:h="16838" w:orient="portrait"/>
          <w:cols w:equalWidth="0" w:num="2">
            <w:col w:w="5380" w:space="720"/>
            <w:col w:w="5320"/>
          </w:cols>
          <w:pgMar w:left="240" w:top="382"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Jan-Anders Karlsson, Chief Executive Officer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info@veronapharma.com</w:t>
      </w:r>
    </w:p>
    <w:p>
      <w:pPr>
        <w:spacing w:after="0" w:line="200" w:lineRule="exact"/>
        <w:rPr>
          <w:sz w:val="20"/>
          <w:szCs w:val="20"/>
          <w:color w:val="auto"/>
        </w:rPr>
      </w:pPr>
    </w:p>
    <w:p>
      <w:pPr>
        <w:sectPr>
          <w:pgSz w:w="11900" w:h="16838" w:orient="portrait"/>
          <w:cols w:equalWidth="0" w:num="2">
            <w:col w:w="5380" w:space="720"/>
            <w:col w:w="5320"/>
          </w:cols>
          <w:pgMar w:left="240" w:top="382" w:right="2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Stifel Nicolaus Europe Limited (Nominated Adviser and UK Broker)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Tel: +44 (0)20 7710 7600</w:t>
      </w:r>
    </w:p>
    <w:p>
      <w:pPr>
        <w:spacing w:after="0" w:line="169" w:lineRule="exact"/>
        <w:rPr>
          <w:sz w:val="20"/>
          <w:szCs w:val="20"/>
          <w:color w:val="auto"/>
        </w:rPr>
      </w:pPr>
    </w:p>
    <w:p>
      <w:pPr>
        <w:sectPr>
          <w:pgSz w:w="11900" w:h="16838" w:orient="portrait"/>
          <w:cols w:equalWidth="0" w:num="2">
            <w:col w:w="5380" w:space="720"/>
            <w:col w:w="5320"/>
          </w:cols>
          <w:pgMar w:left="240" w:top="38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Stewart Wallace / Jonathan Senior / Ben Maddison</w:t>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ICR, Inc. </w:t>
      </w:r>
      <w:r>
        <w:rPr>
          <w:rFonts w:ascii="Arial" w:cs="Arial" w:eastAsia="Arial" w:hAnsi="Arial"/>
          <w:sz w:val="18"/>
          <w:szCs w:val="18"/>
          <w:color w:val="auto"/>
        </w:rPr>
        <w:t>(US Media and Investor Enquiries)</w:t>
      </w:r>
    </w:p>
    <w:p>
      <w:pPr>
        <w:sectPr>
          <w:pgSz w:w="11900" w:h="16838" w:orient="portrait"/>
          <w:cols w:equalWidth="0" w:num="1">
            <w:col w:w="11420"/>
          </w:cols>
          <w:pgMar w:left="240" w:top="382" w:right="239" w:bottom="1440" w:gutter="0" w:footer="0" w:header="0"/>
          <w:type w:val="continuous"/>
        </w:sectPr>
      </w:pP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James Heins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Tel: +1 203 682 8251</w:t>
      </w:r>
    </w:p>
    <w:p>
      <w:pPr>
        <w:spacing w:after="0" w:line="169" w:lineRule="exact"/>
        <w:rPr>
          <w:sz w:val="20"/>
          <w:szCs w:val="20"/>
          <w:color w:val="auto"/>
        </w:rPr>
      </w:pPr>
    </w:p>
    <w:p>
      <w:pPr>
        <w:sectPr>
          <w:pgSz w:w="11900" w:h="16838" w:orient="portrait"/>
          <w:cols w:equalWidth="0" w:num="2">
            <w:col w:w="5380" w:space="720"/>
            <w:col w:w="5320"/>
          </w:cols>
          <w:pgMar w:left="240" w:top="382" w:right="239" w:bottom="1440" w:gutter="0" w:footer="0" w:header="0"/>
          <w:type w:val="continuous"/>
        </w:sectPr>
      </w:pPr>
    </w:p>
    <w:p>
      <w:pPr>
        <w:ind w:left="6100"/>
        <w:spacing w:after="0"/>
        <w:rPr>
          <w:sz w:val="20"/>
          <w:szCs w:val="20"/>
          <w:color w:val="auto"/>
        </w:rPr>
      </w:pPr>
      <w:r>
        <w:rPr>
          <w:rFonts w:ascii="Arial" w:cs="Arial" w:eastAsia="Arial" w:hAnsi="Arial"/>
          <w:sz w:val="18"/>
          <w:szCs w:val="18"/>
          <w:color w:val="auto"/>
        </w:rPr>
        <w:t>James.Heins@icrinc.com</w:t>
      </w:r>
    </w:p>
    <w:p>
      <w:pPr>
        <w:sectPr>
          <w:pgSz w:w="11900" w:h="16838" w:orient="portrait"/>
          <w:cols w:equalWidth="0" w:num="1">
            <w:col w:w="11420"/>
          </w:cols>
          <w:pgMar w:left="240" w:top="382" w:right="239" w:bottom="1440" w:gutter="0" w:footer="0" w:header="0"/>
          <w:type w:val="continuous"/>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Stephanie Carrington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Tel: +1 646 277 1282</w:t>
      </w:r>
    </w:p>
    <w:p>
      <w:pPr>
        <w:spacing w:after="0" w:line="183" w:lineRule="exact"/>
        <w:rPr>
          <w:sz w:val="20"/>
          <w:szCs w:val="20"/>
          <w:color w:val="auto"/>
        </w:rPr>
      </w:pPr>
    </w:p>
    <w:p>
      <w:pPr>
        <w:sectPr>
          <w:pgSz w:w="11900" w:h="16838" w:orient="portrait"/>
          <w:cols w:equalWidth="0" w:num="2">
            <w:col w:w="5380" w:space="720"/>
            <w:col w:w="5320"/>
          </w:cols>
          <w:pgMar w:left="240" w:top="382" w:right="239" w:bottom="1440" w:gutter="0" w:footer="0" w:header="0"/>
          <w:type w:val="continuous"/>
        </w:sectPr>
      </w:pPr>
    </w:p>
    <w:p>
      <w:pPr>
        <w:ind w:left="6100"/>
        <w:spacing w:after="0"/>
        <w:rPr>
          <w:sz w:val="20"/>
          <w:szCs w:val="20"/>
          <w:color w:val="auto"/>
        </w:rPr>
      </w:pPr>
      <w:r>
        <w:rPr>
          <w:rFonts w:ascii="Arial" w:cs="Arial" w:eastAsia="Arial" w:hAnsi="Arial"/>
          <w:sz w:val="18"/>
          <w:szCs w:val="18"/>
          <w:color w:val="auto"/>
        </w:rPr>
        <w:t>Stephanie.Carrington@icrinc.com</w:t>
      </w:r>
    </w:p>
    <w:p>
      <w:pPr>
        <w:sectPr>
          <w:pgSz w:w="11900" w:h="16838" w:orient="portrait"/>
          <w:cols w:equalWidth="0" w:num="1">
            <w:col w:w="11420"/>
          </w:cols>
          <w:pgMar w:left="240" w:top="382" w:right="239" w:bottom="1440" w:gutter="0" w:footer="0" w:header="0"/>
          <w:type w:val="continuous"/>
        </w:sectPr>
      </w:pP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FTI Consulting </w:t>
      </w:r>
      <w:r>
        <w:rPr>
          <w:rFonts w:ascii="Arial" w:cs="Arial" w:eastAsia="Arial" w:hAnsi="Arial"/>
          <w:sz w:val="17"/>
          <w:szCs w:val="17"/>
          <w:color w:val="auto"/>
        </w:rPr>
        <w:t>(UK Media and Investor Enquiries)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Tel: +44 (0)20 3727 1000</w:t>
      </w:r>
    </w:p>
    <w:p>
      <w:pPr>
        <w:spacing w:after="0" w:line="169" w:lineRule="exact"/>
        <w:rPr>
          <w:sz w:val="20"/>
          <w:szCs w:val="20"/>
          <w:color w:val="auto"/>
        </w:rPr>
      </w:pPr>
    </w:p>
    <w:p>
      <w:pPr>
        <w:sectPr>
          <w:pgSz w:w="11900" w:h="16838" w:orient="portrait"/>
          <w:cols w:equalWidth="0" w:num="2">
            <w:col w:w="5380" w:space="720"/>
            <w:col w:w="5320"/>
          </w:cols>
          <w:pgMar w:left="240" w:top="38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Simon Conway / Natalie Garland-Collins</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7"/>
          <w:szCs w:val="17"/>
          <w:color w:val="auto"/>
        </w:rPr>
        <w:t>veronapharma@fticonsulting.com</w:t>
      </w:r>
    </w:p>
    <w:p>
      <w:pPr>
        <w:sectPr>
          <w:pgSz w:w="11900" w:h="16838" w:orient="portrait"/>
          <w:cols w:equalWidth="0" w:num="2">
            <w:col w:w="5380" w:space="720"/>
            <w:col w:w="5320"/>
          </w:cols>
          <w:pgMar w:left="240" w:top="382"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OPERATIONAL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therapies for the treatment of respiratory diseases with significant unmet medical needs. Our product candidate, RPL554, is a first-in -class, inhaled, dual inhibitor of the enzymes phosphodiesterase 3 and 4, or PDE3 and PDE4, that acts as both a bronchodilator and an anti-inflammatory agent in a single compound. We believe RPL554 has the potential to be the first novel class of bronchodilator in over 40 years, and the first therapy for the treatment of respiratory diseases that acts as both a bronchodilator and anti-inflammatory agent in a single compound.</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completed 12 Phase 1 and Phase 2 clinical trials with RPL554 with over 730 subjects enrolled. In our clinical trials, treatment with RPL554 has been observed to result in statistically significant improvements in lung function as compared to placebo. Statistically significant means that there is a low statistical probability, typically less than 5 per cent, that the observed results occurred by chance alone. Our most recent Phase 2b clinical trial in patients with moderate-to-severe COPD has also shown clinically meaningful and statistically significant improvements in daily reported COPD symptom scores. Our trials have also shown clinically meaningful and statistically significant improvements in lung function when RPL554 is added to commonly used short- and long-acting bronchodilators as compared to such bronchodilators administered as a single agent. RPL554 has also shown anti-inflammatory effects and been well tolerated in our clinical trials to date and has not been observed to result in the gastrointestinal or other side effects commonly associated with roflumilast, the only PDE4 inhibitor currently on the market for the treatment of COPD. We are developing RPL554 for the treatment of patients with COPD and for the treatment of patients with CF.</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Despite treatment with currently approved therapies, many patients with COPD experience daily symptoms impairing their quality of life. Airway obstruction and air trapping due to narrow air passages are major causes of debilitating breathlessness (dyspnoea) reducing physical ability, and causing anxiety and depression. Of the patients treated with dual bronchodilator (LAMA/LABA) and triple therapy (LAMA/LABA/ICS), research suggests that up to 40% (approximately 800,000 patients in the US alone) are uncontrolled, remaining symptomatic and at an increased risk of exacerbations.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RPL554, having demonstrated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and symptoms (which commonly are a precursor to exacerbations) in clinical trials, may be an attractive additional treatment in these patients. Furthermore, in COPD patients novel anti-inflammatory therapies are required, as current treatments such as ICS and PDE4 inhibitors are either effective only in specific subsets of exacerbating COPD patients or are associated with distressing side effects which can reduce treatment compliance. In the US approximately 2.2 million COPD patients are treated with LABA/ICS therapy. We have already demonstrated that RPL554 is a very effective addition to single bronchodilators and we believe it is well placed to potentially meet the need for a safe and effective dual bronchodilator/anti-inflammatory treatment regimen as an add-on to, for example, a LAMA.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performance in the six months ended June 30, 2018</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recently completed 4 week Phase 2b study with nebulized RPL554 in 403 patients demonstrated a rapid onset and sustained bronchodilator effect from the first to the last dose, that was both clinically and statistically meaningful. In addition, the study demonstrated a marked and significant improvement in daily reported COPD symptoms in the E-RS (EXACT-PRO), and in each of the three sub-scores. The improvement in symptoms was already statistically significant after the first week but continued to progress and further improve during the 4 week treatment period. Similar effects were seen with other symptom scores used, for example the SGRQ. All RPL554 doses tested produced comparable improvements in lung function and symptoms, and RPL554 was well tolerated at all doses with an adverse event profile similar to placebo. The Company continues to review its development strategy for RPL554 in the context of additional data to be generated, including from clinical trials and market research, to identify opportunities to enhance the planned development and commercialization of RPL554, which may lead to changes in the planned future clinical development of RPL554. The recently obtained Phase 2b data in the maintenance treatment of COPD with nebulized RPL554 provides a further impetus to accelerate the progression towards Phase 3 studies in this indication.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presented at the American Thoracic Society's International Conference (San Diego, May 2018). The posters disclosed further analysis of the benefit of treating with RPL554 on top of tiotropium and also the suitability of RPL554 for inhaled delivery.</w:t>
      </w:r>
    </w:p>
    <w:p>
      <w:pPr>
        <w:sectPr>
          <w:pgSz w:w="11900" w:h="16838" w:orient="portrait"/>
          <w:cols w:equalWidth="0" w:num="1">
            <w:col w:w="11420"/>
          </w:cols>
          <w:pgMar w:left="240" w:top="360" w:right="239" w:bottom="1440" w:gutter="0" w:footer="0" w:header="0"/>
        </w:sectPr>
      </w:pPr>
    </w:p>
    <w:bookmarkStart w:id="9" w:name="page10"/>
    <w:bookmarkEnd w:id="9"/>
    <w:p>
      <w:pPr>
        <w:jc w:val="both"/>
        <w:spacing w:after="0" w:line="246" w:lineRule="auto"/>
        <w:rPr>
          <w:sz w:val="20"/>
          <w:szCs w:val="20"/>
          <w:color w:val="auto"/>
        </w:rPr>
      </w:pPr>
      <w:r>
        <w:rPr>
          <w:rFonts w:ascii="Arial" w:cs="Arial" w:eastAsia="Arial" w:hAnsi="Arial"/>
          <w:sz w:val="18"/>
          <w:szCs w:val="18"/>
          <w:color w:val="auto"/>
        </w:rPr>
        <w:t>As announced July 30, 2018 we have also initiated a Phase 2 trial evaluating nebulized RPL554 as an add-on to dual bronchodilator therapy for COPD maintenance treatment. Initial data from this trial is expected during the first quarter of 2019. The randomized, double-blind, three-way crossover trial will enroll approximately 75 patients with COPD to investigate the efficacy and safety of nebulized RPL554 as an add-on to an inhaled LAMA/LABA, tiotropium/olodaterol (Stiolto® Respimat®), compared to placebo. Those patients already receiving ICS anti-inflammatory therapy will continue a stable dose of ICS throughout the study, thus providing a “triple therapy” background. Following a 7- to 14-day washout period in advance of dosing and between study arms, patients will receive three days of treatment with each of two dose strengths (1.5 mg or 6.0 mg) of nebulized RPL554 or placebo twice daily. The primary endpoint of this trial is improvement in lung function with RPL554 vs placebo (as add-on to tiotropium/olodaterol), as measured by peak forced expired volume in one second (FEV</w:t>
      </w:r>
      <w:r>
        <w:rPr>
          <w:rFonts w:ascii="Arial" w:cs="Arial" w:eastAsia="Arial" w:hAnsi="Arial"/>
          <w:sz w:val="21"/>
          <w:szCs w:val="21"/>
          <w:color w:val="auto"/>
          <w:vertAlign w:val="subscript"/>
        </w:rPr>
        <w:t>1</w:t>
      </w:r>
      <w:r>
        <w:rPr>
          <w:rFonts w:ascii="Arial" w:cs="Arial" w:eastAsia="Arial" w:hAnsi="Arial"/>
          <w:sz w:val="18"/>
          <w:szCs w:val="18"/>
          <w:color w:val="auto"/>
        </w:rPr>
        <w:t>), a standard measure of exhaled breath volume to evaluate respiratory function.</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Phase 2 trial is intended to provide important data to inform the design of pivotal Phase 3 trials with RPL554, and also to better understand the strategic commercial potential of nebulized RPL554 used in COPD patients with airway obstruction and COPD symptoms already using standard-of-care bronchodilator treatments.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our nebulized formulation of RPL554, we are also developing RPL554 in both dry powder inhaler, (DPI), and pressurized metered dose inhaler, (pMDI), formulations for the maintenance treatment of COPD. We are in the process of selecting a DPI and a pMDI formulation to provide an opportunity to also treat patients with moderate-to-severe COPD that use a handheld inhaler device. Verona estimates that, in the United States, approximately 90% of the 3.7 million mild/moderate COPD patients and 80% of 2.7 million severe/very severe COPD patients use inhalers for maintenance therapy. Successful development of a DPI or pMDI formulation of RPL554 for moderate disease would greatly expand the addressable market for the drug and represents a multi-billion dollar potential opportunity. Development of these new formulations is progressing according to plan. We are completing pre-clinical development and we expect a clinical trial with the DPI formulation to commence in the fourth quarter of 2018, and a clinical trial with the pMDI formulation to follow in the first half of 2019. These inhalation formulations will be available for out-licensing once we establish their clinical profile.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may also explore the development of RPL554 in DPI and/or pMDI formulations for the treatment of asthma and other respiratory diseases.</w:t>
      </w:r>
    </w:p>
    <w:p>
      <w:pPr>
        <w:sectPr>
          <w:pgSz w:w="11900" w:h="16838" w:orient="portrait"/>
          <w:cols w:equalWidth="0" w:num="1">
            <w:col w:w="11420"/>
          </w:cols>
          <w:pgMar w:left="240" w:top="38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OUTLOOK</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We recognize that our proposed strategy for achieving this goal depends on the totality of the data from all clinical trials conducted with RPL554 to date, future interactions with regulatory authorities and our commercial assessment of different development options for RPL554. Key elements of this strategy include:</w:t>
      </w:r>
    </w:p>
    <w:p>
      <w:pPr>
        <w:spacing w:after="0" w:line="204" w:lineRule="exact"/>
        <w:rPr>
          <w:sz w:val="20"/>
          <w:szCs w:val="20"/>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Proceeding rapidly towards Phase 3 clinical trials with nebulized RPL554 for the maintenance treatment of COPD which requires us to focus our financial and other resources on maintenance treatment of COPD with nebulized and inhaled formulations of RPL554 in the short term, which may alter our timing to commence further trials using RPL554 in other indications.</w:t>
      </w:r>
    </w:p>
    <w:p>
      <w:pPr>
        <w:spacing w:after="0" w:line="93"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compelling market opportunities such as patients with COPD that continue to experience daily symptoms impairing their quality of life, despite treatment with currently available medicines. RPL554 is an effective add-on to treatment with single bronchodilators, and we are now examining RPL554 as an add-on also to patients treated with dual bronchodilators. Add-on to first-line and second-line treatments both represent very significant market opportunities.</w:t>
      </w:r>
    </w:p>
    <w:p>
      <w:pPr>
        <w:spacing w:after="0" w:line="96"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further Phase 2 clinical trial to evaluate nebulized RPL554 for the maintenance treatment of severe COPD patients when dosed in addition to LAMA/LABA or triple (LABA/LAMA/ICS) therapy, compared to placebo, which has been initiated. We expect to announce top-line data in the first quarter of 2019.</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treatment of COPD patients who may prefer the more convenient administration of an inhaler device, we are developing RPL554 in inhaler formulations. We expect a clinical trial with the DPI formulation to commence in the fourth quarter of 2018, and a clinical trial with the pMDI formulation to follow in the first half of 2019.</w:t>
      </w:r>
    </w:p>
    <w:p>
      <w:pPr>
        <w:spacing w:after="0" w:line="93"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RPL554 for the treatment of CF. The timing for future studies in this indication is dependent on our decision to move more rapidly towards Phase 3 clinical trials with nebulized RPL554 for the maintenance treatment of COPD.</w:t>
      </w:r>
    </w:p>
    <w:p>
      <w:pPr>
        <w:spacing w:after="0" w:line="88"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Pursue development of RPL554 in other forms of respiratory disease. We believe that RPL554’s properties as an inhaled, dual 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strategic collaborative relationships. We may seek strategic collaborations with market leading biopharmaceutical companies to develop and commercialize RPL554. We believe these collaborations could provide significant funding to advance the development of RPL554 while allowing us to benefit from the development or commercialization expertise of our collaborators.</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product candidates for the treatment of respiratory diseases. We plan to leverage our respiratory disease expertise to identify and in-license or acquire additional clinical stage product candidates that we believe have the potential to become novel treatments for respiratory diseases with significant unmet medical needs.</w:t>
      </w:r>
    </w:p>
    <w:p>
      <w:pPr>
        <w:sectPr>
          <w:pgSz w:w="11900" w:h="16838" w:orient="portrait"/>
          <w:cols w:equalWidth="0" w:num="1">
            <w:col w:w="11420"/>
          </w:cols>
          <w:pgMar w:left="240" w:top="36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FINANCIAL REVIEW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six and three month period ended June 30,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costs were £8.3 million for the six months ended June 30, 2018, compared to £7.9 million for the six months ended June 30, 2017, an increase of £0.4 million. The share-based payment charge increased by £0.6 million and expenditure on manufacturing and related development expense increased by £1.4 million. This was offset by a £0.7 million reduction in pre-clinical development. There was also a £0.9 million reduction in clinical trial costs; there were three ongoing clinical trials during the first half of 2017; in the first half of 2018 the Company incurred patient and close down costs in respect of its Phase 2b trial for COPD maintenance treatment and start-up costs in respect of a trial evaluating RPL554 as an add on to LAMA/LABA maintenance treatment.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costs were £3.2 million for the six months ended June 30, 2018, compared to £3.0 million for the six months ended June 30, 2017, an increase of £0.2 million. The increase was primarily attributable to a £0.5 million increase in our share-based payment charge offset by a decrease in professional fees, relating to the 2017 Global Offering, by £0.3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Finance income was £1.1 million for the six months ended June 30, 2018, and £5.2 million for the six months ended June 30, 2017. The decrease in finance income was primarily due to an increase in the fair value of the warrant liability during the first half of 2018 (which is recorded as a finance expense) compared to a decrease in the liability in the six month period ended June 30, 2017, which resulted in a gain (recorded as finance income) of £ 5.1 million in the comparative period. Furthermore, foreign exchange gains on cash and short term investments in the period resulted in a £0.7 million gain in 2018, recorded in finance income, and a loss in 2017, recorded in finance expense.</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Finance expense was £6.0 million for the six months ended June 30, 2018, compared to £1.0 million for the six months ended June 30, 2017. The movement was due to an increase in the fair value of the warrant liability of £6.0 million, recorded in finance expense, compared to reduction in the value of the liability in the comparable 2017 period (recorded in finance income). In addition, foreign exchange losses on cash and short term investments in the period resulted in a gain recorded in finance income in 2018 and a £0.9 million loss recorded in finance expense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Taxation for the six months ended June 30, 2018, amounted to a credit of £1.8 million compared to a credit of £1.6 million for the six months ended June 30, 2017, a movement of £0.2 million. The credits are obtained at a rate of 14.5% of 230% of our qualifying research and development expenditure and the increase in the credit amount was attributable to our increased expenditure on research and development, compared to the prior period, and a change in the mix of recoverable spend.</w:t>
      </w:r>
    </w:p>
    <w:p>
      <w:pPr>
        <w:sectPr>
          <w:pgSz w:w="11900" w:h="16838" w:orient="portrait"/>
          <w:cols w:equalWidth="0" w:num="1">
            <w:col w:w="11420"/>
          </w:cols>
          <w:pgMar w:left="240" w:top="37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Cash Flows</w:t>
      </w:r>
    </w:p>
    <w:p>
      <w:pPr>
        <w:spacing w:after="0" w:line="24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Net cash used in operating activities increased to £12.3 million for the six months ended June 30, 2018, from £8.2 million for the six months ended June 30, 2017. This increase was caused predominantly by working capital movements driven by the timing of supplier payments.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generated in investing activities was £17.2 million for the six months ended June 30, 2018, and net cash used was £32.1 million for the six months ended June 30, 2017. These movements reflect deposits with maturities of up to three months being classified as cash and deposits with maturities of greater than three months being classified as short term investments. During the first six months of 2017 the Company placed a significant proportion of the proceeds from the Global Offering on deposits that were classified as short term investments. During the first half of 2018, as the Company has continued to incur expenditure on its operations, some of these investments have matured and been placed on shorter term deposits to maintain the Company's liquidity profile.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was no cash received or paid from financing activities for the six months ended June 30, 2018. The £63.5 million received for the six months ended June 30, 2017, represents the cash raised in the Global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cash equivalents and short-term investments at June 30, 2018, decreased to £68.9 million from £80.3 million at December 31, 2017 due to the utilization of cash in ordinary operating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assets decreased to £66.8 million at June 30, 2018, from £79.9 million at December 31, 2017. This decrease was primarily due to the operating activities of the Company and the fair value remeasurement of the warrant liability.</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Three months ended June 30,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three months ended June 30, 2018, was £5.7 million (June 30, 2017: £6.8 million) and the profit after tax for the three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2018, was £0.6 million (June 30, 2017: £3.2 million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costs were £3.9 million for the three months ended June 30, 2018, compared to £4.8 million for the three months ended June 30, 2017, a decrease of £0.9 million. The movement was predominantly attributable to a £1.4 million decrease in clinical trial expenses; there were three ongoing clinical trials during the first quarter of 2017; in the first quarter of 2018 the Company incurred patient and close down costs in respect of its Phase 2b trial for COPD maintenance treatment and start-up costs in respect of a trial evaluating RPL554 as an add on to LAMA/LABA maintenance treatment. Pre-clinical development costs decreased by £0.4 million which was offset by increased spending on contract manufacturing and other formulation development by £0.9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costs were £1.8 million for the three months ended June 30, 2018, as compared to £ 2.0 million for the three months ended June 30, 2017, a decrease of £0.2 million. The decrease was primarily attributable to a £0.2 million decrease in professional fees relating to the Global Offering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Finance income was £5.3 million for the three months ended June 30, 2018, and £3.4 million for the three months ended June 30, 2017. The increase in finance income was predominantly due to foreign exchange movements on cash and cash equivalents and short term investments that led to a £2.1 million gain in 2018 and a loss, recorded in finance expense, in 2017.</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Finance expense was £35 thousand for the three months ended June 30, 2018, as compared to £0.8 million for the three months ended June 30, 2017. The decrease was due to changes in foreign exchange rates resulting in a gain in the current period and a £0.8 million loss in 2017.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4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Taxation for the three months ended June 30, 2018, amounted to a credit of £1.0 million compared to a credit of £1.0 million for the three months ended June 30, 2017.</w:t>
      </w:r>
    </w:p>
    <w:p>
      <w:pPr>
        <w:sectPr>
          <w:pgSz w:w="11900" w:h="16838" w:orient="portrait"/>
          <w:cols w:equalWidth="0" w:num="1">
            <w:col w:w="11420"/>
          </w:cols>
          <w:pgMar w:left="240" w:top="36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FINANCIAL POSITION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2018, AND DECEMBER 31,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240" w:type="dxa"/>
            <w:vAlign w:val="bottom"/>
          </w:tcPr>
          <w:p>
            <w:pPr>
              <w:spacing w:after="0"/>
              <w:rPr>
                <w:sz w:val="17"/>
                <w:szCs w:val="17"/>
                <w:color w:val="auto"/>
              </w:rPr>
            </w:pPr>
          </w:p>
        </w:tc>
        <w:tc>
          <w:tcPr>
            <w:tcW w:w="2580" w:type="dxa"/>
            <w:vAlign w:val="bottom"/>
          </w:tcPr>
          <w:p>
            <w:pPr>
              <w:jc w:val="right"/>
              <w:ind w:right="234"/>
              <w:spacing w:after="0"/>
              <w:rPr>
                <w:sz w:val="20"/>
                <w:szCs w:val="20"/>
                <w:color w:val="auto"/>
              </w:rPr>
            </w:pPr>
            <w:r>
              <w:rPr>
                <w:rFonts w:ascii="Arial" w:cs="Arial" w:eastAsia="Arial" w:hAnsi="Arial"/>
                <w:sz w:val="14"/>
                <w:szCs w:val="14"/>
                <w:b w:val="1"/>
                <w:bCs w:val="1"/>
                <w:color w:val="auto"/>
              </w:rPr>
              <w:t>Notes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50"/>
        </w:trPr>
        <w:tc>
          <w:tcPr>
            <w:tcW w:w="6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1,969</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2,426</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1,810</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5,006</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32,282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48,819</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31,443</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58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78,096</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87,078</w:t>
            </w:r>
          </w:p>
        </w:tc>
      </w:tr>
      <w:tr>
        <w:trPr>
          <w:trHeight w:val="290"/>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5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80,650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51"/>
        </w:trPr>
        <w:tc>
          <w:tcPr>
            <w:tcW w:w="62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5,251</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6,549</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5,022</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(49,254)</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66,811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79,881</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7,249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1,273</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Trade and other payables</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5,529</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7,154</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payable — U.S. Operations</w:t>
            </w:r>
          </w:p>
        </w:tc>
        <w:tc>
          <w:tcPr>
            <w:tcW w:w="2580" w:type="dxa"/>
            <w:vAlign w:val="bottom"/>
            <w:shd w:val="clear" w:color="auto" w:fill="CCEEFF"/>
          </w:tcPr>
          <w:p>
            <w:pPr>
              <w:spacing w:after="0"/>
              <w:rPr>
                <w:sz w:val="24"/>
                <w:szCs w:val="24"/>
                <w:color w:val="auto"/>
              </w:rPr>
            </w:pP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257"/>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12,778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8,596</w:t>
            </w:r>
          </w:p>
        </w:tc>
      </w:tr>
      <w:tr>
        <w:trPr>
          <w:trHeight w:val="324"/>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w:t>
            </w:r>
          </w:p>
        </w:tc>
      </w:tr>
      <w:tr>
        <w:trPr>
          <w:trHeight w:val="270"/>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258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1,027</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2580" w:type="dxa"/>
            <w:vAlign w:val="bottom"/>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80,650</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0"/>
        </w:trPr>
        <w:tc>
          <w:tcPr>
            <w:tcW w:w="6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2018</w:t>
      </w:r>
      <w:r>
        <w:rPr>
          <w:rFonts w:ascii="Arial" w:cs="Arial" w:eastAsia="Arial" w:hAnsi="Arial"/>
          <w:sz w:val="18"/>
          <w:szCs w:val="18"/>
          <w:color w:val="auto"/>
        </w:rPr>
        <w:t>,</w:t>
      </w:r>
      <w:r>
        <w:rPr>
          <w:rFonts w:ascii="Arial" w:cs="Arial" w:eastAsia="Arial" w:hAnsi="Arial"/>
          <w:sz w:val="18"/>
          <w:szCs w:val="18"/>
          <w:b w:val="1"/>
          <w:bCs w:val="1"/>
          <w:color w:val="auto"/>
        </w:rPr>
        <w:t xml:space="preserve"> AND JUNE 30, 2017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w:t>
            </w:r>
          </w:p>
        </w:tc>
        <w:tc>
          <w:tcPr>
            <w:tcW w:w="1240" w:type="dxa"/>
            <w:vAlign w:val="bottom"/>
          </w:tcPr>
          <w:p>
            <w:pPr>
              <w:jc w:val="right"/>
              <w:ind w:right="154"/>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5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June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June 30,</w:t>
            </w:r>
          </w:p>
        </w:tc>
        <w:tc>
          <w:tcPr>
            <w:tcW w:w="1240" w:type="dxa"/>
            <w:vAlign w:val="bottom"/>
          </w:tcPr>
          <w:p>
            <w:pPr>
              <w:jc w:val="right"/>
              <w:ind w:right="14"/>
              <w:spacing w:after="0"/>
              <w:rPr>
                <w:sz w:val="20"/>
                <w:szCs w:val="20"/>
                <w:color w:val="auto"/>
              </w:rPr>
            </w:pPr>
            <w:r>
              <w:rPr>
                <w:rFonts w:ascii="Arial" w:cs="Arial" w:eastAsia="Arial" w:hAnsi="Arial"/>
                <w:sz w:val="14"/>
                <w:szCs w:val="14"/>
                <w:b w:val="1"/>
                <w:bCs w:val="1"/>
                <w:color w:val="auto"/>
              </w:rPr>
              <w:t>Ended June 30,</w:t>
            </w:r>
          </w:p>
        </w:tc>
      </w:tr>
      <w:tr>
        <w:trPr>
          <w:trHeight w:val="196"/>
        </w:trPr>
        <w:tc>
          <w:tcPr>
            <w:tcW w:w="5240" w:type="dxa"/>
            <w:vAlign w:val="bottom"/>
          </w:tcPr>
          <w:p>
            <w:pPr>
              <w:spacing w:after="0"/>
              <w:rPr>
                <w:sz w:val="17"/>
                <w:szCs w:val="17"/>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rPr>
              <w:t>Notes</w:t>
            </w: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44"/>
        </w:trPr>
        <w:tc>
          <w:tcPr>
            <w:tcW w:w="5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24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8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(8,303)</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(7,943)</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84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8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(11,533)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(10,944)</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84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5,273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3,440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5,205</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840" w:type="dxa"/>
            <w:vAlign w:val="bottom"/>
            <w:tcBorders>
              <w:bottom w:val="single" w:sz="8" w:color="CCEEFF"/>
            </w:tcBorders>
          </w:tcPr>
          <w:p>
            <w:pPr>
              <w:jc w:val="center"/>
              <w:ind w:right="13"/>
              <w:spacing w:after="0"/>
              <w:rPr>
                <w:sz w:val="20"/>
                <w:szCs w:val="20"/>
                <w:color w:val="auto"/>
              </w:rPr>
            </w:pPr>
            <w:r>
              <w:rPr>
                <w:rFonts w:ascii="Arial" w:cs="Arial" w:eastAsia="Arial" w:hAnsi="Arial"/>
                <w:sz w:val="18"/>
                <w:szCs w:val="18"/>
                <w:color w:val="auto"/>
                <w:w w:val="99"/>
              </w:rPr>
              <w:t>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8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(16,459)</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840" w:type="dxa"/>
            <w:vAlign w:val="bottom"/>
            <w:tcBorders>
              <w:bottom w:val="single" w:sz="8" w:color="CCEEFF"/>
            </w:tcBorders>
          </w:tcPr>
          <w:p>
            <w:pPr>
              <w:jc w:val="center"/>
              <w:ind w:right="13"/>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1,603</w:t>
            </w: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Profit / (loss) for the period</w:t>
            </w:r>
          </w:p>
        </w:tc>
        <w:tc>
          <w:tcPr>
            <w:tcW w:w="8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profit / (loss) :</w:t>
            </w:r>
          </w:p>
        </w:tc>
        <w:tc>
          <w:tcPr>
            <w:tcW w:w="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w:t>
            </w: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2"/>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w:t>
            </w:r>
          </w:p>
        </w:tc>
        <w:tc>
          <w:tcPr>
            <w:tcW w:w="8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8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193"/>
        </w:trPr>
        <w:tc>
          <w:tcPr>
            <w:tcW w:w="524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Total comprehensive income / (loss) attributable to owners</w:t>
            </w:r>
          </w:p>
        </w:tc>
        <w:tc>
          <w:tcPr>
            <w:tcW w:w="8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 the Company</w:t>
            </w:r>
          </w:p>
        </w:tc>
        <w:tc>
          <w:tcPr>
            <w:tcW w:w="8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r>
      <w:tr>
        <w:trPr>
          <w:trHeight w:val="20"/>
        </w:trPr>
        <w:tc>
          <w:tcPr>
            <w:tcW w:w="5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5240" w:type="dxa"/>
            <w:vAlign w:val="bottom"/>
          </w:tcPr>
          <w:p>
            <w:pPr>
              <w:ind w:left="40"/>
              <w:spacing w:after="0"/>
              <w:rPr>
                <w:sz w:val="20"/>
                <w:szCs w:val="20"/>
                <w:color w:val="auto"/>
              </w:rPr>
            </w:pPr>
            <w:r>
              <w:rPr>
                <w:rFonts w:ascii="Arial" w:cs="Arial" w:eastAsia="Arial" w:hAnsi="Arial"/>
                <w:sz w:val="18"/>
                <w:szCs w:val="18"/>
                <w:color w:val="auto"/>
              </w:rPr>
              <w:t>Basic earnings / (loss) per ordinary share — (pence)</w:t>
            </w:r>
          </w:p>
        </w:tc>
        <w:tc>
          <w:tcPr>
            <w:tcW w:w="840" w:type="dxa"/>
            <w:vAlign w:val="bottom"/>
          </w:tcPr>
          <w:p>
            <w:pPr>
              <w:jc w:val="center"/>
              <w:ind w:right="13"/>
              <w:spacing w:after="0"/>
              <w:rPr>
                <w:sz w:val="20"/>
                <w:szCs w:val="20"/>
                <w:color w:val="auto"/>
              </w:rPr>
            </w:pPr>
            <w:r>
              <w:rPr>
                <w:rFonts w:ascii="Arial" w:cs="Arial" w:eastAsia="Arial" w:hAnsi="Arial"/>
                <w:sz w:val="18"/>
                <w:szCs w:val="18"/>
                <w:color w:val="auto"/>
                <w:w w:val="99"/>
              </w:rPr>
              <w:t>6</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 (loss) per ordinary share —(pence)</w:t>
            </w:r>
          </w:p>
        </w:tc>
        <w:tc>
          <w:tcPr>
            <w:tcW w:w="84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99"/>
              </w:rPr>
              <w:t>6</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CASH FLOWS FOR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SIX MONTHS ENDED JUNE 30, 2018, AND JUNE 30, 2017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w:t>
            </w:r>
          </w:p>
        </w:tc>
        <w:tc>
          <w:tcPr>
            <w:tcW w:w="1240" w:type="dxa"/>
            <w:vAlign w:val="bottom"/>
          </w:tcPr>
          <w:p>
            <w:pPr>
              <w:jc w:val="right"/>
              <w:ind w:right="153"/>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1240" w:type="dxa"/>
            <w:vAlign w:val="bottom"/>
          </w:tcPr>
          <w:p>
            <w:pPr>
              <w:jc w:val="right"/>
              <w:ind w:right="13"/>
              <w:spacing w:after="0"/>
              <w:rPr>
                <w:sz w:val="20"/>
                <w:szCs w:val="20"/>
                <w:color w:val="auto"/>
              </w:rPr>
            </w:pPr>
            <w:r>
              <w:rPr>
                <w:rFonts w:ascii="Arial" w:cs="Arial" w:eastAsia="Arial" w:hAnsi="Arial"/>
                <w:sz w:val="14"/>
                <w:szCs w:val="14"/>
                <w:b w:val="1"/>
                <w:bCs w:val="1"/>
                <w:color w:val="auto"/>
              </w:rPr>
              <w:t>Ended June 30,</w:t>
            </w:r>
          </w:p>
        </w:tc>
      </w:tr>
      <w:tr>
        <w:trPr>
          <w:trHeight w:val="196"/>
        </w:trPr>
        <w:tc>
          <w:tcPr>
            <w:tcW w:w="8800" w:type="dxa"/>
            <w:vAlign w:val="bottom"/>
          </w:tcPr>
          <w:p>
            <w:pPr>
              <w:spacing w:after="0"/>
              <w:rPr>
                <w:sz w:val="17"/>
                <w:szCs w:val="17"/>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64"/>
        </w:trPr>
        <w:tc>
          <w:tcPr>
            <w:tcW w:w="8800" w:type="dxa"/>
            <w:vAlign w:val="bottom"/>
          </w:tcPr>
          <w:p>
            <w:pPr>
              <w:spacing w:after="0"/>
              <w:rPr>
                <w:sz w:val="22"/>
                <w:szCs w:val="2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(16,459)</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(6,717)</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Finance expense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6,027</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978</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968</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Increase in prepayments and other receivables</w:t>
            </w:r>
          </w:p>
        </w:tc>
        <w:tc>
          <w:tcPr>
            <w:tcW w:w="126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 / increase in trade and other payables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2,930</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of property, plant and equipment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50"/>
        </w:trPr>
        <w:tc>
          <w:tcPr>
            <w:tcW w:w="8800" w:type="dxa"/>
            <w:vAlign w:val="bottom"/>
          </w:tcPr>
          <w:p>
            <w:pPr>
              <w:ind w:left="40"/>
              <w:spacing w:after="0"/>
              <w:rPr>
                <w:sz w:val="20"/>
                <w:szCs w:val="20"/>
                <w:color w:val="auto"/>
              </w:rPr>
            </w:pPr>
            <w:r>
              <w:rPr>
                <w:rFonts w:ascii="Arial" w:cs="Arial" w:eastAsia="Arial" w:hAnsi="Arial"/>
                <w:sz w:val="18"/>
                <w:szCs w:val="18"/>
                <w:color w:val="auto"/>
              </w:rPr>
              <w:t>Cash used in operating activities</w:t>
            </w:r>
          </w:p>
        </w:tc>
        <w:tc>
          <w:tcPr>
            <w:tcW w:w="1260" w:type="dxa"/>
            <w:vAlign w:val="bottom"/>
          </w:tcPr>
          <w:p>
            <w:pPr>
              <w:jc w:val="right"/>
              <w:spacing w:after="0"/>
              <w:rPr>
                <w:sz w:val="20"/>
                <w:szCs w:val="20"/>
                <w:color w:val="auto"/>
              </w:rPr>
            </w:pPr>
            <w:r>
              <w:rPr>
                <w:rFonts w:ascii="Arial" w:cs="Arial" w:eastAsia="Arial" w:hAnsi="Arial"/>
                <w:sz w:val="18"/>
                <w:szCs w:val="18"/>
                <w:color w:val="auto"/>
              </w:rPr>
              <w:t>(12,030)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(7,990)</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outflow from taxation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(12,345)</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(8,156)</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Interest received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plant and equipment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Payment for patents and computer software</w:t>
            </w:r>
          </w:p>
        </w:tc>
        <w:tc>
          <w:tcPr>
            <w:tcW w:w="12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Transfer to short term investments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(32,035)</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Maturity of short term investments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31,948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generated / (used) in investing activities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17,230</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(32,087)</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proceeds from the April 2017 Global Offering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69,885</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Transaction costs on April 2017 Global Offering</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generated in financing activities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63,528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4,885</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23,285</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31,443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39,785</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62,612</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ind w:right="4500"/>
        <w:spacing w:after="0" w:line="451" w:lineRule="auto"/>
        <w:rPr>
          <w:sz w:val="20"/>
          <w:szCs w:val="20"/>
          <w:color w:val="auto"/>
        </w:rPr>
      </w:pPr>
      <w:r>
        <w:rPr>
          <w:rFonts w:ascii="Arial" w:cs="Arial" w:eastAsia="Arial" w:hAnsi="Arial"/>
          <w:sz w:val="17"/>
          <w:szCs w:val="17"/>
          <w:b w:val="1"/>
          <w:bCs w:val="1"/>
          <w:color w:val="auto"/>
        </w:rPr>
        <w:t>CONDENSED CONSOLIDATED INTERIM STATEMENT OF CHANGES IN EQUITY FOR THE SIX MONTHS ENDED JUNE 30, 2018, AND JUNE 30, 2017 (UNAUDITED)</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January 1, 2017</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for the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loss for the year:</w:t>
      </w:r>
    </w:p>
    <w:p>
      <w:pPr>
        <w:spacing w:after="0" w:line="63" w:lineRule="exact"/>
        <w:rPr>
          <w:sz w:val="20"/>
          <w:szCs w:val="20"/>
          <w:color w:val="auto"/>
        </w:rPr>
      </w:pPr>
    </w:p>
    <w:p>
      <w:pPr>
        <w:ind w:left="40"/>
        <w:spacing w:after="0" w:line="321" w:lineRule="auto"/>
        <w:rPr>
          <w:sz w:val="20"/>
          <w:szCs w:val="20"/>
          <w:color w:val="auto"/>
        </w:rPr>
      </w:pPr>
      <w:r>
        <w:rPr>
          <w:rFonts w:ascii="Arial" w:cs="Arial" w:eastAsia="Arial" w:hAnsi="Arial"/>
          <w:sz w:val="18"/>
          <w:szCs w:val="18"/>
          <w:color w:val="auto"/>
        </w:rPr>
        <w:t>Exchange differences on translating foreign operations Total comprehensive loss for the period</w:t>
      </w:r>
    </w:p>
    <w:p>
      <w:pPr>
        <w:ind w:left="40"/>
        <w:spacing w:after="0"/>
        <w:rPr>
          <w:sz w:val="20"/>
          <w:szCs w:val="20"/>
          <w:color w:val="auto"/>
        </w:rPr>
      </w:pPr>
      <w:r>
        <w:rPr>
          <w:rFonts w:ascii="Arial" w:cs="Arial" w:eastAsia="Arial" w:hAnsi="Arial"/>
          <w:sz w:val="18"/>
          <w:szCs w:val="18"/>
          <w:color w:val="auto"/>
        </w:rPr>
        <w:t>New share capital issued</w:t>
      </w:r>
    </w:p>
    <w:p>
      <w:pPr>
        <w:spacing w:after="0" w:line="63" w:lineRule="exact"/>
        <w:rPr>
          <w:sz w:val="20"/>
          <w:szCs w:val="20"/>
          <w:color w:val="auto"/>
        </w:rPr>
      </w:pPr>
    </w:p>
    <w:p>
      <w:pPr>
        <w:ind w:left="40" w:right="1040"/>
        <w:spacing w:after="0" w:line="316" w:lineRule="auto"/>
        <w:rPr>
          <w:sz w:val="20"/>
          <w:szCs w:val="20"/>
          <w:color w:val="auto"/>
        </w:rPr>
      </w:pPr>
      <w:r>
        <w:rPr>
          <w:rFonts w:ascii="Arial" w:cs="Arial" w:eastAsia="Arial" w:hAnsi="Arial"/>
          <w:sz w:val="18"/>
          <w:szCs w:val="18"/>
          <w:color w:val="auto"/>
        </w:rPr>
        <w:t>Transaction costs on share capital issued Share-based payments</w:t>
      </w:r>
    </w:p>
    <w:p>
      <w:pPr>
        <w:ind w:left="40"/>
        <w:spacing w:after="0"/>
        <w:rPr>
          <w:sz w:val="20"/>
          <w:szCs w:val="20"/>
          <w:color w:val="auto"/>
        </w:rPr>
      </w:pPr>
      <w:r>
        <w:rPr>
          <w:rFonts w:ascii="Arial" w:cs="Arial" w:eastAsia="Arial" w:hAnsi="Arial"/>
          <w:sz w:val="18"/>
          <w:szCs w:val="18"/>
          <w:b w:val="1"/>
          <w:bCs w:val="1"/>
          <w:color w:val="auto"/>
        </w:rPr>
        <w:t>Balance at June 30, 2017</w:t>
      </w:r>
    </w:p>
    <w:p>
      <w:pPr>
        <w:spacing w:after="0" w:line="200" w:lineRule="exact"/>
        <w:rPr>
          <w:sz w:val="20"/>
          <w:szCs w:val="20"/>
          <w:color w:val="auto"/>
        </w:rPr>
      </w:pPr>
    </w:p>
    <w:p>
      <w:pPr>
        <w:spacing w:after="0" w:line="228" w:lineRule="exact"/>
        <w:rPr>
          <w:sz w:val="20"/>
          <w:szCs w:val="20"/>
          <w:color w:val="auto"/>
        </w:rPr>
      </w:pPr>
    </w:p>
    <w:p>
      <w:pPr>
        <w:ind w:left="40" w:right="2060"/>
        <w:spacing w:after="0" w:line="325" w:lineRule="auto"/>
        <w:rPr>
          <w:sz w:val="20"/>
          <w:szCs w:val="20"/>
          <w:color w:val="auto"/>
        </w:rPr>
      </w:pPr>
      <w:r>
        <w:rPr>
          <w:rFonts w:ascii="Arial" w:cs="Arial" w:eastAsia="Arial" w:hAnsi="Arial"/>
          <w:sz w:val="18"/>
          <w:szCs w:val="18"/>
          <w:b w:val="1"/>
          <w:bCs w:val="1"/>
          <w:color w:val="auto"/>
        </w:rPr>
        <w:t xml:space="preserve">Balance at January 1, 2018 </w:t>
      </w:r>
      <w:r>
        <w:rPr>
          <w:rFonts w:ascii="Arial" w:cs="Arial" w:eastAsia="Arial" w:hAnsi="Arial"/>
          <w:sz w:val="18"/>
          <w:szCs w:val="18"/>
          <w:color w:val="auto"/>
        </w:rPr>
        <w:t>Loss for the period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for the year: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Exchange differences on translating foreign operations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comprehensive loss for the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payments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June 30, 2018</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spacing w:after="0"/>
              <w:rPr>
                <w:sz w:val="14"/>
                <w:szCs w:val="14"/>
                <w:color w:val="auto"/>
              </w:rPr>
            </w:pPr>
          </w:p>
        </w:tc>
      </w:tr>
      <w:tr>
        <w:trPr>
          <w:trHeight w:val="162"/>
        </w:trPr>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Share-based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36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Capital</w:t>
            </w: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Premium</w:t>
            </w: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Expenses</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Losses</w:t>
            </w:r>
          </w:p>
        </w:tc>
        <w:tc>
          <w:tcPr>
            <w:tcW w:w="13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Equity</w:t>
            </w:r>
          </w:p>
        </w:tc>
      </w:tr>
      <w:tr>
        <w:trPr>
          <w:trHeight w:val="258"/>
        </w:trPr>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right"/>
              <w:ind w:right="373"/>
              <w:spacing w:after="0"/>
              <w:rPr>
                <w:sz w:val="20"/>
                <w:szCs w:val="20"/>
                <w:color w:val="auto"/>
              </w:rPr>
            </w:pPr>
            <w:r>
              <w:rPr>
                <w:rFonts w:ascii="Arial" w:cs="Arial" w:eastAsia="Arial" w:hAnsi="Arial"/>
                <w:sz w:val="14"/>
                <w:szCs w:val="14"/>
                <w:b w:val="1"/>
                <w:bCs w:val="1"/>
                <w:color w:val="auto"/>
              </w:rPr>
              <w:t>£'000s</w:t>
            </w:r>
          </w:p>
        </w:tc>
      </w:tr>
      <w:tr>
        <w:trPr>
          <w:trHeight w:val="276"/>
        </w:trPr>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58,527</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(28,728)</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34,469</w:t>
            </w:r>
          </w:p>
        </w:tc>
      </w:tr>
      <w:tr>
        <w:trPr>
          <w:trHeight w:val="257"/>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(5,114)</w:t>
            </w:r>
          </w:p>
        </w:tc>
      </w:tr>
      <w:tr>
        <w:trPr>
          <w:trHeight w:val="547"/>
        </w:trPr>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(5,128)</w:t>
            </w:r>
          </w:p>
        </w:tc>
      </w:tr>
      <w:tr>
        <w:trPr>
          <w:trHeight w:val="270"/>
        </w:trPr>
        <w:tc>
          <w:tcPr>
            <w:tcW w:w="1280" w:type="dxa"/>
            <w:vAlign w:val="bottom"/>
          </w:tcPr>
          <w:p>
            <w:pPr>
              <w:jc w:val="right"/>
              <w:ind w:right="33"/>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3"/>
                <w:szCs w:val="23"/>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67,648</w:t>
            </w:r>
          </w:p>
        </w:tc>
        <w:tc>
          <w:tcPr>
            <w:tcW w:w="1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70,324</w:t>
            </w:r>
          </w:p>
        </w:tc>
      </w:tr>
      <w:tr>
        <w:trPr>
          <w:trHeight w:val="270"/>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(7,453)</w:t>
            </w:r>
          </w:p>
        </w:tc>
        <w:tc>
          <w:tcPr>
            <w:tcW w:w="1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(7,453)</w:t>
            </w:r>
          </w:p>
        </w:tc>
      </w:tr>
      <w:tr>
        <w:trPr>
          <w:trHeight w:val="277"/>
        </w:trPr>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968</w:t>
            </w:r>
          </w:p>
        </w:tc>
      </w:tr>
      <w:tr>
        <w:trPr>
          <w:trHeight w:val="264"/>
        </w:trPr>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5,244</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118,722</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3,070</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(33,856)</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93,180</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88"/>
        </w:trPr>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118,862</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5,022</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(49,254)</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79,881</w:t>
            </w:r>
          </w:p>
        </w:tc>
      </w:tr>
      <w:tr>
        <w:trPr>
          <w:trHeight w:val="243"/>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(14,612)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(14,612)</w:t>
            </w:r>
          </w:p>
        </w:tc>
      </w:tr>
      <w:tr>
        <w:trPr>
          <w:trHeight w:val="547"/>
        </w:trPr>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r>
      <w:tr>
        <w:trPr>
          <w:trHeight w:val="257"/>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(14,597)</w:t>
            </w:r>
          </w:p>
        </w:tc>
      </w:tr>
      <w:tr>
        <w:trPr>
          <w:trHeight w:val="277"/>
        </w:trPr>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1,527</w:t>
            </w:r>
          </w:p>
        </w:tc>
      </w:tr>
      <w:tr>
        <w:trPr>
          <w:trHeight w:val="264"/>
        </w:trPr>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5,251</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118,862</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6,549</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(63,851)</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66,811</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-3052445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-2700655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-2357755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-2005965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-1663065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-1242695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-899795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-556895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-205105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4380" w:space="80"/>
            <w:col w:w="6960"/>
          </w:cols>
          <w:pgMar w:left="240" w:top="360" w:right="239" w:bottom="1440" w:gutter="0" w:footer="0" w:header="0"/>
          <w:type w:val="continuous"/>
        </w:sectPr>
      </w:pPr>
    </w:p>
    <w:p>
      <w:pPr>
        <w:ind w:right="200"/>
        <w:spacing w:after="0" w:line="262" w:lineRule="auto"/>
        <w:rPr>
          <w:sz w:val="20"/>
          <w:szCs w:val="20"/>
          <w:color w:val="auto"/>
        </w:rPr>
      </w:pPr>
      <w:r>
        <w:rPr>
          <w:rFonts w:ascii="Arial" w:cs="Arial" w:eastAsia="Arial" w:hAnsi="Arial"/>
          <w:sz w:val="18"/>
          <w:szCs w:val="18"/>
          <w:color w:val="auto"/>
        </w:rPr>
        <w:t>The currency translation reserve for June 30, 2018, and June 30, 2017, is not considered material and as such is not presented in a separate reserve but is included in the total accumulated losses reserve.</w:t>
      </w:r>
    </w:p>
    <w:p>
      <w:pPr>
        <w:sectPr>
          <w:pgSz w:w="11900" w:h="16838" w:orient="portrait"/>
          <w:cols w:equalWidth="0" w:num="1">
            <w:col w:w="11420"/>
          </w:cols>
          <w:pgMar w:left="240" w:top="360"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INTERIM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7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 public limited company which is listed on the Alternative Investment Market of the London Stock Exchange and on April 27, 2017, the Company's American Depositary Shares began trading on the Nasdaq Global Market. The Company is incorporated and domiciled in the United Kingdom. The address of the registered office is 1 Central Square, Cardiff, CF10 1FS, United Kingdom.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unaudited condensed consolidated interim financial statements of Verona Pharma plc (the “Company”) and its subsidiaries, Verona Pharma, Inc., and Rhinopharma Limited (together the "Group”), for the six months ended June 30, 2018, do not include all the statements required for full annual financial statements and should be read in conjunction with the consolidated financial statements of the Group as of December 31, 2017.</w:t>
      </w:r>
    </w:p>
    <w:p>
      <w:pPr>
        <w:spacing w:after="0" w:line="96" w:lineRule="exact"/>
        <w:rPr>
          <w:sz w:val="20"/>
          <w:szCs w:val="20"/>
          <w:color w:val="auto"/>
        </w:rPr>
      </w:pPr>
    </w:p>
    <w:p>
      <w:pPr>
        <w:ind w:right="1000"/>
        <w:spacing w:after="0" w:line="262" w:lineRule="auto"/>
        <w:rPr>
          <w:sz w:val="20"/>
          <w:szCs w:val="20"/>
          <w:color w:val="auto"/>
        </w:rPr>
      </w:pPr>
      <w:r>
        <w:rPr>
          <w:rFonts w:ascii="Arial" w:cs="Arial" w:eastAsia="Arial" w:hAnsi="Arial"/>
          <w:sz w:val="18"/>
          <w:szCs w:val="18"/>
          <w:color w:val="auto"/>
        </w:rPr>
        <w:t>The 2017 Accounts, on which the Company’s auditors delivered an unqualified audit report, have been delivered to the Registrar of Companies.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August 7, 2018. There have been no changes, except as otherwise stated, to the accounting policies contained in the annual consolidated financial statements as of and for the year ended December 31, 2017, which have been prepared in accordance with international financial reporting standards (“IFRS”) as issued by the International Accounting Standards Board (“IASB”).</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interim condensed consolidated financial statements have been prepared on a going-concern basis. Management, having reviewed the future operating costs of the business in conjunction with the cash held as of June 30, 2018, believes the Group has sufficient funds to continue as a going concern for at least 12 months from August 7,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seasonality. The Group operates as a single operating and reportable segment.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period the Group adopted IFRS 9. This has not had a material impact on the accounting for financial instruments held by the Group, including the assumed contingent obligation, the derivative financial instrument or short term deposits. There has been no change in the classification and measurement of these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IFRS 15 has also been adopted by the Group; this has had no impact as the Group is not revenue generating.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Directors do not recommend the payment of a dividend for the six months ended June 30, 2018, (six months ended June 30, 2017: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year ended December 31, 2017: £nil).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Segmental reporting</w:t>
      </w:r>
    </w:p>
    <w:p>
      <w:pPr>
        <w:spacing w:after="0" w:line="139" w:lineRule="exact"/>
        <w:rPr>
          <w:sz w:val="20"/>
          <w:szCs w:val="20"/>
          <w:color w:val="auto"/>
        </w:rPr>
      </w:pPr>
    </w:p>
    <w:p>
      <w:pPr>
        <w:ind w:right="1200"/>
        <w:spacing w:after="0" w:line="262"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ectPr>
          <w:pgSz w:w="11900" w:h="16838" w:orient="portrait"/>
          <w:cols w:equalWidth="0" w:num="1">
            <w:col w:w="11420"/>
          </w:cols>
          <w:pgMar w:left="240" w:top="3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4. Financial instruments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Estimates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 loss per share calculation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2018, the basic loss per share of 13.91p (June 30, 2017: loss of 7.30p) is calculated by dividing the loss for the six months ended June 30, 2018 by the weighted average number of ordinary shares in issue of 105,017,400 during the six months ended June 30, 2018 (June 30, 2017: 70,143,171). Since the Group has reported a net loss, diluted loss per ordinary share is equal to basic loss per ordinary share.</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three months ended June 30, 2018, the basic earnings per share of 0.58p (June 30, 2017: loss of 3.60p) is calculated by dividing the profit for the three months ended June 30, 2018 (loss for June 30, 2017) by the weighted average number of ordinary shares in issue of 105,017,400 during the three months ended June 30, 2018 (June 30, 2017: 88,516,972).</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diluted earnings per share of 0.58p for the three months ended June 30, 2018 is calculated by dividing the profit for the three months ended June 30, 2018 by the weighted average number of ordinary shares in issue of 105,017,400 plus the dilution of share options and awards of 813,046.</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Where the Group has reported a net profit, diluted earnings per share has been calculated after adjusting the weighted average number of shares used in the basic calculation to assume the conversion of all potentially dilutive shares. A potentially dilutive share arises from employee share schemes where the exercise price is below the average market price of the Company's shares during the period.</w:t>
      </w:r>
    </w:p>
    <w:p>
      <w:pPr>
        <w:spacing w:after="0" w:line="20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Each ADS represents 8 ordinary shares of the Company, so the profit or loss per ADS in any period is equal to 8 times the profit or loss per share.</w:t>
      </w:r>
    </w:p>
    <w:p>
      <w:pPr>
        <w:sectPr>
          <w:pgSz w:w="11900" w:h="16838" w:orient="portrait"/>
          <w:cols w:equalWidth="0" w:num="1">
            <w:col w:w="11420"/>
          </w:cols>
          <w:pgMar w:left="240" w:top="4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7. Finance income and expense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300" w:type="dxa"/>
            <w:vAlign w:val="bottom"/>
            <w:gridSpan w:val="9"/>
          </w:tcPr>
          <w:p>
            <w:pPr>
              <w:jc w:val="right"/>
              <w:ind w:right="240"/>
              <w:spacing w:after="0"/>
              <w:rPr>
                <w:sz w:val="20"/>
                <w:szCs w:val="20"/>
                <w:color w:val="auto"/>
              </w:rPr>
            </w:pPr>
            <w:r>
              <w:rPr>
                <w:rFonts w:ascii="Arial" w:cs="Arial" w:eastAsia="Arial" w:hAnsi="Arial"/>
                <w:sz w:val="14"/>
                <w:szCs w:val="14"/>
                <w:b w:val="1"/>
                <w:bCs w:val="1"/>
                <w:color w:val="auto"/>
              </w:rPr>
              <w:t>Three Months Ended   Three Months Ended</w:t>
            </w: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June 30, 2017</w:t>
            </w:r>
          </w:p>
        </w:tc>
      </w:tr>
      <w:tr>
        <w:trPr>
          <w:trHeight w:val="244"/>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21"/>
                <w:szCs w:val="21"/>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£'000s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£'000s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ind w:right="41"/>
              <w:spacing w:after="0"/>
              <w:rPr>
                <w:sz w:val="20"/>
                <w:szCs w:val="20"/>
                <w:color w:val="auto"/>
              </w:rPr>
            </w:pPr>
            <w:r>
              <w:rPr>
                <w:rFonts w:ascii="Arial" w:cs="Arial" w:eastAsia="Arial" w:hAnsi="Arial"/>
                <w:sz w:val="14"/>
                <w:szCs w:val="14"/>
                <w:b w:val="1"/>
                <w:bCs w:val="1"/>
                <w:color w:val="auto"/>
              </w:rPr>
              <w:t>£'000s</w:t>
            </w:r>
          </w:p>
        </w:tc>
      </w:tr>
      <w:tr>
        <w:trPr>
          <w:trHeight w:val="275"/>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 income:</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7"/>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received on cash balances</w:t>
            </w:r>
          </w:p>
        </w:tc>
        <w:tc>
          <w:tcPr>
            <w:tcW w:w="124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92</w:t>
            </w:r>
          </w:p>
        </w:tc>
      </w:tr>
      <w:tr>
        <w:trPr>
          <w:trHeight w:val="229"/>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Foreign exchange gain on translating foreign currency</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denominated bank balances</w:t>
            </w:r>
          </w:p>
        </w:tc>
        <w:tc>
          <w:tcPr>
            <w:tcW w:w="1240" w:type="dxa"/>
            <w:vAlign w:val="bottom"/>
            <w:gridSpan w:val="2"/>
          </w:tcPr>
          <w:p>
            <w:pPr>
              <w:jc w:val="right"/>
              <w:ind w:right="44"/>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18"/>
                <w:szCs w:val="18"/>
                <w:color w:val="auto"/>
              </w:rPr>
              <w:t>—</w:t>
            </w:r>
          </w:p>
        </w:tc>
      </w:tr>
      <w:tr>
        <w:trPr>
          <w:trHeight w:val="235"/>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4"/>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 10)</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5,113</w:t>
            </w:r>
          </w:p>
        </w:tc>
      </w:tr>
      <w:tr>
        <w:trPr>
          <w:trHeight w:val="257"/>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Total finance income</w:t>
            </w:r>
          </w:p>
        </w:tc>
        <w:tc>
          <w:tcPr>
            <w:tcW w:w="1240" w:type="dxa"/>
            <w:vAlign w:val="bottom"/>
            <w:gridSpan w:val="2"/>
          </w:tcPr>
          <w:p>
            <w:pPr>
              <w:jc w:val="right"/>
              <w:ind w:right="44"/>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2"/>
                <w:szCs w:val="22"/>
                <w:color w:val="auto"/>
              </w:rPr>
            </w:pPr>
          </w:p>
        </w:tc>
        <w:tc>
          <w:tcPr>
            <w:tcW w:w="1480" w:type="dxa"/>
            <w:vAlign w:val="bottom"/>
            <w:gridSpan w:val="3"/>
          </w:tcPr>
          <w:p>
            <w:pPr>
              <w:jc w:val="right"/>
              <w:ind w:right="21"/>
              <w:spacing w:after="0"/>
              <w:rPr>
                <w:sz w:val="20"/>
                <w:szCs w:val="20"/>
                <w:color w:val="auto"/>
              </w:rPr>
            </w:pPr>
            <w:r>
              <w:rPr>
                <w:rFonts w:ascii="Arial" w:cs="Arial" w:eastAsia="Arial" w:hAnsi="Arial"/>
                <w:sz w:val="18"/>
                <w:szCs w:val="18"/>
                <w:color w:val="auto"/>
              </w:rPr>
              <w:t>5,205</w:t>
            </w: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24"/>
                <w:szCs w:val="24"/>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4"/>
                <w:szCs w:val="14"/>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Ended 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June 30, 2017</w:t>
            </w:r>
          </w:p>
        </w:tc>
      </w:tr>
      <w:tr>
        <w:trPr>
          <w:trHeight w:val="244"/>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21"/>
                <w:szCs w:val="21"/>
                <w:color w:val="auto"/>
              </w:rPr>
            </w:pPr>
          </w:p>
        </w:tc>
        <w:tc>
          <w:tcPr>
            <w:tcW w:w="13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£'000s</w:t>
            </w:r>
          </w:p>
        </w:tc>
        <w:tc>
          <w:tcPr>
            <w:tcW w:w="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£'000s</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 expense:</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7"/>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10)</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5,976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gridSpan w:val="2"/>
          </w:tcPr>
          <w:p>
            <w:pPr>
              <w:ind w:left="40"/>
              <w:spacing w:after="0"/>
              <w:rPr>
                <w:sz w:val="20"/>
                <w:szCs w:val="20"/>
                <w:color w:val="auto"/>
              </w:rPr>
            </w:pPr>
            <w:r>
              <w:rPr>
                <w:rFonts w:ascii="Arial" w:cs="Arial" w:eastAsia="Arial" w:hAnsi="Arial"/>
                <w:sz w:val="18"/>
                <w:szCs w:val="18"/>
                <w:color w:val="auto"/>
                <w:w w:val="99"/>
              </w:rPr>
              <w:t>Foreign exchange loss on translating foreign currency denominated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balances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1"/>
              <w:spacing w:after="0"/>
              <w:rPr>
                <w:sz w:val="20"/>
                <w:szCs w:val="20"/>
                <w:color w:val="auto"/>
              </w:rPr>
            </w:pPr>
            <w:r>
              <w:rPr>
                <w:rFonts w:ascii="Arial" w:cs="Arial" w:eastAsia="Arial" w:hAnsi="Arial"/>
                <w:sz w:val="18"/>
                <w:szCs w:val="18"/>
                <w:color w:val="auto"/>
              </w:rPr>
              <w:t>945</w:t>
            </w:r>
          </w:p>
        </w:tc>
      </w:tr>
      <w:tr>
        <w:trPr>
          <w:trHeight w:val="235"/>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Impact of changes in foreign exchange rates on the contingent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w:t>
            </w:r>
          </w:p>
        </w:tc>
        <w:tc>
          <w:tcPr>
            <w:tcW w:w="1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Unwinding of discount factor movements related to the assumed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5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contingent arrangement (note 11)</w:t>
            </w: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46</w:t>
            </w:r>
          </w:p>
        </w:tc>
      </w:tr>
      <w:tr>
        <w:trPr>
          <w:trHeight w:val="257"/>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finance expense</w:t>
            </w:r>
          </w:p>
        </w:tc>
        <w:tc>
          <w:tcPr>
            <w:tcW w:w="1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6,027</w:t>
            </w:r>
          </w:p>
        </w:tc>
        <w:tc>
          <w:tcPr>
            <w:tcW w:w="148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978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six month period ended June 30, 2018, amounts to £1.8 million and consists of the estimated research and development tax credit receivable on qualifying expenditure incurred during the six month period ended June 30, 2018 for an amount of £1.9 million less a tax expense of £ 7 thousand related to the US operations (six month period ended June 30, 2017: £1.6 million tax credit, comprising £1.7 million for research and development tax credit, less £0.1 million expense for tax on US operations).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three month period ended June 30, 2018, amounts to £1.0 million, and consists of the estimated research and development tax credit receivable on qualifying expenditure incurred during the three month period ended June 30, 2018 for an amount of £0.9 million plus a tax credit of £0.1 million related to the US operations (three month period ended June 30, 2017: £1.0 million tax credit, comprising £1.1 million for research and development tax credit, less £0.1 million expense for tax on US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Short term investments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Short term investments as at June 30, 2018 amounted to a total of £32.3 million (December 31, 2017: £48.8 million) and consisted of fixed term deposits in both US Dollars and UK Pounds.</w:t>
      </w:r>
    </w:p>
    <w:p>
      <w:pPr>
        <w:sectPr>
          <w:pgSz w:w="11900" w:h="16838" w:orient="portrait"/>
          <w:cols w:equalWidth="0" w:num="1">
            <w:col w:w="11420"/>
          </w:cols>
          <w:pgMar w:left="240" w:top="4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Derivative financial instrument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July 2016 placement the Company issued 31,115,926 units to new and existing investors at the placing price of £ 1.4365 per unit, each of which was comprised of one ordinary share and one warrant. The warrant holders can subscribe for 0.4 of an ordinary share at a per share exercise price of 120% of the placing price (£1.7238). The warrant holders can opt for a cashless exercise of their warrants by choosing to exchange the warrants held for a reduced number of warrants exercisable at nil consideration. The reduced number of warrants is calculated based on a formula considering the share price and the exercise price of the shares. The warrants were therefore classified as a derivative financial liability, since their exercise might result in a variable number of shares to be issued. The warrants expire on May 2,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and December 31, 2017, warrants over 12,401,262 shares were in effect.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 June 30, 2018</w:t>
            </w:r>
          </w:p>
        </w:tc>
        <w:tc>
          <w:tcPr>
            <w:tcW w:w="220" w:type="dxa"/>
            <w:vAlign w:val="bottom"/>
          </w:tcPr>
          <w:p>
            <w:pPr>
              <w:spacing w:after="0"/>
              <w:rPr>
                <w:sz w:val="16"/>
                <w:szCs w:val="16"/>
                <w:color w:val="auto"/>
              </w:rPr>
            </w:pPr>
          </w:p>
        </w:tc>
        <w:tc>
          <w:tcPr>
            <w:tcW w:w="2140" w:type="dxa"/>
            <w:vAlign w:val="bottom"/>
          </w:tcPr>
          <w:p>
            <w:pPr>
              <w:jc w:val="right"/>
              <w:ind w:right="252"/>
              <w:spacing w:after="0"/>
              <w:rPr>
                <w:sz w:val="20"/>
                <w:szCs w:val="20"/>
                <w:color w:val="auto"/>
              </w:rPr>
            </w:pPr>
            <w:r>
              <w:rPr>
                <w:rFonts w:ascii="Arial" w:cs="Arial" w:eastAsia="Arial" w:hAnsi="Arial"/>
                <w:sz w:val="14"/>
                <w:szCs w:val="14"/>
                <w:b w:val="1"/>
                <w:bCs w:val="1"/>
                <w:color w:val="auto"/>
              </w:rPr>
              <w:t>As of December 31, 2017</w:t>
            </w:r>
          </w:p>
        </w:tc>
      </w:tr>
      <w:tr>
        <w:trPr>
          <w:trHeight w:val="26"/>
        </w:trPr>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available to be issued under warrants</w:t>
            </w:r>
          </w:p>
        </w:tc>
        <w:tc>
          <w:tcPr>
            <w:tcW w:w="3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12,401,262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12,401,262</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92"/>
              <w:spacing w:after="0"/>
              <w:rPr>
                <w:sz w:val="20"/>
                <w:szCs w:val="20"/>
                <w:color w:val="auto"/>
              </w:rPr>
            </w:pPr>
            <w:r>
              <w:rPr>
                <w:rFonts w:ascii="Arial" w:cs="Arial" w:eastAsia="Arial" w:hAnsi="Arial"/>
                <w:sz w:val="18"/>
                <w:szCs w:val="18"/>
                <w:color w:val="auto"/>
              </w:rPr>
              <w:t>1.7238</w:t>
            </w:r>
          </w:p>
        </w:tc>
        <w:tc>
          <w:tcPr>
            <w:tcW w:w="2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92"/>
              <w:spacing w:after="0"/>
              <w:rPr>
                <w:sz w:val="20"/>
                <w:szCs w:val="20"/>
                <w:color w:val="auto"/>
              </w:rPr>
            </w:pPr>
            <w:r>
              <w:rPr>
                <w:rFonts w:ascii="Arial" w:cs="Arial" w:eastAsia="Arial" w:hAnsi="Arial"/>
                <w:sz w:val="18"/>
                <w:szCs w:val="18"/>
                <w:color w:val="auto"/>
              </w:rPr>
              <w:t>1.7238</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Expected term to exercise</w:t>
            </w:r>
          </w:p>
        </w:tc>
        <w:tc>
          <w:tcPr>
            <w:tcW w:w="300" w:type="dxa"/>
            <w:vAlign w:val="bottom"/>
          </w:tcPr>
          <w:p>
            <w:pPr>
              <w:spacing w:after="0"/>
              <w:rPr>
                <w:sz w:val="22"/>
                <w:szCs w:val="22"/>
                <w:color w:val="auto"/>
              </w:rPr>
            </w:pPr>
          </w:p>
        </w:tc>
        <w:tc>
          <w:tcPr>
            <w:tcW w:w="2260" w:type="dxa"/>
            <w:vAlign w:val="bottom"/>
            <w:gridSpan w:val="2"/>
          </w:tcPr>
          <w:p>
            <w:pPr>
              <w:ind w:left="1020"/>
              <w:spacing w:after="0"/>
              <w:rPr>
                <w:sz w:val="20"/>
                <w:szCs w:val="20"/>
                <w:color w:val="auto"/>
              </w:rPr>
            </w:pPr>
            <w:r>
              <w:rPr>
                <w:rFonts w:ascii="Arial" w:cs="Arial" w:eastAsia="Arial" w:hAnsi="Arial"/>
                <w:sz w:val="18"/>
                <w:szCs w:val="18"/>
                <w:color w:val="auto"/>
              </w:rPr>
              <w:t>3.84 years</w:t>
            </w:r>
          </w:p>
        </w:tc>
        <w:tc>
          <w:tcPr>
            <w:tcW w:w="220" w:type="dxa"/>
            <w:vAlign w:val="bottom"/>
          </w:tcPr>
          <w:p>
            <w:pPr>
              <w:spacing w:after="0"/>
              <w:rPr>
                <w:sz w:val="22"/>
                <w:szCs w:val="22"/>
                <w:color w:val="auto"/>
              </w:rPr>
            </w:pPr>
          </w:p>
        </w:tc>
        <w:tc>
          <w:tcPr>
            <w:tcW w:w="2140" w:type="dxa"/>
            <w:vAlign w:val="bottom"/>
          </w:tcPr>
          <w:p>
            <w:pPr>
              <w:jc w:val="right"/>
              <w:ind w:right="92"/>
              <w:spacing w:after="0"/>
              <w:rPr>
                <w:sz w:val="20"/>
                <w:szCs w:val="20"/>
                <w:color w:val="auto"/>
              </w:rPr>
            </w:pPr>
            <w:r>
              <w:rPr>
                <w:rFonts w:ascii="Arial" w:cs="Arial" w:eastAsia="Arial" w:hAnsi="Arial"/>
                <w:sz w:val="18"/>
                <w:szCs w:val="18"/>
                <w:color w:val="auto"/>
              </w:rPr>
              <w:t>1.79 years</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Annualized volatility</w:t>
            </w:r>
          </w:p>
        </w:tc>
        <w:tc>
          <w:tcPr>
            <w:tcW w:w="3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3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Dilution discount</w:t>
            </w:r>
          </w:p>
        </w:tc>
        <w:tc>
          <w:tcPr>
            <w:tcW w:w="3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at June 30, 2018, the Group updated the underlying assumptions and calculated a fair value of these warrants, using the Black-Scholes pricing model (including level 3 assumptions), amounting to £7.2 million.</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variance for the six month period ending June 30, 2018, was £6.0 million (six month period ending June 30, 2017: £5.1 million) and is recorded as finance expense (June 30, 2017, recorded in finance income) in the Consolidated Statement of Comprehensive Income.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Derivative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financial</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858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instrument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858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 of January, 1</w:t>
            </w: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7,923</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recognized in profit or loss</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5,976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7,249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2,810</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the amount recognized as at June 30, 2018, the effect if volatility were to deviate up or down is presented in the following table.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8"/>
              </w:rPr>
              <w:t>Volatility</w:t>
            </w:r>
          </w:p>
        </w:tc>
      </w:tr>
      <w:tr>
        <w:trPr>
          <w:trHeight w:val="203"/>
        </w:trPr>
        <w:tc>
          <w:tcPr>
            <w:tcW w:w="9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(up / down</w:t>
            </w:r>
          </w:p>
        </w:tc>
      </w:tr>
      <w:tr>
        <w:trPr>
          <w:trHeight w:val="215"/>
        </w:trPr>
        <w:tc>
          <w:tcPr>
            <w:tcW w:w="96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10 % pts)</w:t>
            </w:r>
          </w:p>
        </w:tc>
      </w:tr>
      <w:tr>
        <w:trPr>
          <w:trHeight w:val="33"/>
        </w:trPr>
        <w:tc>
          <w:tcPr>
            <w:tcW w:w="96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6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r>
      <w:tr>
        <w:trPr>
          <w:trHeight w:val="25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7,249</w:t>
            </w: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r>
    </w:tbl>
    <w:p>
      <w:pPr>
        <w:sectPr>
          <w:pgSz w:w="11900" w:h="16838" w:orient="portrait"/>
          <w:cols w:equalWidth="0" w:num="1">
            <w:col w:w="11420"/>
          </w:cols>
          <w:pgMar w:left="240" w:top="4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11. Assumed contingent obligation related to the business combination</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value of the assumed contingent obligation as of June 30, 2018, amounted to £932 thousand (December 31, 2017: £875 thousand). The increase in value of the assumed contingent obligation during the six months ended June 30, 2018, amounted to £57 thousand (six months ended June 30, 2017: £33 thousand) and the unwinding of the discount on the liability was recorded in finance expense. Periodic re-measurement is triggered by changes in the probability of success. The discount percentage applied is 12%. In 2017 and the six months ended June 30, 2018, there were no events that triggered remeasurement.</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Unwinding of discount factor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30,</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There is no material difference between the fair value and carrying value of the financial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34925</wp:posOffset>
            </wp:positionV>
            <wp:extent cx="1663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£'000s</w:t>
      </w:r>
      <w:r>
        <w:rPr>
          <w:sz w:val="20"/>
          <w:szCs w:val="20"/>
          <w:color w:val="auto"/>
        </w:rPr>
        <w:tab/>
      </w:r>
      <w:r>
        <w:rPr>
          <w:rFonts w:ascii="Arial" w:cs="Arial" w:eastAsia="Arial" w:hAnsi="Arial"/>
          <w:sz w:val="14"/>
          <w:szCs w:val="14"/>
          <w:b w:val="1"/>
          <w:bCs w:val="1"/>
          <w:color w:val="auto"/>
        </w:rPr>
        <w:t>£'000s</w:t>
      </w:r>
    </w:p>
    <w:p>
      <w:pPr>
        <w:spacing w:after="0" w:line="81"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875</w:t>
      </w:r>
      <w:r>
        <w:rPr>
          <w:sz w:val="20"/>
          <w:szCs w:val="20"/>
          <w:color w:val="auto"/>
        </w:rPr>
        <w:tab/>
      </w:r>
      <w:r>
        <w:rPr>
          <w:rFonts w:ascii="Arial" w:cs="Arial" w:eastAsia="Arial" w:hAnsi="Arial"/>
          <w:sz w:val="18"/>
          <w:szCs w:val="18"/>
          <w:color w:val="auto"/>
        </w:rPr>
        <w:t>803</w:t>
      </w:r>
    </w:p>
    <w:p>
      <w:pPr>
        <w:spacing w:after="0" w:line="63" w:lineRule="exact"/>
        <w:rPr>
          <w:sz w:val="20"/>
          <w:szCs w:val="20"/>
          <w:color w:val="auto"/>
        </w:rPr>
      </w:pPr>
    </w:p>
    <w:p>
      <w:pPr>
        <w:ind w:left="1840" w:hanging="1212"/>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(13)</w:t>
      </w:r>
    </w:p>
    <w:p>
      <w:pPr>
        <w:spacing w:after="0" w:line="61"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51</w:t>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23495</wp:posOffset>
            </wp:positionV>
            <wp:extent cx="1663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8"/>
          <w:szCs w:val="18"/>
          <w:color w:val="auto"/>
        </w:rPr>
        <w:t>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31750</wp:posOffset>
            </wp:positionV>
            <wp:extent cx="166370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8500" w:space="720"/>
            <w:col w:w="2200"/>
          </w:cols>
          <w:pgMar w:left="240" w:top="468" w:right="239" w:bottom="1440" w:gutter="0" w:footer="0" w:header="0"/>
          <w:type w:val="continuous"/>
        </w:sectPr>
      </w:pPr>
    </w:p>
    <w:p>
      <w:pPr>
        <w:spacing w:after="0" w:line="64"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For the amount recognized as at June 30, 2018, of £932 thousand, the effect if underlying assumptions were to deviate up or down is presented in the following table (assuming the probability of success does not change):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w w:val="99"/>
              </w:rPr>
              <w:t>Discount rate</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rPr>
              <w:t>Revenue</w:t>
            </w:r>
          </w:p>
        </w:tc>
      </w:tr>
      <w:tr>
        <w:trPr>
          <w:trHeight w:val="203"/>
        </w:trPr>
        <w:tc>
          <w:tcPr>
            <w:tcW w:w="8920" w:type="dxa"/>
            <w:vAlign w:val="bottom"/>
          </w:tcPr>
          <w:p>
            <w:pPr>
              <w:spacing w:after="0"/>
              <w:rPr>
                <w:sz w:val="17"/>
                <w:szCs w:val="17"/>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rPr>
              <w:t>(up / down</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w w:val="99"/>
              </w:rPr>
              <w:t>(up / down</w:t>
            </w:r>
          </w:p>
        </w:tc>
      </w:tr>
      <w:tr>
        <w:trPr>
          <w:trHeight w:val="215"/>
        </w:trPr>
        <w:tc>
          <w:tcPr>
            <w:tcW w:w="8920" w:type="dxa"/>
            <w:vAlign w:val="bottom"/>
          </w:tcPr>
          <w:p>
            <w:pPr>
              <w:spacing w:after="0"/>
              <w:rPr>
                <w:sz w:val="18"/>
                <w:szCs w:val="18"/>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rPr>
              <w:t>1 % pt)</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rPr>
              <w:t>10 % pts)</w:t>
            </w:r>
          </w:p>
        </w:tc>
      </w:tr>
      <w:tr>
        <w:trPr>
          <w:trHeight w:val="33"/>
        </w:trPr>
        <w:tc>
          <w:tcPr>
            <w:tcW w:w="8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920" w:type="dxa"/>
            <w:vAlign w:val="bottom"/>
          </w:tcPr>
          <w:p>
            <w:pPr>
              <w:spacing w:after="0"/>
              <w:rPr>
                <w:sz w:val="21"/>
                <w:szCs w:val="21"/>
                <w:color w:val="auto"/>
              </w:rPr>
            </w:pPr>
          </w:p>
        </w:tc>
        <w:tc>
          <w:tcPr>
            <w:tcW w:w="1360" w:type="dxa"/>
            <w:vAlign w:val="bottom"/>
          </w:tcPr>
          <w:p>
            <w:pPr>
              <w:jc w:val="center"/>
              <w:ind w:right="16"/>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rPr>
              <w:t>£'000s</w:t>
            </w:r>
          </w:p>
        </w:tc>
      </w:tr>
      <w:tr>
        <w:trPr>
          <w:trHeight w:val="26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889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50"/>
        </w:trPr>
        <w:tc>
          <w:tcPr>
            <w:tcW w:w="892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360" w:type="dxa"/>
            <w:vAlign w:val="bottom"/>
          </w:tcPr>
          <w:p>
            <w:pPr>
              <w:jc w:val="right"/>
              <w:ind w:right="36"/>
              <w:spacing w:after="0"/>
              <w:rPr>
                <w:sz w:val="20"/>
                <w:szCs w:val="20"/>
                <w:color w:val="auto"/>
              </w:rPr>
            </w:pPr>
            <w:r>
              <w:rPr>
                <w:rFonts w:ascii="Arial" w:cs="Arial" w:eastAsia="Arial" w:hAnsi="Arial"/>
                <w:sz w:val="18"/>
                <w:szCs w:val="18"/>
                <w:b w:val="1"/>
                <w:bCs w:val="1"/>
                <w:color w:val="auto"/>
              </w:rPr>
              <w:t>932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932</w:t>
            </w:r>
          </w:p>
        </w:tc>
      </w:tr>
      <w:tr>
        <w:trPr>
          <w:trHeight w:val="26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977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bl>
    <w:p>
      <w:pPr>
        <w:sectPr>
          <w:pgSz w:w="11900" w:h="16838" w:orient="portrait"/>
          <w:cols w:equalWidth="0" w:num="1">
            <w:col w:w="11420"/>
          </w:cols>
          <w:pgMar w:left="240" w:top="468"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12. Share option scheme</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six months ended June 30, 2018 the Company granted a total of 2,090,847 share options and 273,390 Restricted Stock Units (“RSUs”) (six months ended June 30, 2017, the Company granted 4,656,828 share options, and 1,052,236 RSUs).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price</w:t>
            </w: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5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38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7,527,457</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3,037,333</w:t>
            </w: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2,090,847</w:t>
            </w: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4,656,828</w:t>
            </w:r>
          </w:p>
        </w:tc>
        <w:tc>
          <w:tcPr>
            <w:tcW w:w="0" w:type="dxa"/>
            <w:vAlign w:val="bottom"/>
          </w:tcPr>
          <w:p>
            <w:pPr>
              <w:spacing w:after="0"/>
              <w:rPr>
                <w:sz w:val="1"/>
                <w:szCs w:val="1"/>
                <w:color w:val="auto"/>
              </w:rPr>
            </w:pPr>
          </w:p>
        </w:tc>
      </w:tr>
      <w:tr>
        <w:trPr>
          <w:trHeight w:val="27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during the period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during the period</w:t>
            </w:r>
          </w:p>
        </w:tc>
        <w:tc>
          <w:tcPr>
            <w:tcW w:w="1040" w:type="dxa"/>
            <w:vAlign w:val="bottom"/>
            <w:tcBorders>
              <w:bottom w:val="single" w:sz="8" w:color="CCEEFF"/>
            </w:tcBorders>
          </w:tcPr>
          <w:p>
            <w:pPr>
              <w:jc w:val="right"/>
              <w:ind w:right="39"/>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(799,524)</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June 30</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8,818,780</w:t>
            </w:r>
          </w:p>
        </w:tc>
        <w:tc>
          <w:tcPr>
            <w:tcW w:w="11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7,660,828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movement in the number of the Company’s RSUs is set out below:</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6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1,052,236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273,390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1,052,236</w:t>
            </w:r>
          </w:p>
        </w:tc>
        <w:tc>
          <w:tcPr>
            <w:tcW w:w="0" w:type="dxa"/>
            <w:vAlign w:val="bottom"/>
          </w:tcPr>
          <w:p>
            <w:pPr>
              <w:spacing w:after="0"/>
              <w:rPr>
                <w:sz w:val="1"/>
                <w:szCs w:val="1"/>
                <w:color w:val="auto"/>
              </w:rPr>
            </w:pPr>
          </w:p>
        </w:tc>
      </w:tr>
      <w:tr>
        <w:trPr>
          <w:trHeight w:val="29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during the period</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(153,916)</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Outstanding RSUs at June 30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1,171,710</w:t>
            </w:r>
          </w:p>
        </w:tc>
        <w:tc>
          <w:tcPr>
            <w:tcW w:w="12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1,052,236</w:t>
            </w:r>
          </w:p>
        </w:tc>
        <w:tc>
          <w:tcPr>
            <w:tcW w:w="0" w:type="dxa"/>
            <w:vAlign w:val="bottom"/>
          </w:tcPr>
          <w:p>
            <w:pPr>
              <w:spacing w:after="0"/>
              <w:rPr>
                <w:sz w:val="1"/>
                <w:szCs w:val="1"/>
                <w:color w:val="auto"/>
              </w:rPr>
            </w:pPr>
          </w:p>
        </w:tc>
      </w:tr>
      <w:tr>
        <w:trPr>
          <w:trHeight w:val="41"/>
        </w:trPr>
        <w:tc>
          <w:tcPr>
            <w:tcW w:w="6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share</w:t>
      </w:r>
      <w:r>
        <w:rPr>
          <w:rFonts w:ascii="MS PGothic" w:cs="MS PGothic" w:eastAsia="MS PGothic" w:hAnsi="MS PGothic"/>
          <w:sz w:val="18"/>
          <w:szCs w:val="18"/>
          <w:color w:val="auto"/>
        </w:rPr>
        <w:t>‑</w:t>
      </w:r>
      <w:r>
        <w:rPr>
          <w:rFonts w:ascii="Arial" w:cs="Arial" w:eastAsia="Arial" w:hAnsi="Arial"/>
          <w:sz w:val="18"/>
          <w:szCs w:val="18"/>
          <w:color w:val="auto"/>
        </w:rPr>
        <w:t>based payment expense for the six months ended June 30, 2018, was £1,527 thousand (six months ended June 30, 2017: £968 thousand). In the three months ended June 30, 2018, 153,916 unvested options and RSUs were forfeited. Previously £370 thousand had been recognized in the statement of comprehensive income relating to their fair value; in the three months ended June 30, 2018, this charge was reversed.</w:t>
      </w:r>
    </w:p>
    <w:p>
      <w:pPr>
        <w:spacing w:after="0" w:line="21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options and RSUs granted during the six months ended June 30, 2018, were awarded under the Company’s 2017 Incentive Plan with total fair values estimated using the Black Scholes option pricing model of £2.3 million. The cost is amortized over the vesting period of the options and the RSUs on a straight-line basis. The following assumptions were used for the Black</w:t>
      </w:r>
      <w:r>
        <w:rPr>
          <w:rFonts w:ascii="MS PGothic" w:cs="MS PGothic" w:eastAsia="MS PGothic" w:hAnsi="MS PGothic"/>
          <w:sz w:val="18"/>
          <w:szCs w:val="18"/>
          <w:color w:val="auto"/>
        </w:rPr>
        <w:t>‑</w:t>
      </w:r>
      <w:r>
        <w:rPr>
          <w:rFonts w:ascii="Arial" w:cs="Arial" w:eastAsia="Arial" w:hAnsi="Arial"/>
          <w:sz w:val="18"/>
          <w:szCs w:val="18"/>
          <w:color w:val="auto"/>
        </w:rPr>
        <w:t>Scholes valuation of share options and RSUs granted in the six months ended June 30, 2018.</w:t>
      </w:r>
    </w:p>
    <w:p>
      <w:pPr>
        <w:sectPr>
          <w:pgSz w:w="11900" w:h="16838" w:orient="portrait"/>
          <w:cols w:equalWidth="0" w:num="1">
            <w:col w:w="11420"/>
          </w:cols>
          <w:pgMar w:left="240" w:top="481"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Share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34925</wp:posOffset>
            </wp:positionV>
            <wp:extent cx="23241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89"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Issued in the six months ended June 30, 2018</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40640</wp:posOffset>
            </wp:positionV>
            <wp:extent cx="2315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Issued in the six months ended June 30, 2018</w:t>
      </w:r>
    </w:p>
    <w:p>
      <w:pPr>
        <w:spacing w:after="0" w:line="35" w:lineRule="exact"/>
        <w:rPr>
          <w:sz w:val="20"/>
          <w:szCs w:val="20"/>
          <w:color w:val="auto"/>
        </w:rPr>
      </w:pPr>
    </w:p>
    <w:p>
      <w:pPr>
        <w:sectPr>
          <w:pgSz w:w="11900" w:h="16838" w:orient="portrait"/>
          <w:cols w:equalWidth="0" w:num="2">
            <w:col w:w="7400" w:space="640"/>
            <w:col w:w="3380"/>
          </w:cols>
          <w:pgMar w:left="240" w:top="48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 RSUs granted</w:t>
            </w:r>
          </w:p>
        </w:tc>
        <w:tc>
          <w:tcPr>
            <w:tcW w:w="3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2,090,847</w:t>
            </w:r>
          </w:p>
        </w:tc>
        <w:tc>
          <w:tcPr>
            <w:tcW w:w="120" w:type="dxa"/>
            <w:vAlign w:val="bottom"/>
            <w:tcBorders>
              <w:top w:val="single" w:sz="8" w:color="CCEEFF"/>
            </w:tcBorders>
            <w:shd w:val="clear" w:color="auto" w:fill="CCEEFF"/>
          </w:tcPr>
          <w:p>
            <w:pPr>
              <w:spacing w:after="0"/>
              <w:rPr>
                <w:sz w:val="23"/>
                <w:szCs w:val="23"/>
                <w:color w:val="auto"/>
              </w:rPr>
            </w:pPr>
          </w:p>
        </w:tc>
        <w:tc>
          <w:tcPr>
            <w:tcW w:w="3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273,390</w:t>
            </w:r>
          </w:p>
        </w:tc>
      </w:tr>
      <w:tr>
        <w:trPr>
          <w:trHeight w:val="263"/>
        </w:trPr>
        <w:tc>
          <w:tcPr>
            <w:tcW w:w="4000" w:type="dxa"/>
            <w:vAlign w:val="bottom"/>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660" w:type="dxa"/>
            <w:vAlign w:val="bottom"/>
          </w:tcPr>
          <w:p>
            <w:pPr>
              <w:jc w:val="right"/>
              <w:spacing w:after="0"/>
              <w:rPr>
                <w:sz w:val="20"/>
                <w:szCs w:val="20"/>
                <w:color w:val="auto"/>
              </w:rPr>
            </w:pPr>
            <w:r>
              <w:rPr>
                <w:rFonts w:ascii="Arial" w:cs="Arial" w:eastAsia="Arial" w:hAnsi="Arial"/>
                <w:sz w:val="18"/>
                <w:szCs w:val="18"/>
                <w:color w:val="auto"/>
              </w:rPr>
              <w:t>1.08% - 1.22%</w:t>
            </w:r>
          </w:p>
        </w:tc>
        <w:tc>
          <w:tcPr>
            <w:tcW w:w="1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1.08% - 1.22%</w:t>
            </w:r>
          </w:p>
        </w:tc>
      </w:tr>
      <w:tr>
        <w:trPr>
          <w:trHeight w:val="27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options / RSUs</w:t>
            </w:r>
          </w:p>
        </w:tc>
        <w:tc>
          <w:tcPr>
            <w:tcW w:w="3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5.5 - 7 years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5.5 - 7 years</w:t>
            </w:r>
          </w:p>
        </w:tc>
      </w:tr>
      <w:tr>
        <w:trPr>
          <w:trHeight w:val="263"/>
        </w:trPr>
        <w:tc>
          <w:tcPr>
            <w:tcW w:w="4000" w:type="dxa"/>
            <w:vAlign w:val="bottom"/>
          </w:tcPr>
          <w:p>
            <w:pPr>
              <w:ind w:left="20"/>
              <w:spacing w:after="0"/>
              <w:rPr>
                <w:sz w:val="20"/>
                <w:szCs w:val="20"/>
                <w:color w:val="auto"/>
              </w:rPr>
            </w:pPr>
            <w:r>
              <w:rPr>
                <w:rFonts w:ascii="Arial" w:cs="Arial" w:eastAsia="Arial" w:hAnsi="Arial"/>
                <w:sz w:val="18"/>
                <w:szCs w:val="18"/>
                <w:color w:val="auto"/>
              </w:rPr>
              <w:t>Annualized volatility</w:t>
            </w:r>
          </w:p>
        </w:tc>
        <w:tc>
          <w:tcPr>
            <w:tcW w:w="3660" w:type="dxa"/>
            <w:vAlign w:val="bottom"/>
          </w:tcPr>
          <w:p>
            <w:pPr>
              <w:jc w:val="right"/>
              <w:spacing w:after="0"/>
              <w:rPr>
                <w:sz w:val="20"/>
                <w:szCs w:val="20"/>
                <w:color w:val="auto"/>
              </w:rPr>
            </w:pPr>
            <w:r>
              <w:rPr>
                <w:rFonts w:ascii="Arial" w:cs="Arial" w:eastAsia="Arial" w:hAnsi="Arial"/>
                <w:sz w:val="18"/>
                <w:szCs w:val="18"/>
                <w:color w:val="auto"/>
              </w:rPr>
              <w:t>69.88% -71.35%</w:t>
            </w:r>
          </w:p>
        </w:tc>
        <w:tc>
          <w:tcPr>
            <w:tcW w:w="1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69.88% -71.35%</w:t>
            </w:r>
          </w:p>
        </w:tc>
      </w:tr>
      <w:tr>
        <w:trPr>
          <w:trHeight w:val="27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rate</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4"/>
                <w:szCs w:val="24"/>
                <w:color w:val="auto"/>
              </w:rPr>
            </w:pP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color w:val="auto"/>
              </w:rPr>
              <w:t>Vesting period</w:t>
            </w:r>
          </w:p>
        </w:tc>
        <w:tc>
          <w:tcPr>
            <w:tcW w:w="3780" w:type="dxa"/>
            <w:vAlign w:val="bottom"/>
            <w:gridSpan w:val="2"/>
          </w:tcPr>
          <w:p>
            <w:pPr>
              <w:jc w:val="right"/>
              <w:ind w:right="140"/>
              <w:spacing w:after="0"/>
              <w:rPr>
                <w:sz w:val="20"/>
                <w:szCs w:val="20"/>
                <w:color w:val="auto"/>
              </w:rPr>
            </w:pPr>
            <w:r>
              <w:rPr>
                <w:rFonts w:ascii="Arial" w:cs="Arial" w:eastAsia="Arial" w:hAnsi="Arial"/>
                <w:sz w:val="18"/>
                <w:szCs w:val="18"/>
                <w:color w:val="auto"/>
              </w:rPr>
              <w:t>1 to 4 years</w:t>
            </w:r>
          </w:p>
        </w:tc>
        <w:tc>
          <w:tcPr>
            <w:tcW w:w="3640" w:type="dxa"/>
            <w:vAlign w:val="bottom"/>
          </w:tcPr>
          <w:p>
            <w:pPr>
              <w:jc w:val="right"/>
              <w:spacing w:after="0"/>
              <w:rPr>
                <w:sz w:val="20"/>
                <w:szCs w:val="20"/>
                <w:color w:val="auto"/>
              </w:rPr>
            </w:pPr>
            <w:r>
              <w:rPr>
                <w:rFonts w:ascii="Arial" w:cs="Arial" w:eastAsia="Arial" w:hAnsi="Arial"/>
                <w:sz w:val="18"/>
                <w:szCs w:val="18"/>
                <w:color w:val="auto"/>
              </w:rPr>
              <w:t>1 to 4 years</w:t>
            </w:r>
          </w:p>
        </w:tc>
      </w:tr>
    </w:tbl>
    <w:p>
      <w:pPr>
        <w:sectPr>
          <w:pgSz w:w="11900" w:h="16838" w:orient="portrait"/>
          <w:cols w:equalWidth="0" w:num="1">
            <w:col w:w="11420"/>
          </w:cols>
          <w:pgMar w:left="240" w:top="481"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six months ended June 30, 2018, and 2017, the executive director received regular salary, post-employment benefits and share-based payments. Additionally, non-executive directors received compensation for their services in the form of cash compensation and equity grants. The compensation costs for the directors and senior staff for the three and six months ended June 30, 2018, and 2017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Short term</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Post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employee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Share-based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employment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3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right"/>
              <w:ind w:right="441"/>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Three months ended June 30,</w:t>
            </w:r>
          </w:p>
        </w:tc>
        <w:tc>
          <w:tcPr>
            <w:tcW w:w="280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Directors</w:t>
            </w:r>
          </w:p>
        </w:tc>
        <w:tc>
          <w:tcPr>
            <w:tcW w:w="15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100"/>
        </w:trPr>
        <w:tc>
          <w:tcPr>
            <w:tcW w:w="2360" w:type="dxa"/>
            <w:vAlign w:val="bottom"/>
            <w:vMerge w:val="restart"/>
            <w:shd w:val="clear" w:color="auto" w:fill="CCEEFF"/>
          </w:tcPr>
          <w:p>
            <w:pPr>
              <w:jc w:val="right"/>
              <w:ind w:right="1699"/>
              <w:spacing w:after="0"/>
              <w:rPr>
                <w:sz w:val="20"/>
                <w:szCs w:val="20"/>
                <w:color w:val="auto"/>
              </w:rPr>
            </w:pPr>
            <w:r>
              <w:rPr>
                <w:rFonts w:ascii="Arial" w:cs="Arial" w:eastAsia="Arial" w:hAnsi="Arial"/>
                <w:sz w:val="16"/>
                <w:szCs w:val="16"/>
                <w:color w:val="auto"/>
              </w:rPr>
              <w:t>2018</w:t>
            </w:r>
          </w:p>
        </w:tc>
        <w:tc>
          <w:tcPr>
            <w:tcW w:w="2800" w:type="dxa"/>
            <w:vAlign w:val="bottom"/>
            <w:vMerge w:val="continue"/>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360" w:type="dxa"/>
            <w:vAlign w:val="bottom"/>
            <w:vMerge w:val="continue"/>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37"/>
        </w:trPr>
        <w:tc>
          <w:tcPr>
            <w:tcW w:w="236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748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1,190</w:t>
            </w:r>
          </w:p>
        </w:tc>
        <w:tc>
          <w:tcPr>
            <w:tcW w:w="0" w:type="dxa"/>
            <w:vAlign w:val="bottom"/>
          </w:tcPr>
          <w:p>
            <w:pPr>
              <w:spacing w:after="0"/>
              <w:rPr>
                <w:sz w:val="1"/>
                <w:szCs w:val="1"/>
                <w:color w:val="auto"/>
              </w:rPr>
            </w:pPr>
          </w:p>
        </w:tc>
      </w:tr>
      <w:tr>
        <w:trPr>
          <w:trHeight w:val="20"/>
        </w:trPr>
        <w:tc>
          <w:tcPr>
            <w:tcW w:w="2360" w:type="dxa"/>
            <w:vAlign w:val="bottom"/>
            <w:vMerge w:val="restart"/>
          </w:tcPr>
          <w:p>
            <w:pPr>
              <w:jc w:val="right"/>
              <w:ind w:right="99"/>
              <w:spacing w:after="0"/>
              <w:rPr>
                <w:sz w:val="20"/>
                <w:szCs w:val="20"/>
                <w:color w:val="auto"/>
              </w:rPr>
            </w:pPr>
            <w:r>
              <w:rPr>
                <w:rFonts w:ascii="Arial" w:cs="Arial" w:eastAsia="Arial" w:hAnsi="Arial"/>
                <w:sz w:val="16"/>
                <w:szCs w:val="16"/>
                <w:color w:val="auto"/>
              </w:rPr>
              <w:t>Three months ended June 30,</w:t>
            </w:r>
          </w:p>
        </w:tc>
        <w:tc>
          <w:tcPr>
            <w:tcW w:w="2800" w:type="dxa"/>
            <w:vAlign w:val="bottom"/>
            <w:vMerge w:val="restart"/>
          </w:tcPr>
          <w:p>
            <w:pPr>
              <w:ind w:left="180"/>
              <w:spacing w:after="0"/>
              <w:rPr>
                <w:sz w:val="20"/>
                <w:szCs w:val="20"/>
                <w:color w:val="auto"/>
              </w:rPr>
            </w:pPr>
            <w:r>
              <w:rPr>
                <w:rFonts w:ascii="Arial" w:cs="Arial" w:eastAsia="Arial" w:hAnsi="Arial"/>
                <w:sz w:val="16"/>
                <w:szCs w:val="16"/>
                <w:color w:val="auto"/>
              </w:rPr>
              <w:t>Directors</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36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1500" w:type="dxa"/>
            <w:vAlign w:val="bottom"/>
            <w:vMerge w:val="restart"/>
          </w:tcPr>
          <w:p>
            <w:pPr>
              <w:jc w:val="right"/>
              <w:ind w:right="43"/>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5"/>
                <w:szCs w:val="15"/>
                <w:color w:val="auto"/>
              </w:rPr>
            </w:pPr>
          </w:p>
        </w:tc>
        <w:tc>
          <w:tcPr>
            <w:tcW w:w="1480" w:type="dxa"/>
            <w:vAlign w:val="bottom"/>
            <w:vMerge w:val="restart"/>
          </w:tcPr>
          <w:p>
            <w:pPr>
              <w:jc w:val="right"/>
              <w:ind w:right="22"/>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5"/>
                <w:szCs w:val="15"/>
                <w:color w:val="auto"/>
              </w:rPr>
            </w:pPr>
          </w:p>
        </w:tc>
        <w:tc>
          <w:tcPr>
            <w:tcW w:w="1480" w:type="dxa"/>
            <w:vAlign w:val="bottom"/>
            <w:vMerge w:val="restart"/>
          </w:tcPr>
          <w:p>
            <w:pPr>
              <w:jc w:val="right"/>
              <w:ind w:right="23"/>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5"/>
                <w:szCs w:val="15"/>
                <w:color w:val="auto"/>
              </w:rPr>
            </w:pPr>
          </w:p>
        </w:tc>
        <w:tc>
          <w:tcPr>
            <w:tcW w:w="1480" w:type="dxa"/>
            <w:vAlign w:val="bottom"/>
            <w:vMerge w:val="restart"/>
          </w:tcPr>
          <w:p>
            <w:pPr>
              <w:jc w:val="right"/>
              <w:ind w:right="21"/>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114"/>
        </w:trPr>
        <w:tc>
          <w:tcPr>
            <w:tcW w:w="2360" w:type="dxa"/>
            <w:vAlign w:val="bottom"/>
            <w:vMerge w:val="restart"/>
          </w:tcPr>
          <w:p>
            <w:pPr>
              <w:jc w:val="right"/>
              <w:ind w:right="1699"/>
              <w:spacing w:after="0"/>
              <w:rPr>
                <w:sz w:val="20"/>
                <w:szCs w:val="20"/>
                <w:color w:val="auto"/>
              </w:rPr>
            </w:pPr>
            <w:r>
              <w:rPr>
                <w:rFonts w:ascii="Arial" w:cs="Arial" w:eastAsia="Arial" w:hAnsi="Arial"/>
                <w:sz w:val="16"/>
                <w:szCs w:val="16"/>
                <w:color w:val="auto"/>
              </w:rPr>
              <w:t>2017</w:t>
            </w:r>
          </w:p>
        </w:tc>
        <w:tc>
          <w:tcPr>
            <w:tcW w:w="28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36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360" w:type="dxa"/>
            <w:vAlign w:val="bottom"/>
            <w:shd w:val="clear" w:color="auto" w:fill="CCEEFF"/>
          </w:tcPr>
          <w:p>
            <w:pPr>
              <w:spacing w:after="0"/>
              <w:rPr>
                <w:sz w:val="23"/>
                <w:szCs w:val="23"/>
                <w:color w:val="auto"/>
              </w:rPr>
            </w:pPr>
          </w:p>
        </w:tc>
        <w:tc>
          <w:tcPr>
            <w:tcW w:w="2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746</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664</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1,420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Short term</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Post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employee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Share-based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employment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right"/>
              <w:ind w:right="441"/>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Six months ended June 30, 2018</w:t>
            </w:r>
          </w:p>
        </w:tc>
        <w:tc>
          <w:tcPr>
            <w:tcW w:w="2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Directors</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64"/>
        </w:trPr>
        <w:tc>
          <w:tcPr>
            <w:tcW w:w="2460" w:type="dxa"/>
            <w:vAlign w:val="bottom"/>
            <w:tcBorders>
              <w:bottom w:val="single" w:sz="8" w:color="CCEEFF"/>
            </w:tcBorders>
          </w:tcPr>
          <w:p>
            <w:pPr>
              <w:spacing w:after="0"/>
              <w:rPr>
                <w:sz w:val="22"/>
                <w:szCs w:val="22"/>
                <w:color w:val="auto"/>
              </w:rPr>
            </w:pPr>
          </w:p>
        </w:tc>
        <w:tc>
          <w:tcPr>
            <w:tcW w:w="27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921</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1,596</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1,366</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1,402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2,789</w:t>
            </w:r>
          </w:p>
        </w:tc>
        <w:tc>
          <w:tcPr>
            <w:tcW w:w="0" w:type="dxa"/>
            <w:vAlign w:val="bottom"/>
          </w:tcPr>
          <w:p>
            <w:pPr>
              <w:spacing w:after="0"/>
              <w:rPr>
                <w:sz w:val="1"/>
                <w:szCs w:val="1"/>
                <w:color w:val="auto"/>
              </w:rPr>
            </w:pPr>
          </w:p>
        </w:tc>
      </w:tr>
      <w:tr>
        <w:trPr>
          <w:trHeight w:val="20"/>
        </w:trPr>
        <w:tc>
          <w:tcPr>
            <w:tcW w:w="2460" w:type="dxa"/>
            <w:vAlign w:val="bottom"/>
            <w:vMerge w:val="restart"/>
          </w:tcPr>
          <w:p>
            <w:pPr>
              <w:ind w:left="20"/>
              <w:spacing w:after="0"/>
              <w:rPr>
                <w:sz w:val="20"/>
                <w:szCs w:val="20"/>
                <w:color w:val="auto"/>
              </w:rPr>
            </w:pPr>
            <w:r>
              <w:rPr>
                <w:rFonts w:ascii="Arial" w:cs="Arial" w:eastAsia="Arial" w:hAnsi="Arial"/>
                <w:sz w:val="16"/>
                <w:szCs w:val="16"/>
                <w:color w:val="auto"/>
              </w:rPr>
              <w:t>Six months ended June 30, 2017</w:t>
            </w:r>
          </w:p>
        </w:tc>
        <w:tc>
          <w:tcPr>
            <w:tcW w:w="2700" w:type="dxa"/>
            <w:vAlign w:val="bottom"/>
            <w:vMerge w:val="restart"/>
          </w:tcPr>
          <w:p>
            <w:pPr>
              <w:ind w:left="80"/>
              <w:spacing w:after="0"/>
              <w:rPr>
                <w:sz w:val="20"/>
                <w:szCs w:val="20"/>
                <w:color w:val="auto"/>
              </w:rPr>
            </w:pPr>
            <w:r>
              <w:rPr>
                <w:rFonts w:ascii="Arial" w:cs="Arial" w:eastAsia="Arial" w:hAnsi="Arial"/>
                <w:sz w:val="16"/>
                <w:szCs w:val="16"/>
                <w:color w:val="auto"/>
              </w:rPr>
              <w:t>Directors</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9"/>
                <w:szCs w:val="19"/>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73"/>
        </w:trPr>
        <w:tc>
          <w:tcPr>
            <w:tcW w:w="2460" w:type="dxa"/>
            <w:vAlign w:val="bottom"/>
            <w:shd w:val="clear" w:color="auto" w:fill="CCEEFF"/>
          </w:tcPr>
          <w:p>
            <w:pPr>
              <w:spacing w:after="0"/>
              <w:rPr>
                <w:sz w:val="23"/>
                <w:szCs w:val="23"/>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1,225</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917</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2,161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Dr. Jan-Anders Karlsson, Chief Executive Officer of the Company, purchased 3,250 ordinary shares for £5 thousand from the market in the period.</w:t>
      </w:r>
    </w:p>
    <w:p>
      <w:pPr>
        <w:sectPr>
          <w:pgSz w:w="11900" w:h="16838" w:orient="portrait"/>
          <w:cols w:equalWidth="0" w:num="1">
            <w:col w:w="11420"/>
          </w:cols>
          <w:pgMar w:left="240" w:top="46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14. Convenience translation</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results in pounds sterling. For the convenience of the reader we have translated pound sterling amounts in the tables below as of June 30, 2018, and for the three and six month periods ended June 30, 2018 into US dollars at the noon buying rate of the Federal Reserve Bank of New York on June 29, 2018, which was £ 1.00 to $1.3197.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CONDENSED CONSOLIDATED STATEMENT OF COMPREHENSIVE INCOME FOR THE THREE AND SIX MONTHS ENDED JUNE 30, 2018 (UNAUDITED)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r>
      <w:tr>
        <w:trPr>
          <w:trHeight w:val="244"/>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(5,123)</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(10,957)</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4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Pr>
          <w:p>
            <w:pPr>
              <w:jc w:val="right"/>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(7,462)</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(11,533)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(15,220)</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5,273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6,959</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1,453</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(21,721)</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1,355</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2,437</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Profit / (loss) for the year</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(19,284)</w:t>
            </w: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w:t>
            </w:r>
          </w:p>
        </w:tc>
      </w:tr>
      <w:tr>
        <w:trPr>
          <w:trHeight w:val="193"/>
        </w:trPr>
        <w:tc>
          <w:tcPr>
            <w:tcW w:w="562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Total comprehensive income / (loss) attributable to owners of</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the Company</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861</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(19,264)</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Earnings / (loss) per ordinary share — basic (pence / cents)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0.77</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(18.36)</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 (loss) per ordinary share — diluted (pence / cents)</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0.76</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r>
    </w:tbl>
    <w:p>
      <w:pPr>
        <w:sectPr>
          <w:pgSz w:w="11900" w:h="16838" w:orient="portrait"/>
          <w:cols w:equalWidth="0" w:num="1">
            <w:col w:w="11420"/>
          </w:cols>
          <w:pgMar w:left="240" w:top="481"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CONDENSED CONSOLIDATED STATEMENT OF FINANCIAL POSITION AS AT JUNE 30, 2018, AND DECEMBER 31, 2017 (UNAUDITED)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4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1,969</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3,371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2,426</w:t>
            </w:r>
          </w:p>
        </w:tc>
      </w:tr>
      <w:tr>
        <w:trPr>
          <w:trHeight w:val="297"/>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1,810</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9,255</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5,006</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32,282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42,603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48,819</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48,267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31,443</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78,096</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103,064</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87,078</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80,650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106,435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51"/>
        </w:trPr>
        <w:tc>
          <w:tcPr>
            <w:tcW w:w="74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5,251</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6,549</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8,643</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5,022</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(84,264)</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(49,254)</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66,811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88,171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79,881</w:t>
            </w:r>
          </w:p>
        </w:tc>
      </w:tr>
      <w:tr>
        <w:trPr>
          <w:trHeight w:val="297"/>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7,249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9,567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1,273</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Trade and other payables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5,529</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7,154</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payable — U.S. Operations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12,778</w:t>
            </w:r>
          </w:p>
        </w:tc>
        <w:tc>
          <w:tcPr>
            <w:tcW w:w="1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16,864</w:t>
            </w:r>
          </w:p>
        </w:tc>
        <w:tc>
          <w:tcPr>
            <w:tcW w:w="1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8,596</w:t>
            </w:r>
          </w:p>
        </w:tc>
      </w:tr>
      <w:tr>
        <w:trPr>
          <w:trHeight w:val="324"/>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1,027</w:t>
            </w:r>
          </w:p>
        </w:tc>
      </w:tr>
      <w:tr>
        <w:trPr>
          <w:trHeight w:val="25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80,650</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106,435</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2019-12-08T14:32:11Z</dcterms:created>
  <dcterms:modified xsi:type="dcterms:W3CDTF">2019-12-08T14:32:11Z</dcterms:modified>
</cp:coreProperties>
</file>