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 w:lineRule="exact"/>
        <w:rPr>
          <w:sz w:val="24"/>
          <w:szCs w:val="24"/>
          <w:color w:val="auto"/>
        </w:rPr>
      </w:pPr>
    </w:p>
    <w:p>
      <w:pPr>
        <w:ind w:left="1480" w:hanging="309"/>
        <w:spacing w:after="0"/>
        <w:tabs>
          <w:tab w:leader="none" w:pos="1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2022</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001-38067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Verona Pharma plc</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5"/>
                <w:szCs w:val="15"/>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4"/>
                <w:szCs w:val="14"/>
                <w:b w:val="1"/>
                <w:bCs w:val="1"/>
                <w:color w:val="auto"/>
              </w:rPr>
              <w:t>98-1489389</w:t>
            </w:r>
          </w:p>
        </w:tc>
      </w:tr>
      <w:tr>
        <w:trPr>
          <w:trHeight w:val="151"/>
        </w:trPr>
        <w:tc>
          <w:tcPr>
            <w:tcW w:w="7420" w:type="dxa"/>
            <w:vAlign w:val="bottom"/>
            <w:gridSpan w:val="2"/>
          </w:tcPr>
          <w:p>
            <w:pPr>
              <w:jc w:val="center"/>
              <w:ind w:right="2155"/>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40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72"/>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15"/>
        </w:trPr>
        <w:tc>
          <w:tcPr>
            <w:tcW w:w="3780" w:type="dxa"/>
            <w:vAlign w:val="bottom"/>
          </w:tcPr>
          <w:p>
            <w:pPr>
              <w:spacing w:after="0"/>
              <w:rPr>
                <w:sz w:val="18"/>
                <w:szCs w:val="18"/>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+44 203 283 4200</w:t>
            </w:r>
          </w:p>
        </w:tc>
        <w:tc>
          <w:tcPr>
            <w:tcW w:w="3840" w:type="dxa"/>
            <w:vAlign w:val="bottom"/>
          </w:tcPr>
          <w:p>
            <w:pPr>
              <w:spacing w:after="0"/>
              <w:rPr>
                <w:sz w:val="18"/>
                <w:szCs w:val="18"/>
                <w:color w:val="auto"/>
              </w:rPr>
            </w:pPr>
          </w:p>
        </w:tc>
      </w:tr>
      <w:tr>
        <w:trPr>
          <w:trHeight w:val="186"/>
        </w:trPr>
        <w:tc>
          <w:tcPr>
            <w:tcW w:w="3780" w:type="dxa"/>
            <w:vAlign w:val="bottom"/>
          </w:tcPr>
          <w:p>
            <w:pPr>
              <w:spacing w:after="0"/>
              <w:rPr>
                <w:sz w:val="16"/>
                <w:szCs w:val="16"/>
                <w:color w:val="auto"/>
              </w:rPr>
            </w:pPr>
          </w:p>
        </w:tc>
        <w:tc>
          <w:tcPr>
            <w:tcW w:w="364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Borders>
              <w:bottom w:val="single" w:sz="8" w:color="auto"/>
            </w:tcBorders>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Times New Roman" w:cs="Times New Roman" w:eastAsia="Times New Roman" w:hAnsi="Times New Roman"/>
                <w:sz w:val="11"/>
                <w:szCs w:val="11"/>
                <w:color w:val="auto"/>
              </w:rPr>
              <w:t>Ordinary shares, nominal value £0.05 per share*</w:t>
            </w:r>
          </w:p>
        </w:tc>
        <w:tc>
          <w:tcPr>
            <w:tcW w:w="3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VRNA</w:t>
            </w:r>
          </w:p>
        </w:tc>
        <w:tc>
          <w:tcPr>
            <w:tcW w:w="3840" w:type="dxa"/>
            <w:vAlign w:val="bottom"/>
          </w:tcPr>
          <w:p>
            <w:pPr>
              <w:jc w:val="center"/>
              <w:ind w:right="1056"/>
              <w:spacing w:after="0"/>
              <w:rPr>
                <w:sz w:val="20"/>
                <w:szCs w:val="20"/>
                <w:color w:val="auto"/>
              </w:rPr>
            </w:pPr>
            <w:r>
              <w:rPr>
                <w:rFonts w:ascii="Times New Roman" w:cs="Times New Roman" w:eastAsia="Times New Roman" w:hAnsi="Times New Roman"/>
                <w:sz w:val="11"/>
                <w:szCs w:val="11"/>
                <w:color w:val="auto"/>
              </w:rPr>
              <w:t>The Nasdaq Stock Market LLC (Nasdaq Global Market)</w:t>
            </w:r>
          </w:p>
        </w:tc>
      </w:tr>
    </w:tbl>
    <w:p>
      <w:pPr>
        <w:spacing w:after="0" w:line="150" w:lineRule="exact"/>
        <w:rPr>
          <w:sz w:val="24"/>
          <w:szCs w:val="24"/>
          <w:color w:val="auto"/>
        </w:rPr>
      </w:pPr>
    </w:p>
    <w:p>
      <w:pPr>
        <w:ind w:right="440" w:firstLine="5"/>
        <w:spacing w:after="0" w:line="300" w:lineRule="auto"/>
        <w:tabs>
          <w:tab w:leader="none" w:pos="8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53" w:lineRule="exact"/>
        <w:rPr>
          <w:sz w:val="24"/>
          <w:szCs w:val="24"/>
          <w:color w:val="auto"/>
        </w:rPr>
      </w:pPr>
    </w:p>
    <w:p>
      <w:pPr>
        <w:ind w:right="160"/>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0"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April 29, 2022, the registrant had 482,944,390 ordinary shares, nominal value £0.05 per share, outstanding, which if all held in ADS form, would be represented by 60,368,049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728980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1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2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1080" w:type="dxa"/>
            <w:vAlign w:val="bottom"/>
          </w:tcPr>
          <w:p>
            <w:pPr>
              <w:spacing w:after="0"/>
              <w:rPr>
                <w:sz w:val="13"/>
                <w:szCs w:val="13"/>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1A.</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5</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6</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916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2" w:name="page3"/>
    <w:bookmarkEnd w:id="2"/>
    <w:p>
      <w:pPr>
        <w:jc w:val="right"/>
        <w:ind w:right="303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 and par value of shares)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20" w:type="dxa"/>
            <w:vAlign w:val="bottom"/>
          </w:tcPr>
          <w:p>
            <w:pPr>
              <w:spacing w:after="0"/>
              <w:rPr>
                <w:sz w:val="12"/>
                <w:szCs w:val="12"/>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400" w:type="dxa"/>
            <w:vAlign w:val="bottom"/>
            <w:shd w:val="clear" w:color="auto" w:fill="CCEEFF"/>
          </w:tcPr>
          <w:p>
            <w:pPr>
              <w:ind w:left="5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148,380</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and tax incentive receivable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15,583</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170,063</w:t>
            </w:r>
          </w:p>
        </w:tc>
        <w:tc>
          <w:tcPr>
            <w:tcW w:w="0" w:type="dxa"/>
            <w:vAlign w:val="bottom"/>
          </w:tcPr>
          <w:p>
            <w:pPr>
              <w:spacing w:after="0"/>
              <w:rPr>
                <w:sz w:val="1"/>
                <w:szCs w:val="1"/>
                <w:color w:val="auto"/>
              </w:rPr>
            </w:pPr>
          </w:p>
        </w:tc>
      </w:tr>
      <w:tr>
        <w:trPr>
          <w:trHeight w:val="170"/>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Furniture and equipment, net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interest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16,360</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22,256</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payable</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1"/>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33,422</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 loan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0" w:type="dxa"/>
            <w:vAlign w:val="bottom"/>
          </w:tcPr>
          <w:p>
            <w:pPr>
              <w:spacing w:after="0"/>
              <w:rPr>
                <w:sz w:val="1"/>
                <w:szCs w:val="1"/>
                <w:color w:val="auto"/>
              </w:rPr>
            </w:pPr>
          </w:p>
        </w:tc>
      </w:tr>
      <w:tr>
        <w:trPr>
          <w:trHeight w:val="171"/>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38,582</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Ordinary £0.05 par value shares; 494,058,246 and 489,177,550 issued, and 482,944,390 and 480,082,966 outstanding, at March 31, 2022 and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31,855</w:t>
            </w:r>
          </w:p>
        </w:tc>
        <w:tc>
          <w:tcPr>
            <w:tcW w:w="0" w:type="dxa"/>
            <w:vAlign w:val="bottom"/>
          </w:tcPr>
          <w:p>
            <w:pPr>
              <w:spacing w:after="0"/>
              <w:rPr>
                <w:sz w:val="1"/>
                <w:szCs w:val="1"/>
                <w:color w:val="auto"/>
              </w:rPr>
            </w:pPr>
          </w:p>
        </w:tc>
      </w:tr>
      <w:tr>
        <w:trPr>
          <w:trHeight w:val="92"/>
        </w:trPr>
        <w:tc>
          <w:tcPr>
            <w:tcW w:w="84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385,070</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Ordinary shares held in treasury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(288,739)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(263,716)</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126,307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148,005</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2340" w:type="dxa"/>
            <w:vAlign w:val="bottom"/>
            <w:gridSpan w:val="4"/>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r>
      <w:tr>
        <w:trPr>
          <w:trHeight w:val="30"/>
        </w:trPr>
        <w:tc>
          <w:tcPr>
            <w:tcW w:w="8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tcPr>
          <w:p>
            <w:pPr>
              <w:spacing w:after="0"/>
              <w:rPr>
                <w:sz w:val="12"/>
                <w:szCs w:val="12"/>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jc w:val="right"/>
              <w:ind w:right="69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120" w:type="dxa"/>
            <w:vAlign w:val="bottom"/>
          </w:tcPr>
          <w:p>
            <w:pPr>
              <w:spacing w:after="0"/>
              <w:rPr>
                <w:sz w:val="15"/>
                <w:szCs w:val="15"/>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w:t>
            </w: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r>
      <w:tr>
        <w:trPr>
          <w:trHeight w:val="171"/>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22,856</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(22,856)</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movement on warrants</w:t>
            </w: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71"/>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 net</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(24,755)</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w:t>
            </w:r>
          </w:p>
        </w:tc>
      </w:tr>
      <w:tr>
        <w:trPr>
          <w:trHeight w:val="18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5"/>
        </w:trPr>
        <w:tc>
          <w:tcPr>
            <w:tcW w:w="84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40" w:type="dxa"/>
            <w:vAlign w:val="bottom"/>
            <w:tcBorders>
              <w:bottom w:val="single" w:sz="8" w:color="auto"/>
            </w:tcBorders>
            <w:shd w:val="clear" w:color="auto" w:fill="CCEEFF"/>
          </w:tcPr>
          <w:p>
            <w:pPr>
              <w:jc w:val="right"/>
              <w:ind w:right="695"/>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(24,837)</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93"/>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(21,290)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40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Loss per ordinary share - basic and diluted</w:t>
            </w:r>
          </w:p>
        </w:tc>
        <w:tc>
          <w:tcPr>
            <w:tcW w:w="840" w:type="dxa"/>
            <w:vAlign w:val="bottom"/>
            <w:tcBorders>
              <w:bottom w:val="single" w:sz="8" w:color="auto"/>
            </w:tcBorders>
          </w:tcPr>
          <w:p>
            <w:pPr>
              <w:jc w:val="right"/>
              <w:ind w:right="695"/>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693"/>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(0.05)</w:t>
            </w: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24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4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2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2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40" w:type="dxa"/>
            <w:vAlign w:val="bottom"/>
          </w:tcPr>
          <w:p>
            <w:pPr>
              <w:spacing w:after="0"/>
              <w:rPr>
                <w:sz w:val="12"/>
                <w:szCs w:val="12"/>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24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489,177,550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148,005</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(24,837)</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Issuance of common shares under at-</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the-market sales 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ordinary shares to treasury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4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shares withheld for taxes on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vested stock awards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Equity settled share-based</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 reclassified as cash-</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494,058,246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126,307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2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24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4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20" w:type="dxa"/>
            <w:vAlign w:val="bottom"/>
          </w:tcPr>
          <w:p>
            <w:pPr>
              <w:spacing w:after="0"/>
              <w:rPr>
                <w:sz w:val="12"/>
                <w:szCs w:val="12"/>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2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40" w:type="dxa"/>
            <w:vAlign w:val="bottom"/>
          </w:tcPr>
          <w:p>
            <w:pPr>
              <w:spacing w:after="0"/>
              <w:rPr>
                <w:sz w:val="12"/>
                <w:szCs w:val="12"/>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24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488,304,446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184,854</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488,304,446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2340" w:type="dxa"/>
            <w:vAlign w:val="bottom"/>
            <w:gridSpan w:val="4"/>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4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(24,837)</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(21,290)</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to net cash used in operating activities: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issue costs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redemption premium on debt</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movement on warrants</w:t>
            </w: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 incentive receivable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liabilities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0"/>
        </w:trPr>
        <w:tc>
          <w:tcPr>
            <w:tcW w:w="8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Taxes payable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withholding taxes from share-based awards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at-the-market sales agreement</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(15,616)</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(18,388)</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148,380</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187,986</w:t>
            </w:r>
          </w:p>
        </w:tc>
        <w:tc>
          <w:tcPr>
            <w:tcW w:w="0" w:type="dxa"/>
            <w:vAlign w:val="bottom"/>
          </w:tcPr>
          <w:p>
            <w:pPr>
              <w:spacing w:after="0"/>
              <w:rPr>
                <w:sz w:val="1"/>
                <w:szCs w:val="1"/>
                <w:color w:val="auto"/>
              </w:rPr>
            </w:pPr>
          </w:p>
        </w:tc>
      </w:tr>
      <w:tr>
        <w:trPr>
          <w:trHeight w:val="171"/>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132,764</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169,598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paid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84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 operations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Verona Pharma plc (the “Company”) is incorporated and domiciled in the United Kingdom. Verona Pharma plc has one wholly-owned subsidiary, Verona Pharma, Inc., a Delaware corporation. Rhinopharma Limited, a Canadian company that was previously a non-operating, wholly-owned subsidiary, was dissolved in June 2021. The address of the registered office is 1 Central Square, Cardiff, CF10 1FS, United Kingdom.</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incurred recurring losses and negative cash flows from operations since inception, and has an accumulated deficit of $288.7 million as of March 31, 2022. The Company expects to incur additional losses and negative cash flows from operations until its products potentially gain regulatory approval and reach commercial profitability, if at all.</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expects that its cash and cash equivalents as of March 31, 2022, will be sufficient to fund its operating expenses and capital expenditure requirements for at least the next 12 months from the date of issuance.</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the three months ended March 31, 2022, the Company sold 80,696 ordinary shares (equivalent to 10,087 ADSs) under the ATM Program, at an average price of approximately $0.86 per share (equivalent to $6.86 per ADS), raising aggregate net proceeds of approximately $0.1 million after deducting issuance costs. As of March 31, 2022, there remained ordinary shares, in the form of ADSs, with a value up to $99.2 million available for sale under the ATM Program.</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Company’s commercial revenue, if any, will be derived from sales of products that we do not expect to be commercially available for several years, if ever. Additionally we may enter into out-licensing transactions from time to time but there can be no assurance that the company can secure such transactions in the future. Accordingly, we will need to obtain substantial additional funds to achieve our business objectives including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summary of 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Verona Pharma plc and its wholly-owned subsidiary Verona Pharma, Inc. All inter-company balances and transactions have been eliminated.</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included in this Quarterly Report on Form 10-Q have been prepared in conformity with accounting principles generally accepted in the U.S. (“U.S. GAAP”).</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3, 2022 (the “2021 Form 10-K”). The Consolidated Balance Sheet as of December 31, 2021, was derived from audited consolidated financial statements included in the 2021 Form 10-K but does not include all disclosures required by U.S. GAAP for complete financial statements. The Company’s significant accounting policies are described in Note 2 to those consolidated financial statements.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one operating and reportable segment, pharmaceutical development.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the fair value of share-based compensation, the fair value of warrants, research and development tax credit and the carrying value of the equity interest in Nuance Pharma (as defined below). Estimates are periodically reviewed in light of changes in circumstances, facts and experience. Changes in estimates are recorded in the period in which they become known. Actual results could differ from the Company’s estimates.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 and recent accounting standards not yet adopted</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There are no recently adopted accounting standards and recent accounting standards not yet adopted that the Company believes will have a material impact on the Company’s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Prepaid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consisted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8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 and other development costs</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9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prepaid expenses</w:t>
            </w:r>
          </w:p>
        </w:tc>
        <w:tc>
          <w:tcPr>
            <w:tcW w:w="9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4,037</w:t>
            </w:r>
          </w:p>
        </w:tc>
      </w:tr>
      <w:tr>
        <w:trPr>
          <w:trHeight w:val="20"/>
        </w:trPr>
        <w:tc>
          <w:tcPr>
            <w:tcW w:w="8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Tax and tax incentive receivables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and tax incentive receivables consisted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 receivable - U.K.</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16,420</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15,583</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tax receivable</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16,420</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15,583</w:t>
            </w:r>
          </w:p>
        </w:tc>
      </w:tr>
      <w:tr>
        <w:trPr>
          <w:trHeight w:val="20"/>
        </w:trPr>
        <w:tc>
          <w:tcPr>
            <w:tcW w:w="8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conducts research and development activities including, but not limited to, developing ensifentrine for various indications and delivery methods, and as a result the Company benefits in the U.K. from the HM Revenue and Customs, or HMRC, small and medium sized enterprises research and development relief, or SME R&amp;D credit, which provides relief against U.K. Corporation Tax.</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Effective for accounting periods starting after April 1, 2021, new rules were introduced whereby the amount of SME R&amp;D tax credit that a business can receive in any one year will be capped at £20,000 plus three times the company’s total Pay As You Earn (“PAYE”) and National Insurance contributions (“NIC”) liability. Exemptions to the cap have been introduced which are available to companies that meet certain conditions. The Company believes it may be eligible for an exemption and has requested feedback from HMRC. If the cap does not apply the Company would have recorded $3.6 million relating to the quarter ended March 31, 2022 instead of the $1.3 million reported in the condensed consolidated statements of operations. Until we receive this feedback the Company is accounting for the credit as if the cap applied.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Accrued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 and other development costs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27,520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 and general corporate costs</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People related costs</w:t>
            </w: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28,877</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22,256</w:t>
            </w:r>
          </w:p>
        </w:tc>
      </w:tr>
      <w:tr>
        <w:trPr>
          <w:trHeight w:val="20"/>
        </w:trPr>
        <w:tc>
          <w:tcPr>
            <w:tcW w:w="8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Term loan</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November 2020, the Company entered into a term loan facility of up to $30.0 million (the “Term Loan”), consisting of advances of $5.0 million funded at closing and $10.0 million and $15.0 million contingent upon achievement of certain clinical development milestones and other specified conditions. As of March 31, 2022, the Company had $5.0 million principal outstanding under the Term Loan.</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Term Loan is governed by a loan and security agreement, dated as of November 19, 2020, between the Borrowers and SVB, as amended (the “Loan Agreement”). The Term B Loan will be available, subject to and customary terms and conditions, only during the period commencing upon the achievement of a specific clinical milestone relating to ensifentrine through and including September 30, 2022. The Term C Loan will be available, subject to customary terms and conditions, only during the period commencing upon the achievement of an additional specific clinical milestone relating to ensifentrine through and including June 30, 2023.</w:t>
      </w:r>
    </w:p>
    <w:p>
      <w:pPr>
        <w:spacing w:after="0" w:line="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Term Loan will mature on November 1, 2024. Each advance under the Term Loan accrues interest at a floating per annum rate equal to the greater of (a) 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 (ii) pays on the date of such prepayment (A) all outstanding principal plus accrued and unpaid interest, (B) a prepayment fee of $450,000 plus 3.0% of the Term C Loans advanced if paid on or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ENHANCE-2 and/or ENHANCE-1, which in the reasonable business discretion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March 31, 2022, the carrying value of the Term Loan was approximately $4.9 million, of which all was due in more than 12 months. The debt balance has been categorized within Level 3 of the fair value hierarchy. The carrying amount of the debt approximates its fair value based on prevailing interest rates as of the balance sheet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Equity interest</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March 31, 2022, there had been no observable transactions to indicate any price changes in the value of Nuance Biotech’s stock, nor had there been any indications of impairment. The equity interest is therefore recorded at a value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Significant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Ligand agreement</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the time of the acquisition the contingent liability was not recognized as part of the acquisition accounting as it was immaterial. The Company will therefore record as a research and development expense the Milestone Payment or royalties when they are probable.</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2022 we entered into an Amendment Agreement (the “Amendment”) with Ligand whereby the Ligand Agreement was amended to clarify certain ambiguous terms in the Ligand Agreement. Pursuant to the Amendment:</w:t>
      </w:r>
    </w:p>
    <w:p>
      <w:pPr>
        <w:spacing w:after="0" w:line="29" w:lineRule="exact"/>
        <w:rPr>
          <w:sz w:val="20"/>
          <w:szCs w:val="20"/>
          <w:color w:val="auto"/>
        </w:rPr>
      </w:pPr>
    </w:p>
    <w:p>
      <w:pPr>
        <w:jc w:val="both"/>
        <w:ind w:firstLine="5"/>
        <w:spacing w:after="0" w:line="254" w:lineRule="auto"/>
        <w:tabs>
          <w:tab w:leader="none" w:pos="5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4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Ligand Agreement shall expire on March 24, 2042 unless terminated earlier by either party in accordance with its terms;</w:t>
      </w:r>
    </w:p>
    <w:p>
      <w:pPr>
        <w:spacing w:after="0" w:line="83" w:lineRule="exact"/>
        <w:rPr>
          <w:rFonts w:ascii="Times New Roman" w:cs="Times New Roman" w:eastAsia="Times New Roman" w:hAnsi="Times New Roman"/>
          <w:sz w:val="14"/>
          <w:szCs w:val="14"/>
          <w:color w:val="auto"/>
        </w:rPr>
      </w:pPr>
    </w:p>
    <w:p>
      <w:pPr>
        <w:ind w:firstLine="5"/>
        <w:spacing w:after="0" w:line="255" w:lineRule="auto"/>
        <w:tabs>
          <w:tab w:leader="none" w:pos="5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 Payment may be paid in cash or, at the Company’s discretion, by issuing to Ligand shares in the Company of equivalent value; and</w:t>
      </w:r>
    </w:p>
    <w:p>
      <w:pPr>
        <w:spacing w:after="0" w:line="83" w:lineRule="exact"/>
        <w:rPr>
          <w:rFonts w:ascii="Times New Roman" w:cs="Times New Roman" w:eastAsia="Times New Roman" w:hAnsi="Times New Roman"/>
          <w:sz w:val="14"/>
          <w:szCs w:val="14"/>
          <w:color w:val="auto"/>
        </w:rPr>
      </w:pPr>
    </w:p>
    <w:p>
      <w:pPr>
        <w:ind w:firstLine="5"/>
        <w:spacing w:after="0" w:line="255" w:lineRule="auto"/>
        <w:tabs>
          <w:tab w:leader="none" w:pos="5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Company accounted for the $2.0 million payment at execution as selling, general and administrative expense in the condensed consolidated statements of operations as the payment is related to a contract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Nuance agreement</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of March 31, 2022, the $25.0 million cash payment and $15.0 million equity interest had been received and the holding in Nuance Biotech was recorded as Equity Interest on our unaudited condensed consolidated balance sheets included elsewhere in this Quarterly Report on Form 10-Q. 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March 31, 2022, there had been no other transactions to indicate any price changes in the value of Nuance Biotech’s stock, nor had there been any indications of impairment. The Equity Interest is therefore recorded at a value of $15 million.</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Share-based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allocation of share-based compensation between research and development and selling,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gridSpan w:val="4"/>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Share options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share option activity, in ordinary shares, in the period:</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Number of share options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2"/>
                <w:szCs w:val="12"/>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30"/>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January 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12,695,200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608,000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w:t>
            </w:r>
          </w:p>
        </w:tc>
        <w:tc>
          <w:tcPr>
            <w:tcW w:w="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13,303,200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 activity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4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restricted stock unit (“RSU”) activity, in ordinary shares, in the period:</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3"/>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Number of RSUs</w:t>
            </w:r>
          </w:p>
        </w:tc>
        <w:tc>
          <w:tcPr>
            <w:tcW w:w="160" w:type="dxa"/>
            <w:vAlign w:val="bottom"/>
          </w:tcPr>
          <w:p>
            <w:pPr>
              <w:spacing w:after="0"/>
              <w:rPr>
                <w:sz w:val="11"/>
                <w:szCs w:val="11"/>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27"/>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contractual term</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80"/>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January 1</w:t>
            </w:r>
          </w:p>
        </w:tc>
        <w:tc>
          <w:tcPr>
            <w:tcW w:w="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38,347,352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(3,943,144)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at March 31</w:t>
            </w: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34,872,432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Net loss per share</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Net loss per share is calculated on an ordinary share basis. The Company’s ADSs that are listed on the Nasdaq Global Market each represent eight ordinary shares. The following table shows the computation of basic and diluted net loss per share for the periods ended March 31, 2022 and 2021 (net loss in thousands, loss per share in dollars):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30"/>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(24,837)</w:t>
            </w:r>
          </w:p>
        </w:tc>
        <w:tc>
          <w:tcPr>
            <w:tcW w:w="1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481,941,527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469,465,085</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three months ended March 31, 2022 and 2021, outstanding share options, RSUs and warrants over 60,576,894 and 77,584,846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2021 filed with the Securities and Exchange Commission on March 3, 2022 (the “2021 Form 10-K”).</w:t>
      </w:r>
    </w:p>
    <w:p>
      <w:pPr>
        <w:spacing w:after="0" w:line="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our estimates regarding expenses, future revenues, capital requirements, debt service obligations and our need for additional financing, the funding we expect to become available from cash receipts from U.K. tax credits, and the sufficiency of our cash and cash equivalents to fund operations, are forward-looking statements.</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 Item 1A of the 2021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(“PDE3” and “PDE4”), which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(“COPD”) for the nebulized formulation in the United States.</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and have an accumulated deficit of $288.7 million as of March 31, 2022. We expect to incur additional losses and negative cash flows from operations until our product candidates potentially gain regulatory approval and reach commercial profitability, if at all.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our expenses will increase significantly in connection with our ongoing activities, as we:</w:t>
      </w:r>
    </w:p>
    <w:p>
      <w:pPr>
        <w:spacing w:after="0" w:line="72"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invest in the clinical development of ensifentrine for the treatment of COPD;</w:t>
      </w:r>
    </w:p>
    <w:p>
      <w:pPr>
        <w:spacing w:after="0" w:line="83"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 ensifentrine and engage in other Chemistry, Manufacturing and Controls activities;</w:t>
      </w:r>
    </w:p>
    <w:p>
      <w:pPr>
        <w:spacing w:after="0" w:line="83"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and</w:t>
      </w:r>
    </w:p>
    <w:p>
      <w:pPr>
        <w:spacing w:after="0" w:line="72"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out infrastructure and prepare for commercial launch.</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believe that our cash and cash equivalents as of March 31, 2022, expected cash receipts from U.K. tax credits and funding expected to become available under the $30.0 million debt financing facility secured in November 2020, will enable us to fund our planned operating expenses and capital expenditure requirements through at least the end of 2023. The Term Loan advances are contingent upon achievement of certain clinical development milestones and other specified conditions.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Clinical development update</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During the first quarter of 2022, we continued enrollment in our Phase 3 ENHANCE clinical program and we are now close to completing enrollment for this program. As of May 2, 2022, approximately 90% of subjects were randomized into ENHANCE-1, and complete enrollment in ENHANCE-1 is expected in the second quarter of 2022. This would conclude enrollment in the Phase 3 ENHANCE program. The Company projects approximately 55-65% of subjects will be receiving background therapy in each study.</w:t>
      </w:r>
    </w:p>
    <w:p>
      <w:pPr>
        <w:spacing w:after="0" w:line="5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color w:val="auto"/>
        </w:rPr>
        <w:t>Based on our current models of forecasted recruitment and study progress, we expect to report top-line data for ENHANCE-2 in the third quarter of 2022 and for ENHANCE-1 around the end of 2022. The top-line data from both ENHANCE trials will include the primary endpoint, improvement in lung function as measured by average forced expiratory volume in one second (“FEV</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area under the curve (“AUC”) 0-12 hours post dose at week 12, as well as key secondary endpoints comprising measurements of COPD symptoms and health-related quality of life, including E-RS and SGRQ endpoints, as well as overall safety data.</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design of the ENHANCE program was based on analysis of our two Phase 2b clinical trials, which both enrolled 400 subjects with moderate to severe COPD. This includes similar entry and exclusion parameters as well as key study endpoints. To date, overall population attributes including demographics and baseline COPD characteristics including smoking history, lung function, symptoms and quality of life for subjects in the ENHANCE program are similar to those seen in the Phase 2b trials.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update</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March 2022, James Brady joined our board as a Non-Executive Director. Mr. Brady has extensive experience in the biopharmaceutical industry, serving in multiple leadership roles across the U.S., Europe and China during his 30-plus-year career at AstraZeneca. Most recently, he served as Chief Financial Officer of MedImmune, the biologics discovery and development division of AstraZeneca.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impact</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Verona Pharma continues to monitor the impact of the COVID-19 pandemic on its operations and clinical trials, in particular the timelines and costs of its Phase 3 clinical program ENHANCE.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To help protect the health and safety of the subjects,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Russia-Ukraine Conflict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Verona Pharma is conducting its ENHANCE-1 program at a number of clinical trial sites in Russia and Europe (but not including Ukraine). The sanctions and other restrictions imposed by the U.S. and other countries as a result of the current conflict between Russia and Ukraine may impact our outsourced clinical research vendor’s ability to pay the clinical trial sites in Russia, to supply ensifentrine and equipment to the sites, or validate their trial data. If the conflict extends into other countries in Europe where our clinical trials are being conducted, our clinical trial activities in those countries may also be impacted. The Company is closely monitoring the Russia-Ukraine conflict and will provide an update if it becomes aware of any meaningful disruption to the cost and timelines of our Phase 3 program or our plans to submit an NDA for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Significant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Ligand agreement</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2022 we entered into an Amendment Agreement (the “Amendment”) with Ligand whereby the Ligand Agreement was amended to clarify certain ambiguous terms in the Ligand Agreement. Pursuant to the Amendment:</w:t>
      </w:r>
    </w:p>
    <w:p>
      <w:pPr>
        <w:spacing w:after="0" w:line="29" w:lineRule="exact"/>
        <w:rPr>
          <w:sz w:val="20"/>
          <w:szCs w:val="20"/>
          <w:color w:val="auto"/>
        </w:rPr>
      </w:pPr>
    </w:p>
    <w:p>
      <w:pPr>
        <w:jc w:val="both"/>
        <w:ind w:firstLine="5"/>
        <w:spacing w:after="0" w:line="254" w:lineRule="auto"/>
        <w:tabs>
          <w:tab w:leader="none" w:pos="50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4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Ligand Agreement shall expire on March 24, 2042 unless terminated earlier by either party in accordance with its terms;</w:t>
      </w:r>
    </w:p>
    <w:p>
      <w:pPr>
        <w:spacing w:after="0" w:line="83" w:lineRule="exact"/>
        <w:rPr>
          <w:rFonts w:ascii="Times New Roman" w:cs="Times New Roman" w:eastAsia="Times New Roman" w:hAnsi="Times New Roman"/>
          <w:sz w:val="14"/>
          <w:szCs w:val="14"/>
          <w:color w:val="auto"/>
        </w:rPr>
      </w:pPr>
    </w:p>
    <w:p>
      <w:pPr>
        <w:ind w:firstLine="5"/>
        <w:spacing w:after="0" w:line="255" w:lineRule="auto"/>
        <w:tabs>
          <w:tab w:leader="none" w:pos="54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0"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Milestone Payment may be paid in cash or, at our discretion, by issuing to Ligand shares in the Company of equivalent value; and</w:t>
      </w:r>
    </w:p>
    <w:p>
      <w:pPr>
        <w:spacing w:after="0" w:line="83" w:lineRule="exact"/>
        <w:rPr>
          <w:rFonts w:ascii="Times New Roman" w:cs="Times New Roman" w:eastAsia="Times New Roman" w:hAnsi="Times New Roman"/>
          <w:sz w:val="14"/>
          <w:szCs w:val="14"/>
          <w:color w:val="auto"/>
        </w:rPr>
      </w:pPr>
    </w:p>
    <w:p>
      <w:pPr>
        <w:ind w:firstLine="5"/>
        <w:spacing w:after="0" w:line="255" w:lineRule="auto"/>
        <w:tabs>
          <w:tab w:leader="none" w:pos="50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Nuance agreement</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entered into a collaboration and license agreement (the “Nuance Agreement”) with Nuance Pharma Limited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of March 31, 2022, the $25.0 million cash payment and $15.0 million equity interest had been received and the holding in Nuance Biotech was recorded as Equity Interest on our unaudited condensed consolidated balance sheet included elsewhere in this Quarterly Report on Form 10-Q. The equity interest is recorded at the fair value indicated by the last observable transaction in Nuance Biotech’s stock, which was a fund raising in November, 2020. As of March 31, 2022, there had been no other observable transactions to indicate any price changes in the value of Nuance Biotech’s stock, nor had there been any indications of impairment. The equity interest is therefore recorded at a value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14"/>
          <w:szCs w:val="14"/>
          <w:color w:val="auto"/>
        </w:rPr>
        <w:t>Nuance Pharma will be responsible for all costs related to clinical development and commercialization of ensifentrine in Greater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reviewed the buy-back option and determined that because it is conditional on a third party we do not have the practical ability to exercise it and, accordingly, the contract is accounted for under ASC 606.</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We have determined that the manufacturing and supply was not at a discount.</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 how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the Effective Date, $4.0 million of costs of obtaining the contract were recorded as a contract asset. The entire cost had been recognized as Selling, General and Administrative expense in the Consolidated Statement of Operations, in line with recognition of the revenue relating to the contract in the year ended December 31, 2021.</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additional information regarding the Nuance Agreement, see Note 7 to our unaudited condensed consolidated financial statements and related notes included elsewhere in this Quarterly Report on Form 10-Q.</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July 29, 2016, as part of a private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were exercisable by the holders until May 2, 2022 the warrants are now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Loan and security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2020 we and Verona Pharma Inc. entered into a term loan facility of up to $30.0 million with Silicon Valley Bank (the “Term Loan”). See “Indebtedness”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accounting principles generally accepted in the U.S.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recognition of revenue, the accrual and prepayment of research and development expenses, the fair value of share-based compensation, the carrying value of the equity interest in Nuance Pharma (as defined below), research and development tax credit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2021 Form 10-K. There have been no material changes to that information disclosed in our 2021 Form 10-K during the three months ended March 31,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that our expenses will increase substantially if and as we:</w:t>
      </w:r>
    </w:p>
    <w:p>
      <w:pPr>
        <w:spacing w:after="0" w:line="83"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our ongoing Phase 3 clinical trials for ensifentrine for the maintenance treatment of COPD;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our DPI and pMDI formulations of ensifentrine and research and develop other formulations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further clinical trials for ensifentrine for the treatment of acute COPD, CF or any other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progress pre-clinical studies relating to other potential indications of ensifentrine;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of our product candidates that successfully complete clinical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establish a sales, marketing and distribution infrastructure and scale-up manufacturing capabilities to commercialize any products for which we may obtain regulatory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expect our research and development costs to essentially remain at current levels through at least the first half of 2022 as we progress our ENHANCE program. Until we add new compounds or develop ensifentrine further in other delivery methods or indications, we expect our research and development costs to begin to decrease in the second half of 2022. Due to the nature of research and development, the expected costs are inherently uncertain and may vary significantly from our current expectations.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commercial costs to increase as we continue to develop our potential commercial operations and, in the event of successful regulatory approval, we expect to incur sales force, marketing and other launch related costs. As we develop our knowledge of the market and refine our commercialization plans, expected costs may vary significantly from our current expectations.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Other income/(expense) are driven by interest income and expense, the fair value movement of the warrant liability, foreign exchange movements on cash and cash equivalents and taxes receivable, and the U.K. research and development tax credits.</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entitled to participate in the U.K. Small and Medium Enterprises research and development tax relief program. The tax credits are calculated as a percentage of qualifying research and development expenditure and are payable in cash by the U.K. government to us. Credits recorded in the 2021 financial year are expected to be received in the 2022 financial year.</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Effective January 1, 2022, this tax credit will be subject to a cap equal to a multiple of employment taxes the entity pays in the year in question. We are currently reviewing the impact these changes could have on our tax credit for the 2022 financial year, receivable in 2023.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Taxation</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2022 and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statements of operations for the three months ended March 31, 2022 and 2021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2340" w:type="dxa"/>
            <w:vAlign w:val="bottom"/>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0"/>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1"/>
        </w:trPr>
        <w:tc>
          <w:tcPr>
            <w:tcW w:w="69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30"/>
        </w:trPr>
        <w:tc>
          <w:tcPr>
            <w:tcW w:w="69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10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movement on warrants</w:t>
            </w: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 net</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Research and development costs were $17.6 million for the three months ended March 31, 2022, compared to $13.6 million for the three months ended March 31, 2021, an increase of $4.0 million. This increase was primarily due to a $5.6 million increase in clinical trial and other development costs, as we progressed our Phase 3 ENHANCE program, offset by a $2.0 million decrease in share-based compensation charges.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Selling, general and administrative costs were $7.4 million for the three months ended March 31, 2022 compared to $9.3 million for the three months ended March 31, 2021, a decrease of $1.9 million. This decrease was driven primarily by a $3.1 million decrease in share-based compensation charges and a $0.6 million decrease in professional fees, partially offset by a $2.0 million charge related to the modification of the Ligand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research and development tax credit for the three months ended March 31, 2022 was $1.3 million compared to $2.1 million for the three months ended March 31, 2021, a decrease of $0.8 million. The decrease is due to changes in the SME R&amp;D tax credit program that established a cap limiting the research and development tax credit to £20,000 plus three times UK pay as you earn and national insurance taxes.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recorded no income in the three months ended March 31, 2022, compared to a charge of $0.5 million in the comparative period relating to the fair value movements of the warrants. In the three months ended March 31, 2021, there was a loss due to a rise in the share price in that period and greater volatility.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was $24.8 million for the three months ended March 31, 2022, compared to $21.3 million for the three months ended March 31, 2021,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three months ended March 31, 2022 and 2021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2340" w:type="dxa"/>
            <w:vAlign w:val="bottom"/>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41"/>
        </w:trPr>
        <w:tc>
          <w:tcPr>
            <w:tcW w:w="69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187,986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(39,606)</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132,764</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169,598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Net cash used in operating activities was $14.5 million in the three months ended March 31, 2022, compared to $18.6 million during the three months ended March 31, 2021, a decrease of $4.1 million. This decrease is predominantly due to timing of supplier payments.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Net cash used in financing activities was $0.7 million in the three months ended March 31, 2022, compared to $0.0 million provided in the three months ended March 31, 2021. This consisted of $0.8 million for payment of withholding taxes due on the net-settling of certain employees’ RSU awards, partially offset by $0.1 million generated from the issuance of ADSs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do not currently have any approved products and have never generated any revenue from product sales. To date, we have financed our operations primarily through the issuances of our equity securities, including warrants, from borrowings under the Term Loan and upfront payments from the Nuance Agreement. See “Significant Agreements” and “Indebtedness” for additional information.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incurred recurring losses since inception, including net losses of $24.8 million for the three months ended March 31, 2022, and $55.6 million for the year ended December 31, 2021. As of March 31, 2022, we had an accumulated deficit of $288.7 million. We expect to continue to generate operating losses for the foreseeable future.</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no ongoing material financing commitments, such as lines of credit or guarantees, that are expected to affect our liquidity over the next five years, other than leases and the Term Loan with Silicon Valley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Open market sale agreement</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2022, we sold 80,696 ordinary shares (equivalent to 10,087 ADSs) under the ATM Program, at an average price of approximately $0.86 per share (equivalent to $6.86 per ADS), raising aggregate net proceeds of approximately $0.1 million after deducting issuance costs. As of March 31, 2022, $99.2 million of ordinary shares, in the form of ADSs, remained available for sale under the ATM Program.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Indebtedness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November 2020, we and Verona Pharma, Inc. entered into a term loan facility of up to $30.0 million with Silicon Valley Bank, which we refer to as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$15.0 million contingent upon achievement of a specific clinical development milestone and other specified conditions. As of March 31, 2022, the Company had $5.0 million principal outstanding under the Term Loan. Additional detail surrounding the Term Loan is included under the caption “Management’s Discussion and Analysis of Financial Condition and Results of Operations” in our 2021 Form 10-K. There have been no material changes to that information disclosed in our 2021 Form 10-K during the three months ended March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our cash and cash equivalents as of March 31, 2022, expected cash receipts from U.K. tax credits and funding expected to become available under the Term Loan, will enable us to fund our planned operating expenses and capital expenditure requirements through at least the end of 2023. The Term Loan advances are contingent upon achievement of certain clinical development milestones and other specified conditions.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licensing arrangements with third parties, we may have to relinquish valuable rights to our technologies, future revenue streams, research programs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5" w:name="page26"/>
    <w:bookmarkEnd w:id="25"/>
    <w:p>
      <w:pPr>
        <w:jc w:val="both"/>
        <w:spacing w:after="0" w:line="246" w:lineRule="auto"/>
        <w:rPr>
          <w:sz w:val="20"/>
          <w:szCs w:val="20"/>
          <w:color w:val="auto"/>
        </w:rPr>
      </w:pPr>
      <w:r>
        <w:rPr>
          <w:rFonts w:ascii="Times New Roman" w:cs="Times New Roman" w:eastAsia="Times New Roman" w:hAnsi="Times New Roman"/>
          <w:sz w:val="14"/>
          <w:szCs w:val="14"/>
          <w:color w:val="auto"/>
        </w:rPr>
        <w:t>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for ensifentrine or any future product candidates will depend on many factors, including:</w:t>
      </w:r>
    </w:p>
    <w:p>
      <w:pPr>
        <w:spacing w:after="0" w:line="83" w:lineRule="exact"/>
        <w:rPr>
          <w:sz w:val="20"/>
          <w:szCs w:val="20"/>
          <w:color w:val="auto"/>
        </w:rPr>
      </w:pPr>
    </w:p>
    <w:p>
      <w:pPr>
        <w:ind w:left="260" w:hanging="255"/>
        <w:spacing w:after="0" w:line="255"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decide to in-license and develop;</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potential commercialization of ensifentrine or any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filing patent applications and maintaining and enforcing patents or defending against claims or infringements raised by third parties;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revenues, if any, we may derive either directly or in the form of royalty payments from future sales of ensifentrine or any future product candidates, if approved.</w:t>
      </w:r>
    </w:p>
    <w:p>
      <w:pPr>
        <w:spacing w:after="0" w:line="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commercial revenues, if any, will be derived from sales of products that we do not expect to be commercially available for several years, if ever. Accordingly, we will need to obtain substantial additional funds to achieve our business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pending and recently adopted accounting pronouncements, see Note 2 to our consolidated financial statements included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6" w:name="page27"/>
    <w:bookmarkEnd w:id="26"/>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smaller reporting company as defined in Rule 12b-2 of the Exchange Act and are not required to provide the information otherwise required under this Item 3.</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2022, our disclosure controls and procedures were effective at the reasonable assurance level.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15d-15(f) under the Exchange Act)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currently subject to any material legal proceedings.</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5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business is subject to risks and events that, if they occur, could adversely affect our financial condition and results of operations and the trading price of our securities. Our risk factors have not changed materially from those described in Part I, Item 1A of the 2021 Form 10-K under the heading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2"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14605</wp:posOffset>
            </wp:positionV>
            <wp:extent cx="304546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234"/>
        </w:trPr>
        <w:tc>
          <w:tcPr>
            <w:tcW w:w="240" w:type="dxa"/>
            <w:vAlign w:val="bottom"/>
            <w:tcBorders>
              <w:bottom w:val="single" w:sz="8" w:color="0000FF"/>
            </w:tcBorders>
          </w:tcPr>
          <w:p>
            <w:pPr>
              <w:spacing w:after="0"/>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Articles of Association, as amended and as currently in effect</w:t>
              </w:r>
            </w:hyperlink>
          </w:p>
        </w:tc>
        <w:tc>
          <w:tcPr>
            <w:tcW w:w="11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Second Amendment to Loan and Security Agreement, dated as of March 2, 2022,</w:t>
            </w:r>
          </w:p>
        </w:tc>
        <w:tc>
          <w:tcPr>
            <w:tcW w:w="0" w:type="dxa"/>
            <w:vAlign w:val="bottom"/>
          </w:tcPr>
          <w:p>
            <w:pPr>
              <w:spacing w:after="0"/>
              <w:rPr>
                <w:sz w:val="1"/>
                <w:szCs w:val="1"/>
                <w:color w:val="auto"/>
              </w:rPr>
            </w:pPr>
          </w:p>
        </w:tc>
      </w:tr>
      <w:tr>
        <w:trPr>
          <w:trHeight w:val="138"/>
        </w:trPr>
        <w:tc>
          <w:tcPr>
            <w:tcW w:w="1100" w:type="dxa"/>
            <w:vAlign w:val="bottom"/>
            <w:gridSpan w:val="3"/>
            <w:vMerge w:val="continue"/>
          </w:tcPr>
          <w:p>
            <w:pPr>
              <w:spacing w:after="0"/>
              <w:rPr>
                <w:sz w:val="11"/>
                <w:szCs w:val="11"/>
                <w:color w:val="auto"/>
              </w:rPr>
            </w:pPr>
          </w:p>
        </w:tc>
        <w:tc>
          <w:tcPr>
            <w:tcW w:w="462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by and among Silicon Valley Bank, Verona Pharma plc and Verona Pharma,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4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4"/>
                <w:szCs w:val="14"/>
                <w:color w:val="0000FF"/>
                <w:w w:val="81"/>
              </w:rPr>
              <w:t>10.</w:t>
            </w:r>
            <w:r>
              <w:rPr>
                <w:rFonts w:ascii="Times New Roman" w:cs="Times New Roman" w:eastAsia="Times New Roman" w:hAnsi="Times New Roman"/>
                <w:sz w:val="14"/>
                <w:szCs w:val="14"/>
                <w:u w:val="single" w:color="auto"/>
                <w:color w:val="0000FF"/>
                <w:w w:val="81"/>
              </w:rPr>
              <w:t>2</w:t>
            </w:r>
          </w:p>
        </w:tc>
        <w:tc>
          <w:tcPr>
            <w:tcW w:w="8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Amendment Agreement by and between Verona Pharma plc and Ligand UK</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40" w:type="dxa"/>
            <w:vAlign w:val="bottom"/>
            <w:tcBorders>
              <w:top w:val="single" w:sz="8" w:color="0000FF"/>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32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8">
              <w:r>
                <w:rPr>
                  <w:rFonts w:ascii="Times New Roman" w:cs="Times New Roman" w:eastAsia="Times New Roman" w:hAnsi="Times New Roman"/>
                  <w:sz w:val="12"/>
                  <w:szCs w:val="12"/>
                  <w:color w:val="0000FF"/>
                </w:rPr>
                <w:t>Development Limited dated March 24, 2022</w:t>
              </w:r>
            </w:hyperlink>
          </w:p>
        </w:tc>
        <w:tc>
          <w:tcPr>
            <w:tcW w:w="3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0000FF"/>
                <w:w w:val="81"/>
              </w:rPr>
              <w:t>31.</w:t>
            </w:r>
            <w:r>
              <w:rPr>
                <w:rFonts w:ascii="Times New Roman" w:cs="Times New Roman" w:eastAsia="Times New Roman" w:hAnsi="Times New Roman"/>
                <w:sz w:val="14"/>
                <w:szCs w:val="14"/>
                <w:u w:val="single" w:color="auto"/>
                <w:color w:val="0000FF"/>
                <w:w w:val="81"/>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Executive Officer</w:t>
            </w: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1"/>
              </w:rPr>
              <w:t>31.</w:t>
            </w:r>
            <w:r>
              <w:rPr>
                <w:rFonts w:ascii="Times New Roman" w:cs="Times New Roman" w:eastAsia="Times New Roman" w:hAnsi="Times New Roman"/>
                <w:sz w:val="14"/>
                <w:szCs w:val="14"/>
                <w:u w:val="single" w:color="auto"/>
                <w:color w:val="0000FF"/>
                <w:w w:val="81"/>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Financial Officer</w:t>
            </w:r>
          </w:p>
        </w:tc>
        <w:tc>
          <w:tcPr>
            <w:tcW w:w="9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1"/>
              </w:rPr>
              <w:t>32.</w:t>
            </w:r>
            <w:r>
              <w:rPr>
                <w:rFonts w:ascii="Times New Roman" w:cs="Times New Roman" w:eastAsia="Times New Roman" w:hAnsi="Times New Roman"/>
                <w:sz w:val="14"/>
                <w:szCs w:val="14"/>
                <w:u w:val="single" w:color="auto"/>
                <w:color w:val="0000FF"/>
                <w:w w:val="81"/>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Section 1350 Certification of Chief Executive Officer</w:t>
            </w:r>
          </w:p>
        </w:tc>
        <w:tc>
          <w:tcPr>
            <w:tcW w:w="660" w:type="dxa"/>
            <w:vAlign w:val="bottom"/>
            <w:tcBorders>
              <w:top w:val="single" w:sz="8" w:color="0000FF"/>
            </w:tcBorders>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1"/>
              </w:rPr>
              <w:t>32.</w:t>
            </w:r>
            <w:r>
              <w:rPr>
                <w:rFonts w:ascii="Times New Roman" w:cs="Times New Roman" w:eastAsia="Times New Roman" w:hAnsi="Times New Roman"/>
                <w:sz w:val="14"/>
                <w:szCs w:val="14"/>
                <w:u w:val="single" w:color="auto"/>
                <w:color w:val="0000FF"/>
                <w:w w:val="81"/>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Section 1350 Certification of Chief Financial Officer</w:t>
            </w:r>
          </w:p>
        </w:tc>
        <w:tc>
          <w:tcPr>
            <w:tcW w:w="1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0" w:type="dxa"/>
            <w:vAlign w:val="bottom"/>
          </w:tcPr>
          <w:p>
            <w:pPr>
              <w:spacing w:after="0"/>
              <w:rPr>
                <w:sz w:val="1"/>
                <w:szCs w:val="1"/>
                <w:color w:val="auto"/>
              </w:rPr>
            </w:pPr>
          </w:p>
        </w:tc>
      </w:tr>
      <w:tr>
        <w:trPr>
          <w:trHeight w:val="180"/>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46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bl>
    <w:p>
      <w:pPr>
        <w:ind w:left="1120"/>
        <w:spacing w:after="0" w:line="224" w:lineRule="auto"/>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p>
      <w:pPr>
        <w:ind w:left="1120" w:hanging="1101"/>
        <w:spacing w:after="0"/>
        <w:tabs>
          <w:tab w:leader="none" w:pos="11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 101)</w:t>
      </w:r>
    </w:p>
    <w:p>
      <w:pPr>
        <w:spacing w:after="0" w:line="14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83"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Filed/Furnished</w:t>
            </w:r>
          </w:p>
        </w:tc>
      </w:tr>
      <w:tr>
        <w:trPr>
          <w:trHeight w:val="191"/>
        </w:trPr>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98"/>
              </w:rPr>
              <w:t>Form</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File No.</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Exhibit No.</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Filing date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Herewith</w:t>
            </w:r>
          </w:p>
        </w:tc>
      </w:tr>
      <w:tr>
        <w:trPr>
          <w:trHeight w:val="350"/>
        </w:trPr>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6-K</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12/30/2020</w:t>
            </w:r>
          </w:p>
        </w:tc>
        <w:tc>
          <w:tcPr>
            <w:tcW w:w="1020" w:type="dxa"/>
            <w:vAlign w:val="bottom"/>
          </w:tcPr>
          <w:p>
            <w:pPr>
              <w:spacing w:after="0"/>
              <w:rPr>
                <w:sz w:val="24"/>
                <w:szCs w:val="24"/>
                <w:color w:val="auto"/>
              </w:rPr>
            </w:pPr>
          </w:p>
        </w:tc>
      </w:tr>
      <w:tr>
        <w:trPr>
          <w:trHeight w:val="499"/>
        </w:trPr>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r>
      <w:tr>
        <w:trPr>
          <w:trHeight w:val="499"/>
        </w:trPr>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10.1</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3/30/2022</w:t>
            </w:r>
          </w:p>
        </w:tc>
        <w:tc>
          <w:tcPr>
            <w:tcW w:w="1020" w:type="dxa"/>
            <w:vAlign w:val="bottom"/>
          </w:tcPr>
          <w:p>
            <w:pPr>
              <w:spacing w:after="0"/>
              <w:rPr>
                <w:sz w:val="24"/>
                <w:szCs w:val="24"/>
                <w:color w:val="auto"/>
              </w:rPr>
            </w:pPr>
          </w:p>
        </w:tc>
      </w:tr>
    </w:tbl>
    <w:p>
      <w:pPr>
        <w:spacing w:after="0" w:line="16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w:t>
      </w:r>
    </w:p>
    <w:p>
      <w:pPr>
        <w:spacing w:after="0" w:line="634" w:lineRule="exact"/>
        <w:rPr>
          <w:sz w:val="20"/>
          <w:szCs w:val="20"/>
          <w:color w:val="auto"/>
        </w:rPr>
      </w:pPr>
    </w:p>
    <w:p>
      <w:pPr>
        <w:sectPr>
          <w:pgSz w:w="11900" w:h="16838" w:orient="portrait"/>
          <w:cols w:equalWidth="0" w:num="2">
            <w:col w:w="5740" w:space="420"/>
            <w:col w:w="5120"/>
          </w:cols>
          <w:pgMar w:left="300" w:top="1385" w:right="319" w:bottom="1440" w:gutter="0" w:footer="0" w:header="0"/>
          <w:type w:val="continuous"/>
        </w:sectPr>
      </w:pPr>
    </w:p>
    <w:p>
      <w:pPr>
        <w:ind w:firstLine="5"/>
        <w:spacing w:after="0" w:line="255" w:lineRule="auto"/>
        <w:tabs>
          <w:tab w:leader="none" w:pos="10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type w:val="continuous"/>
        </w:sectPr>
      </w:pPr>
    </w:p>
    <w:bookmarkStart w:id="29" w:name="page30"/>
    <w:bookmarkEnd w:id="29"/>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49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VERONA PHARMA PLC</w:t>
            </w:r>
          </w:p>
        </w:tc>
        <w:tc>
          <w:tcPr>
            <w:tcW w:w="3020" w:type="dxa"/>
            <w:vAlign w:val="bottom"/>
          </w:tcPr>
          <w:p>
            <w:pPr>
              <w:spacing w:after="0"/>
              <w:rPr>
                <w:sz w:val="16"/>
                <w:szCs w:val="16"/>
                <w:color w:val="auto"/>
              </w:rPr>
            </w:pPr>
          </w:p>
        </w:tc>
      </w:tr>
      <w:tr>
        <w:trPr>
          <w:trHeight w:val="419"/>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May 3, 2022</w:t>
            </w:r>
          </w:p>
        </w:tc>
        <w:tc>
          <w:tcPr>
            <w:tcW w:w="49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David Zaccardelli</w:t>
            </w:r>
          </w:p>
        </w:tc>
      </w:tr>
      <w:tr>
        <w:trPr>
          <w:trHeight w:val="187"/>
        </w:trPr>
        <w:tc>
          <w:tcPr>
            <w:tcW w:w="32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Zaccardelli, Pharm. D.</w:t>
            </w:r>
          </w:p>
        </w:tc>
      </w:tr>
      <w:tr>
        <w:trPr>
          <w:trHeight w:val="202"/>
        </w:trPr>
        <w:tc>
          <w:tcPr>
            <w:tcW w:w="32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16"/>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May 3, 2022</w:t>
            </w:r>
          </w:p>
        </w:tc>
        <w:tc>
          <w:tcPr>
            <w:tcW w:w="49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W. Hahn</w:t>
            </w:r>
          </w:p>
        </w:tc>
      </w:tr>
      <w:tr>
        <w:trPr>
          <w:trHeight w:val="187"/>
        </w:trPr>
        <w:tc>
          <w:tcPr>
            <w:tcW w:w="32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W. Hahn</w:t>
            </w:r>
          </w:p>
        </w:tc>
      </w:tr>
      <w:tr>
        <w:trPr>
          <w:trHeight w:val="286"/>
        </w:trPr>
        <w:tc>
          <w:tcPr>
            <w:tcW w:w="3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440" w:right="319" w:bottom="1440"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Zaccardelli, Pharm.D., certify that:</w:t>
      </w:r>
    </w:p>
    <w:p>
      <w:pPr>
        <w:spacing w:after="0" w:line="179" w:lineRule="exact"/>
        <w:rPr>
          <w:sz w:val="20"/>
          <w:szCs w:val="20"/>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14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14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14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May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141"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W. Hahn, certify that:</w:t>
      </w:r>
    </w:p>
    <w:p>
      <w:pPr>
        <w:spacing w:after="0" w:line="179" w:lineRule="exact"/>
        <w:rPr>
          <w:sz w:val="20"/>
          <w:szCs w:val="20"/>
          <w:color w:val="auto"/>
        </w:rPr>
      </w:pPr>
    </w:p>
    <w:p>
      <w:pPr>
        <w:ind w:left="400" w:hanging="140"/>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4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4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4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40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May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32"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1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May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41"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1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May 3,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2"/>
      <w:numFmt w:val="decimal"/>
      <w:start w:val="104"/>
    </w:lvl>
  </w:abstractNum>
  <w:abstractNum w:abstractNumId="9">
    <w:nsid w:val="140E0F76"/>
    <w:multiLevelType w:val="hybridMultilevel"/>
    <w:lvl w:ilvl="0">
      <w:lvlJc w:val="left"/>
      <w:lvlText w:val="**"/>
      <w:numFmt w:val="bullet"/>
      <w:start w:val="1"/>
    </w:lvl>
    <w:lvl w:ilvl="1">
      <w:lvlJc w:val="left"/>
      <w:lvlText w:val="%2"/>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7" Type="http://schemas.openxmlformats.org/officeDocument/2006/relationships/hyperlink" Target="https://www.sec.gov/Archives/edgar/data/1657312/000110465920140541/tm2039594d1_ex1.htm" TargetMode="External"/><Relationship Id="rId38" Type="http://schemas.openxmlformats.org/officeDocument/2006/relationships/hyperlink" Target="https://www.sec.gov/ix?doc=/Archives/edgar/data/1657312/000110465922040140/tm2210807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2022-05-03T07:27:21Z</dcterms:created>
  <dcterms:modified xsi:type="dcterms:W3CDTF">2022-05-03T07:27:21Z</dcterms:modified>
</cp:coreProperties>
</file>