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2082461_sc13da.htm"/>
      <w:bookmarkStart w:id="1" w:name="ksss2082461_sc13da"/>
      <w:bookmarkEnd w:id="0"/>
      <w:bookmarkEnd w:id="1"/>
      <w:r>
        <w:rPr>
          <w:bdr w:val="single" w:sz="16"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ind w:left="187" w:right="187"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SCHEDULE 13D</w:t>
      </w:r>
    </w:p>
    <w:p>
      <w:pPr>
        <w:pStyle w:val="TextBody"/>
        <w:bidi w:val="0"/>
        <w:jc w:val="left"/>
        <w:rPr>
          <w:caps w:val="false"/>
          <w:smallCaps w:val="false"/>
        </w:rPr>
      </w:pPr>
      <w:r>
        <w:rPr>
          <w:caps w:val="false"/>
          <w:smallCaps w:val="false"/>
        </w:rPr>
        <w:t> </w:t>
      </w:r>
    </w:p>
    <w:p>
      <w:pPr>
        <w:pStyle w:val="TextBody"/>
        <w:bidi w:val="0"/>
        <w:ind w:left="187" w:right="18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br/>
        <w:t>(Amendment No. 4)*</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5225"/>
      </w:tblGrid>
      <w:tr>
        <w:trPr/>
        <w:tc>
          <w:tcPr>
            <w:tcW w:w="5225" w:type="dxa"/>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Verona Pharma plc</w:t>
            </w:r>
          </w:p>
        </w:tc>
      </w:tr>
      <w:tr>
        <w:trPr/>
        <w:tc>
          <w:tcPr>
            <w:tcW w:w="5225" w:type="dxa"/>
            <w:tcBorders>
              <w:top w:val="single" w:sz="12" w:space="0" w:color="000000"/>
            </w:tcBorders>
            <w:tcMar>
              <w:top w:w="45"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ableContents"/>
              <w:bidi w:val="0"/>
              <w:spacing w:before="0" w:after="283"/>
              <w:ind w:left="0" w:right="0" w:firstLine="1440"/>
              <w:jc w:val="center"/>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r>
      <w:tr>
        <w:trPr/>
        <w:tc>
          <w:tcPr>
            <w:tcW w:w="52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ableContents"/>
              <w:bidi w:val="0"/>
              <w:spacing w:before="0" w:after="283"/>
              <w:ind w:left="0" w:right="0" w:firstLine="1080"/>
              <w:jc w:val="center"/>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spacing w:before="0" w:after="283"/>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925050106</w:t>
            </w:r>
          </w:p>
        </w:tc>
      </w:tr>
      <w:tr>
        <w:trPr/>
        <w:tc>
          <w:tcPr>
            <w:tcW w:w="52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ableContents"/>
              <w:bidi w:val="0"/>
              <w:spacing w:before="0" w:after="283"/>
              <w:ind w:left="0" w:right="0" w:firstLine="1440"/>
              <w:jc w:val="left"/>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Advisors LLC</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Capital GP VI LLC</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Lexington Avenue, 54th Floor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739-6400</w:t>
            </w:r>
          </w:p>
          <w:p>
            <w:pPr>
              <w:pStyle w:val="TableContents"/>
              <w:bidi w:val="0"/>
              <w:spacing w:before="0" w:after="283"/>
              <w:ind w:left="0" w:right="0" w:firstLine="1440"/>
              <w:jc w:val="left"/>
              <w:rPr>
                <w:caps w:val="false"/>
                <w:smallCaps w:val="false"/>
              </w:rPr>
            </w:pPr>
            <w:r>
              <w:rPr>
                <w:caps w:val="false"/>
                <w:smallCaps w:val="false"/>
              </w:rPr>
              <w:t>                       </w:t>
            </w:r>
          </w:p>
        </w:tc>
      </w:tr>
      <w:tr>
        <w:trPr/>
        <w:tc>
          <w:tcPr>
            <w:tcW w:w="52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w:t>
              <w:br/>
              <w:t>Receive Notices and Communications)</w:t>
            </w:r>
          </w:p>
          <w:p>
            <w:pPr>
              <w:pStyle w:val="TableContents"/>
              <w:bidi w:val="0"/>
              <w:spacing w:before="0" w:after="283"/>
              <w:ind w:left="0" w:right="0" w:firstLine="1440"/>
              <w:jc w:val="center"/>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15, 2023</w:t>
            </w:r>
          </w:p>
        </w:tc>
      </w:tr>
      <w:tr>
        <w:trPr/>
        <w:tc>
          <w:tcPr>
            <w:tcW w:w="5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See §240.13d-7(b) for other parties to whom copies are to be sent.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60" w:after="24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2105" w:type="dxa"/>
        <w:jc w:val="left"/>
        <w:tblInd w:w="-15" w:type="dxa"/>
        <w:tblLayout w:type="fixed"/>
        <w:tblCellMar>
          <w:top w:w="120" w:type="dxa"/>
          <w:left w:w="120" w:type="dxa"/>
          <w:bottom w:w="120" w:type="dxa"/>
          <w:right w:w="120" w:type="dxa"/>
        </w:tblCellMar>
      </w:tblPr>
      <w:tblGrid>
        <w:gridCol w:w="1970"/>
        <w:gridCol w:w="60"/>
        <w:gridCol w:w="75"/>
      </w:tblGrid>
      <w:tr>
        <w:trPr/>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282559103</w:t>
            </w:r>
          </w:p>
        </w:tc>
        <w:tc>
          <w:tcPr>
            <w:tcW w:w="6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9866" w:type="dxa"/>
        <w:jc w:val="left"/>
        <w:tblInd w:w="-15" w:type="dxa"/>
        <w:tblLayout w:type="fixed"/>
        <w:tblCellMar>
          <w:top w:w="45" w:type="dxa"/>
          <w:left w:w="45" w:type="dxa"/>
          <w:bottom w:w="45" w:type="dxa"/>
          <w:right w:w="45" w:type="dxa"/>
        </w:tblCellMar>
      </w:tblPr>
      <w:tblGrid>
        <w:gridCol w:w="594"/>
        <w:gridCol w:w="965"/>
        <w:gridCol w:w="5168"/>
        <w:gridCol w:w="1701"/>
        <w:gridCol w:w="1438"/>
      </w:tblGrid>
      <w:tr>
        <w:trPr/>
        <w:tc>
          <w:tcPr>
            <w:tcW w:w="594" w:type="dxa"/>
            <w:tcBorders>
              <w:top w:val="single" w:sz="8"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w:t>
            </w:r>
          </w:p>
        </w:tc>
        <w:tc>
          <w:tcPr>
            <w:tcW w:w="9272" w:type="dxa"/>
            <w:gridSpan w:val="4"/>
            <w:tcBorders>
              <w:top w:val="single" w:sz="8" w:space="0" w:color="000000"/>
              <w:bottom w:val="single" w:sz="12" w:space="0" w:color="000000"/>
              <w:right w:val="single" w:sz="12" w:space="0" w:color="000000"/>
            </w:tcBorders>
            <w:tcMar>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2</w:t>
            </w:r>
          </w:p>
        </w:tc>
        <w:tc>
          <w:tcPr>
            <w:tcW w:w="7834" w:type="dxa"/>
            <w:gridSpan w:val="3"/>
            <w:tcBorders>
              <w:bottom w:val="single" w:sz="12" w:space="0" w:color="000000"/>
            </w:tcBorders>
            <w:tcMar>
              <w:top w:w="0" w:type="dxa"/>
              <w:left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Wingdings" w:hAnsi="Wingdings"/>
                <w:b w:val="false"/>
                <w:i w:val="false"/>
                <w:caps w:val="false"/>
                <w:smallCaps w:val="false"/>
                <w:sz w:val="20"/>
              </w:rPr>
              <w:t>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Wingdings" w:hAnsi="Wingdings"/>
                <w:b w:val="false"/>
                <w:i w:val="false"/>
                <w:caps w:val="false"/>
                <w:smallCaps w:val="false"/>
                <w:sz w:val="20"/>
              </w:rPr>
              <w:t>o</w:t>
            </w:r>
          </w:p>
        </w:tc>
        <w:tc>
          <w:tcPr>
            <w:tcW w:w="1438" w:type="dxa"/>
            <w:tcBorders>
              <w:bottom w:val="single" w:sz="12" w:space="0" w:color="000000"/>
              <w:right w:val="single" w:sz="12" w:space="0" w:color="000000"/>
            </w:tcBorders>
            <w:tcMar>
              <w:top w:w="0" w:type="dxa"/>
              <w:left w:w="0" w:type="dxa"/>
            </w:tcMar>
            <w:vAlign w:val="center"/>
          </w:tcPr>
          <w:p>
            <w:pPr>
              <w:pStyle w:val="TableContents"/>
              <w:bidi w:val="0"/>
              <w:jc w:val="both"/>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3</w:t>
            </w:r>
          </w:p>
        </w:tc>
        <w:tc>
          <w:tcPr>
            <w:tcW w:w="9272"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Use Only   </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4</w:t>
            </w:r>
          </w:p>
        </w:tc>
        <w:tc>
          <w:tcPr>
            <w:tcW w:w="9272"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5</w:t>
            </w:r>
          </w:p>
        </w:tc>
        <w:tc>
          <w:tcPr>
            <w:tcW w:w="7834"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tc>
        <w:tc>
          <w:tcPr>
            <w:tcW w:w="1438"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6</w:t>
            </w:r>
          </w:p>
        </w:tc>
        <w:tc>
          <w:tcPr>
            <w:tcW w:w="9272"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559" w:type="dxa"/>
            <w:gridSpan w:val="2"/>
            <w:vMerge w:val="restart"/>
            <w:tcBorders>
              <w:left w:val="single" w:sz="12" w:space="0" w:color="000000"/>
              <w:bottom w:val="single" w:sz="12" w:space="0" w:color="000000"/>
            </w:tcBorders>
            <w:tcMar>
              <w:top w:w="0" w:type="dxa"/>
              <w:right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16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7</w:t>
            </w:r>
          </w:p>
        </w:tc>
        <w:tc>
          <w:tcPr>
            <w:tcW w:w="313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559"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16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8</w:t>
            </w:r>
          </w:p>
        </w:tc>
        <w:tc>
          <w:tcPr>
            <w:tcW w:w="313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3,777,778(1)</w:t>
            </w:r>
          </w:p>
        </w:tc>
      </w:tr>
      <w:tr>
        <w:trPr/>
        <w:tc>
          <w:tcPr>
            <w:tcW w:w="1559"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16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9</w:t>
            </w:r>
          </w:p>
        </w:tc>
        <w:tc>
          <w:tcPr>
            <w:tcW w:w="313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559"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16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10</w:t>
            </w:r>
          </w:p>
        </w:tc>
        <w:tc>
          <w:tcPr>
            <w:tcW w:w="313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3,777,778(1)</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11</w:t>
            </w:r>
          </w:p>
        </w:tc>
        <w:tc>
          <w:tcPr>
            <w:tcW w:w="9272"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3,777,778(1)</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12</w:t>
            </w:r>
          </w:p>
        </w:tc>
        <w:tc>
          <w:tcPr>
            <w:tcW w:w="7834"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(See Instructions)                 </w:t>
            </w:r>
          </w:p>
        </w:tc>
        <w:tc>
          <w:tcPr>
            <w:tcW w:w="1438"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13</w:t>
            </w:r>
          </w:p>
        </w:tc>
        <w:tc>
          <w:tcPr>
            <w:tcW w:w="9272"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(2)</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14</w:t>
            </w:r>
          </w:p>
        </w:tc>
        <w:tc>
          <w:tcPr>
            <w:tcW w:w="9272"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w:t>
            </w:r>
          </w:p>
        </w:tc>
      </w:tr>
      <w:tr>
        <w:trPr/>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c>
          <w:tcPr>
            <w:tcW w:w="5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16"/>
              </w:rPr>
            </w:pPr>
            <w:r>
              <w:rPr>
                <w:sz w:val="16"/>
              </w:rPr>
              <w:t>(1)</w:t>
            </w:r>
          </w:p>
        </w:tc>
        <w:tc>
          <w:tcPr>
            <w:tcW w:w="9944" w:type="dxa"/>
            <w:tcBorders/>
            <w:vAlign w:val="center"/>
          </w:tcPr>
          <w:p>
            <w:pPr>
              <w:pStyle w:val="TableContents"/>
              <w:bidi w:val="0"/>
              <w:spacing w:before="0" w:after="283"/>
              <w:jc w:val="both"/>
              <w:rPr>
                <w:sz w:val="16"/>
              </w:rPr>
            </w:pPr>
            <w:r>
              <w:rPr>
                <w:sz w:val="16"/>
              </w:rPr>
              <w:t>Evidenced by American Depository Shares (“</w:t>
            </w:r>
            <w:r>
              <w:rPr>
                <w:sz w:val="16"/>
                <w:u w:val="single"/>
              </w:rPr>
              <w:t>ADSs</w:t>
            </w:r>
            <w:r>
              <w:rPr>
                <w:sz w:val="16"/>
              </w:rPr>
              <w:t>”). Each ADS represents eight ordinary shares (“</w:t>
            </w:r>
            <w:r>
              <w:rPr>
                <w:sz w:val="16"/>
                <w:u w:val="single"/>
              </w:rPr>
              <w:t>Ordinary Shares</w:t>
            </w:r>
            <w:r>
              <w:rPr>
                <w:sz w:val="16"/>
              </w:rPr>
              <w:t>”) of Verona Pharma plc (the “</w:t>
            </w:r>
            <w:r>
              <w:rPr>
                <w:sz w:val="16"/>
                <w:u w:val="single"/>
              </w:rPr>
              <w:t>Issuer</w:t>
            </w:r>
            <w:r>
              <w:rPr>
                <w:sz w:val="16"/>
              </w:rPr>
              <w:t>”).</w:t>
            </w:r>
          </w:p>
        </w:tc>
      </w:tr>
    </w:tbl>
    <w:p>
      <w:pPr>
        <w:pStyle w:val="TextBody"/>
        <w:bidi w:val="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16"/>
              </w:rPr>
            </w:pPr>
            <w:r>
              <w:rPr>
                <w:sz w:val="16"/>
              </w:rPr>
              <w:t>(2)</w:t>
            </w:r>
          </w:p>
        </w:tc>
        <w:tc>
          <w:tcPr>
            <w:tcW w:w="9975" w:type="dxa"/>
            <w:tcBorders/>
            <w:vAlign w:val="center"/>
          </w:tcPr>
          <w:p>
            <w:pPr>
              <w:pStyle w:val="TableContents"/>
              <w:bidi w:val="0"/>
              <w:spacing w:before="0" w:after="283"/>
              <w:jc w:val="both"/>
              <w:rPr>
                <w:sz w:val="16"/>
              </w:rPr>
            </w:pPr>
            <w:r>
              <w:rPr>
                <w:sz w:val="16"/>
              </w:rPr>
              <w:t>This percentage is calculated based upon 635,667,302 Ordinary Shares outstanding of the Issuer (which if all held in ADS form, would be represented by 79,458,413 ADSs) as set forth in the Issuer’s Quarterly Report on Form 10-Q for the quarter ending March 31, 2023, filed with the Securities and Exchange Commission on May 9, 2023.</w:t>
            </w:r>
          </w:p>
        </w:tc>
      </w:tr>
    </w:tbl>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9407" w:type="dxa"/>
        <w:jc w:val="left"/>
        <w:tblInd w:w="-15" w:type="dxa"/>
        <w:tblLayout w:type="fixed"/>
        <w:tblCellMar>
          <w:top w:w="120" w:type="dxa"/>
          <w:left w:w="120" w:type="dxa"/>
          <w:bottom w:w="120" w:type="dxa"/>
          <w:right w:w="120" w:type="dxa"/>
        </w:tblCellMar>
      </w:tblPr>
      <w:tblGrid>
        <w:gridCol w:w="830"/>
        <w:gridCol w:w="897"/>
        <w:gridCol w:w="4842"/>
        <w:gridCol w:w="1313"/>
        <w:gridCol w:w="510"/>
        <w:gridCol w:w="510"/>
        <w:gridCol w:w="430"/>
        <w:gridCol w:w="75"/>
      </w:tblGrid>
      <w:tr>
        <w:trPr/>
        <w:tc>
          <w:tcPr>
            <w:tcW w:w="7882" w:type="dxa"/>
            <w:gridSpan w:val="4"/>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282559103</w:t>
            </w:r>
          </w:p>
        </w:tc>
        <w:tc>
          <w:tcPr>
            <w:tcW w:w="51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bottom w:val="single" w:sz="12" w:space="0" w:color="000000"/>
            </w:tcBorders>
            <w:tcMar>
              <w:top w:w="0" w:type="dxa"/>
              <w:left w:w="0" w:type="dxa"/>
              <w:bottom w:w="45"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12" w:space="0" w:color="000000"/>
            </w:tcBorders>
            <w:tcMar>
              <w:top w:w="0" w:type="dxa"/>
              <w:left w:w="0" w:type="dxa"/>
              <w:bottom w:w="45"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4842" w:type="dxa"/>
            <w:tcBorders>
              <w:bottom w:val="single" w:sz="12" w:space="0" w:color="000000"/>
            </w:tcBorders>
            <w:tcMar>
              <w:top w:w="0" w:type="dxa"/>
              <w:left w:w="0" w:type="dxa"/>
              <w:bottom w:w="45"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2333" w:type="dxa"/>
            <w:gridSpan w:val="3"/>
            <w:tcBorders>
              <w:bottom w:val="single" w:sz="12" w:space="0" w:color="000000"/>
            </w:tcBorders>
            <w:tcMar>
              <w:top w:w="0" w:type="dxa"/>
              <w:left w:w="0" w:type="dxa"/>
              <w:bottom w:w="45"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430" w:type="dxa"/>
            <w:tcBorders>
              <w:bottom w:val="single" w:sz="12" w:space="0" w:color="000000"/>
            </w:tcBorders>
            <w:tcMar>
              <w:top w:w="0" w:type="dxa"/>
              <w:left w:w="0" w:type="dxa"/>
              <w:bottom w:w="45"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w:t>
            </w:r>
          </w:p>
        </w:tc>
        <w:tc>
          <w:tcPr>
            <w:tcW w:w="8502" w:type="dxa"/>
            <w:gridSpan w:val="6"/>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Capital GP VI LLC</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2</w:t>
            </w:r>
          </w:p>
        </w:tc>
        <w:tc>
          <w:tcPr>
            <w:tcW w:w="8072" w:type="dxa"/>
            <w:gridSpan w:val="5"/>
            <w:tcBorders>
              <w:bottom w:val="single" w:sz="12" w:space="0" w:color="000000"/>
            </w:tcBorders>
            <w:tcMar>
              <w:top w:w="0" w:type="dxa"/>
              <w:left w:w="0" w:type="dxa"/>
              <w:bottom w:w="45"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Wingdings" w:hAnsi="Wingdings"/>
                <w:b w:val="false"/>
                <w:i w:val="false"/>
                <w:caps w:val="false"/>
                <w:smallCaps w:val="false"/>
                <w:sz w:val="20"/>
              </w:rPr>
              <w:t>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Wingdings" w:hAnsi="Wingdings"/>
                <w:b w:val="false"/>
                <w:i w:val="false"/>
                <w:caps w:val="false"/>
                <w:smallCaps w:val="false"/>
                <w:sz w:val="20"/>
              </w:rPr>
              <w:t>o</w:t>
            </w:r>
          </w:p>
        </w:tc>
        <w:tc>
          <w:tcPr>
            <w:tcW w:w="430" w:type="dxa"/>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jc w:val="both"/>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3</w:t>
            </w:r>
          </w:p>
        </w:tc>
        <w:tc>
          <w:tcPr>
            <w:tcW w:w="8502" w:type="dxa"/>
            <w:gridSpan w:val="6"/>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Use Only               </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4</w:t>
            </w:r>
          </w:p>
        </w:tc>
        <w:tc>
          <w:tcPr>
            <w:tcW w:w="8502" w:type="dxa"/>
            <w:gridSpan w:val="6"/>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5</w:t>
            </w:r>
          </w:p>
        </w:tc>
        <w:tc>
          <w:tcPr>
            <w:tcW w:w="8072" w:type="dxa"/>
            <w:gridSpan w:val="5"/>
            <w:tcBorders>
              <w:bottom w:val="single" w:sz="12" w:space="0" w:color="000000"/>
            </w:tcBorders>
            <w:tcMar>
              <w:top w:w="0" w:type="dxa"/>
              <w:left w:w="0" w:type="dxa"/>
              <w:bottom w:w="45"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tc>
        <w:tc>
          <w:tcPr>
            <w:tcW w:w="430" w:type="dxa"/>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6</w:t>
            </w:r>
          </w:p>
        </w:tc>
        <w:tc>
          <w:tcPr>
            <w:tcW w:w="8502" w:type="dxa"/>
            <w:gridSpan w:val="6"/>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27" w:type="dxa"/>
            <w:gridSpan w:val="2"/>
            <w:vMerge w:val="restart"/>
            <w:tcBorders>
              <w:left w:val="single" w:sz="12" w:space="0" w:color="000000"/>
              <w:bottom w:val="single" w:sz="12" w:space="0" w:color="000000"/>
            </w:tcBorders>
            <w:tcMar>
              <w:top w:w="0" w:type="dxa"/>
              <w:left w:w="45" w:type="dxa"/>
              <w:bottom w:w="45" w:type="dxa"/>
              <w:right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4842"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7</w:t>
            </w:r>
          </w:p>
        </w:tc>
        <w:tc>
          <w:tcPr>
            <w:tcW w:w="2763" w:type="dxa"/>
            <w:gridSpan w:val="4"/>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27" w:type="dxa"/>
            <w:gridSpan w:val="2"/>
            <w:vMerge w:val="continue"/>
            <w:tcBorders>
              <w:left w:val="single" w:sz="12" w:space="0" w:color="000000"/>
              <w:bottom w:val="single" w:sz="12" w:space="0" w:color="000000"/>
            </w:tcBorders>
            <w:tcMar>
              <w:top w:w="0" w:type="dxa"/>
              <w:left w:w="45" w:type="dxa"/>
              <w:bottom w:w="45" w:type="dxa"/>
              <w:right w:w="0" w:type="dxa"/>
            </w:tcMar>
            <w:vAlign w:val="center"/>
          </w:tcPr>
          <w:p>
            <w:pPr>
              <w:pStyle w:val="Normal"/>
              <w:bidi w:val="0"/>
              <w:jc w:val="left"/>
              <w:rPr/>
            </w:pPr>
            <w:r>
              <w:rPr/>
            </w:r>
          </w:p>
        </w:tc>
        <w:tc>
          <w:tcPr>
            <w:tcW w:w="4842"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8</w:t>
            </w:r>
          </w:p>
        </w:tc>
        <w:tc>
          <w:tcPr>
            <w:tcW w:w="2763" w:type="dxa"/>
            <w:gridSpan w:val="4"/>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3,777,778 (1)</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27" w:type="dxa"/>
            <w:gridSpan w:val="2"/>
            <w:vMerge w:val="continue"/>
            <w:tcBorders>
              <w:left w:val="single" w:sz="12" w:space="0" w:color="000000"/>
              <w:bottom w:val="single" w:sz="12" w:space="0" w:color="000000"/>
            </w:tcBorders>
            <w:tcMar>
              <w:top w:w="0" w:type="dxa"/>
              <w:left w:w="45" w:type="dxa"/>
              <w:bottom w:w="45" w:type="dxa"/>
              <w:right w:w="0" w:type="dxa"/>
            </w:tcMar>
            <w:vAlign w:val="center"/>
          </w:tcPr>
          <w:p>
            <w:pPr>
              <w:pStyle w:val="Normal"/>
              <w:bidi w:val="0"/>
              <w:jc w:val="left"/>
              <w:rPr/>
            </w:pPr>
            <w:r>
              <w:rPr/>
            </w:r>
          </w:p>
        </w:tc>
        <w:tc>
          <w:tcPr>
            <w:tcW w:w="4842"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9</w:t>
            </w:r>
          </w:p>
        </w:tc>
        <w:tc>
          <w:tcPr>
            <w:tcW w:w="2763" w:type="dxa"/>
            <w:gridSpan w:val="4"/>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27" w:type="dxa"/>
            <w:gridSpan w:val="2"/>
            <w:vMerge w:val="continue"/>
            <w:tcBorders>
              <w:left w:val="single" w:sz="12" w:space="0" w:color="000000"/>
              <w:bottom w:val="single" w:sz="12" w:space="0" w:color="000000"/>
            </w:tcBorders>
            <w:tcMar>
              <w:top w:w="0" w:type="dxa"/>
              <w:left w:w="45" w:type="dxa"/>
              <w:bottom w:w="45" w:type="dxa"/>
              <w:right w:w="0" w:type="dxa"/>
            </w:tcMar>
            <w:vAlign w:val="center"/>
          </w:tcPr>
          <w:p>
            <w:pPr>
              <w:pStyle w:val="Normal"/>
              <w:bidi w:val="0"/>
              <w:jc w:val="left"/>
              <w:rPr/>
            </w:pPr>
            <w:r>
              <w:rPr/>
            </w:r>
          </w:p>
        </w:tc>
        <w:tc>
          <w:tcPr>
            <w:tcW w:w="4842"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10</w:t>
            </w:r>
          </w:p>
        </w:tc>
        <w:tc>
          <w:tcPr>
            <w:tcW w:w="2763" w:type="dxa"/>
            <w:gridSpan w:val="4"/>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3,777,778 (1)</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11</w:t>
            </w:r>
          </w:p>
        </w:tc>
        <w:tc>
          <w:tcPr>
            <w:tcW w:w="8502" w:type="dxa"/>
            <w:gridSpan w:val="6"/>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3,777,778 (1)</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12</w:t>
            </w:r>
          </w:p>
        </w:tc>
        <w:tc>
          <w:tcPr>
            <w:tcW w:w="8072" w:type="dxa"/>
            <w:gridSpan w:val="5"/>
            <w:tcBorders>
              <w:bottom w:val="single" w:sz="12" w:space="0" w:color="000000"/>
            </w:tcBorders>
            <w:tcMar>
              <w:top w:w="0" w:type="dxa"/>
              <w:left w:w="0" w:type="dxa"/>
              <w:bottom w:w="45"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(See Instructions)               </w:t>
            </w:r>
          </w:p>
        </w:tc>
        <w:tc>
          <w:tcPr>
            <w:tcW w:w="430" w:type="dxa"/>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13</w:t>
            </w:r>
          </w:p>
        </w:tc>
        <w:tc>
          <w:tcPr>
            <w:tcW w:w="8502" w:type="dxa"/>
            <w:gridSpan w:val="6"/>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(2)</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left w:val="single" w:sz="12" w:space="0" w:color="000000"/>
              <w:bottom w:val="single" w:sz="12" w:space="0" w:color="000000"/>
              <w:right w:val="single" w:sz="12" w:space="0" w:color="000000"/>
            </w:tcBorders>
            <w:tcMar>
              <w:top w:w="0" w:type="dxa"/>
              <w:left w:w="45" w:type="dxa"/>
              <w:bottom w:w="45" w:type="dxa"/>
              <w:right w:w="45"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14</w:t>
            </w:r>
          </w:p>
        </w:tc>
        <w:tc>
          <w:tcPr>
            <w:tcW w:w="8502" w:type="dxa"/>
            <w:gridSpan w:val="6"/>
            <w:tcBorders>
              <w:bottom w:val="single" w:sz="12" w:space="0" w:color="000000"/>
              <w:right w:val="single" w:sz="12" w:space="0" w:color="000000"/>
            </w:tcBorders>
            <w:tcMar>
              <w:top w:w="0" w:type="dxa"/>
              <w:left w:w="0" w:type="dxa"/>
              <w:bottom w:w="45" w:type="dxa"/>
              <w:right w:w="45"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tcMar>
              <w:top w:w="0" w:type="dxa"/>
              <w:left w:w="0" w:type="dxa"/>
              <w:bottom w:w="0" w:type="dxa"/>
              <w:right w:w="0" w:type="dxa"/>
            </w:tcMar>
            <w:vAlign w:val="center"/>
          </w:tcPr>
          <w:p>
            <w:pPr>
              <w:pStyle w:val="TableContents"/>
              <w:bidi w:val="0"/>
              <w:spacing w:before="0" w:after="283"/>
              <w:jc w:val="left"/>
              <w:rPr/>
            </w:pPr>
            <w:r>
              <w:rPr/>
              <w:t> </w:t>
            </w:r>
          </w:p>
        </w:tc>
        <w:tc>
          <w:tcPr>
            <w:tcW w:w="4842" w:type="dxa"/>
            <w:tcBorders/>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16"/>
              </w:rPr>
            </w:pPr>
            <w:r>
              <w:rPr>
                <w:sz w:val="16"/>
              </w:rPr>
              <w:t>(1)</w:t>
            </w:r>
          </w:p>
        </w:tc>
        <w:tc>
          <w:tcPr>
            <w:tcW w:w="9944" w:type="dxa"/>
            <w:tcBorders/>
            <w:vAlign w:val="center"/>
          </w:tcPr>
          <w:p>
            <w:pPr>
              <w:pStyle w:val="TableContents"/>
              <w:bidi w:val="0"/>
              <w:spacing w:before="0" w:after="283"/>
              <w:jc w:val="both"/>
              <w:rPr>
                <w:sz w:val="16"/>
              </w:rPr>
            </w:pPr>
            <w:r>
              <w:rPr>
                <w:sz w:val="16"/>
              </w:rPr>
              <w:t>Evidenced by American Depository Shares (“</w:t>
            </w:r>
            <w:r>
              <w:rPr>
                <w:sz w:val="16"/>
                <w:u w:val="single"/>
              </w:rPr>
              <w:t>ADSs</w:t>
            </w:r>
            <w:r>
              <w:rPr>
                <w:sz w:val="16"/>
              </w:rPr>
              <w:t>”). Each ADS represents eight ordinary shares (“</w:t>
            </w:r>
            <w:r>
              <w:rPr>
                <w:sz w:val="16"/>
                <w:u w:val="single"/>
              </w:rPr>
              <w:t>Ordinary Shares</w:t>
            </w:r>
            <w:r>
              <w:rPr>
                <w:sz w:val="16"/>
              </w:rPr>
              <w:t>”) of Verona Pharma plc (the “</w:t>
            </w:r>
            <w:r>
              <w:rPr>
                <w:sz w:val="16"/>
                <w:u w:val="single"/>
              </w:rPr>
              <w:t>Issuer</w:t>
            </w:r>
            <w:r>
              <w:rPr>
                <w:sz w:val="16"/>
              </w:rPr>
              <w:t>”).</w:t>
            </w:r>
          </w:p>
        </w:tc>
      </w:tr>
    </w:tbl>
    <w:p>
      <w:pPr>
        <w:pStyle w:val="TextBody"/>
        <w:bidi w:val="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16"/>
              </w:rPr>
            </w:pPr>
            <w:r>
              <w:rPr>
                <w:sz w:val="16"/>
              </w:rPr>
              <w:t>(2)</w:t>
            </w:r>
          </w:p>
        </w:tc>
        <w:tc>
          <w:tcPr>
            <w:tcW w:w="9975" w:type="dxa"/>
            <w:tcBorders/>
            <w:vAlign w:val="center"/>
          </w:tcPr>
          <w:p>
            <w:pPr>
              <w:pStyle w:val="TableContents"/>
              <w:bidi w:val="0"/>
              <w:spacing w:before="0" w:after="283"/>
              <w:jc w:val="both"/>
              <w:rPr>
                <w:sz w:val="16"/>
              </w:rPr>
            </w:pPr>
            <w:r>
              <w:rPr>
                <w:sz w:val="16"/>
              </w:rPr>
              <w:t>This percentage is calculated based upon 635,667,302 Ordinary Shares outstanding of the Issuer (which if all held in ADS form, would be represented by 79,458,413 ADSs) as set forth in the Issuer’s Quarterly Report on Form 10-Q for the quarter ending March 31, 2023, filed with the Securities and Exchange Commission on May 9, 2023.</w:t>
            </w:r>
          </w:p>
        </w:tc>
      </w:tr>
    </w:tbl>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Security and Issuer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4 (“</w:t>
      </w:r>
      <w:r>
        <w:rPr>
          <w:rFonts w:ascii="Times New Roman;Times;Serif" w:hAnsi="Times New Roman;Times;Serif"/>
          <w:b w:val="false"/>
          <w:i w:val="false"/>
          <w:caps w:val="false"/>
          <w:smallCaps w:val="false"/>
          <w:sz w:val="20"/>
          <w:u w:val="single"/>
        </w:rPr>
        <w:t>Amendment No. 4</w:t>
      </w:r>
      <w:r>
        <w:rPr>
          <w:rFonts w:ascii="Times New Roman;Times;Serif" w:hAnsi="Times New Roman;Times;Serif"/>
          <w:b w:val="false"/>
          <w:i w:val="false"/>
          <w:caps w:val="false"/>
          <w:smallCaps w:val="false"/>
          <w:sz w:val="20"/>
        </w:rPr>
        <w:t>”) to Schedule 13D supplements and amends the Statement on Schedule 13D of OrbiMed Advisors LLC, OrbiMed Capital GP VI LLC and Samuel D. Isaly (the “</w:t>
      </w:r>
      <w:r>
        <w:rPr>
          <w:rFonts w:ascii="Times New Roman;Times;Serif" w:hAnsi="Times New Roman;Times;Serif"/>
          <w:b w:val="false"/>
          <w:i w:val="false"/>
          <w:caps w:val="false"/>
          <w:smallCaps w:val="false"/>
          <w:sz w:val="20"/>
          <w:u w:val="single"/>
        </w:rPr>
        <w:t>Statement</w:t>
      </w:r>
      <w:r>
        <w:rPr>
          <w:rFonts w:ascii="Times New Roman;Times;Serif" w:hAnsi="Times New Roman;Times;Serif"/>
          <w:b w:val="false"/>
          <w:i w:val="false"/>
          <w:caps w:val="false"/>
          <w:smallCaps w:val="false"/>
          <w:sz w:val="20"/>
        </w:rPr>
        <w:t>”) originally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May 8, 2017, as amended by Amendment No. 1 filed with the SEC on January 26, 2018, Amendment No. 2 filed with the SEC on August 12, 2022, and Amendment No. 3 filed with the SEC on December 27, 2022. This Statement relates to the ordinary shares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of Verona Pharma plc, a public limited company organized under the laws of the United Kingdom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with its principal offices located at 3 More London Riverside, London SE1 2RE, United Kingdom. Certain Ordinary Shares are represented by American Depositary Shares (“</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with each ADS representing eight Ordinary Shares (Ordinary Shares and Ordinary Shares represented by ADSs together,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The ADSs are listed on the NASDAQ Global Market under the ticker symbol “VRNA”. Information given in response to each item shall be deemed incorporated by reference in all other items,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transactions described in Item 5(c) below, the Reporting Persons (as defined below) may no longer be deemed the beneficial owners of more than 5% of the outstanding Shares. Accordingly, this Amendment No. 4 constitutes the final amendment to the Statement and an exit filing for the Reporting Persons.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Identity and Background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Schedule 13D is being filed by OrbiMed Advisors LLC (“</w:t>
      </w:r>
      <w:r>
        <w:rPr>
          <w:rFonts w:ascii="Times New Roman;Times;Serif" w:hAnsi="Times New Roman;Times;Serif"/>
          <w:b w:val="false"/>
          <w:i w:val="false"/>
          <w:caps w:val="false"/>
          <w:smallCaps w:val="false"/>
          <w:sz w:val="20"/>
          <w:u w:val="single"/>
        </w:rPr>
        <w:t>OrbiMed Advisors</w:t>
      </w:r>
      <w:r>
        <w:rPr>
          <w:rFonts w:ascii="Times New Roman;Times;Serif" w:hAnsi="Times New Roman;Times;Serif"/>
          <w:b w:val="false"/>
          <w:i w:val="false"/>
          <w:caps w:val="false"/>
          <w:smallCaps w:val="false"/>
          <w:sz w:val="20"/>
        </w:rPr>
        <w:t>”) and OrbiMed Capital GP VI LLC (“</w:t>
      </w:r>
      <w:r>
        <w:rPr>
          <w:rFonts w:ascii="Times New Roman;Times;Serif" w:hAnsi="Times New Roman;Times;Serif"/>
          <w:b w:val="false"/>
          <w:i w:val="false"/>
          <w:caps w:val="false"/>
          <w:smallCaps w:val="false"/>
          <w:sz w:val="20"/>
          <w:u w:val="single"/>
        </w:rPr>
        <w:t>GP VI</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Reporting Persons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 —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GP VI, a limited liability company organized under the laws of Delaware, is the general partner of a limited partnership as more particularly described in Item 6 below. GP VI has its principal offices at 601 Lexington Avenue, 54th Floor, New York, New York 10022.</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executive officers of OrbiMed Advisors and GP VI are set forth on Schedules I and II, respectively, attached hereto. Schedules I and II set forth the following information with respect to each such person: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business address;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present principal occupation of employment and the name, principal business and address of any corporation or other organization in which such employment is conducted; 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citizenship.</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 (e) During the last five years, neither the Reporting Persons nor any Person named in Schedules I and II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Source and Amount of Funds or Other Consideration</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Purpose of Transaction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originally acquired by the Reporting Persons were acquired for the purpose of making an investment in the Issuer and not with the intention of acquiring control of the Issuer’s business on behalf of the Reporting Persons’ respective advisory clients.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ADSs currently owned by the Reporting Persons or otherwise acquired by the Reporting Persons either in the open market or in privately negotiated transactions.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this Statement,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 in Securities of the Issuer</w:t>
      </w:r>
    </w:p>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 (b) The following disclosure is based upon 635,667,302 outstanding Ordinary Shares of the Issuer (which if all held in ADS form, would be represented by 79,458,413 ADSs) as set forth in the Issuer’s Quarterly Report on Form 10-Q for the quarter ending March 31, 2023, filed with the SEC on May 9, 2023.</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OrbiMed Private Investments VI, LP (“</w:t>
      </w:r>
      <w:r>
        <w:rPr>
          <w:rFonts w:ascii="Times New Roman;Times;Serif" w:hAnsi="Times New Roman;Times;Serif"/>
          <w:b w:val="false"/>
          <w:i w:val="false"/>
          <w:caps w:val="false"/>
          <w:smallCaps w:val="false"/>
          <w:sz w:val="20"/>
          <w:u w:val="single"/>
        </w:rPr>
        <w:t>OPI VI</w:t>
      </w:r>
      <w:r>
        <w:rPr>
          <w:rFonts w:ascii="Times New Roman;Times;Serif" w:hAnsi="Times New Roman;Times;Serif"/>
          <w:b w:val="false"/>
          <w:i w:val="false"/>
          <w:caps w:val="false"/>
          <w:smallCaps w:val="false"/>
          <w:sz w:val="20"/>
        </w:rPr>
        <w:t>”), a limited partnership organized under the laws of Delaware, holds 3,777,778 ADSs constituting approximately 4.8% of the issued and outstanding Shares. GP VI is the general partner of OPI VI, pursuant to the terms of the limited partnership agreement of OPI VI, and OrbiMed Advisors is the managing member of GP VI, pursuant to the terms of the limited liability company agreement of GP VI. As a result, OrbiMed Advisors and GP VI share power to direct the vote and disposition of the ADSs held by OPI VI and may be deemed directly or indirectly, including by reason of their mutual affiliation, to be the beneficial owners of the ADSs held by OPI VI. Each of OrbiMed Advisors and GP VI disclaims any beneficial ownership over the ADSs of the other Reporting Persons. OrbiMed Advisors exercises this investment and voting power through a management committee comprised of Carl L. Gordon, Sven H. Borho, and W. Carter Neild, each of whom disclaims beneficial ownership of the ADSs held by OPI VI.</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p>
      <w:pPr>
        <w:pStyle w:val="TextBody"/>
        <w:bidi w:val="0"/>
        <w:jc w:val="both"/>
        <w:rPr>
          <w:caps w:val="false"/>
          <w:smallCaps w:val="false"/>
        </w:rPr>
      </w:pPr>
      <w:r>
        <w:rPr>
          <w:caps w:val="false"/>
          <w:smallCaps w:val="false"/>
        </w:rPr>
        <w:t> </w:t>
      </w:r>
    </w:p>
    <w:tbl>
      <w:tblPr>
        <w:tblW w:w="6235" w:type="dxa"/>
        <w:jc w:val="left"/>
        <w:tblInd w:w="-10" w:type="dxa"/>
        <w:tblLayout w:type="fixed"/>
        <w:tblCellMar>
          <w:top w:w="28" w:type="dxa"/>
          <w:left w:w="108" w:type="dxa"/>
          <w:bottom w:w="28" w:type="dxa"/>
          <w:right w:w="108" w:type="dxa"/>
        </w:tblCellMar>
      </w:tblPr>
      <w:tblGrid>
        <w:gridCol w:w="575"/>
        <w:gridCol w:w="1700"/>
        <w:gridCol w:w="1055"/>
        <w:gridCol w:w="1535"/>
        <w:gridCol w:w="1370"/>
      </w:tblGrid>
      <w:tr>
        <w:trPr/>
        <w:tc>
          <w:tcPr>
            <w:tcW w:w="5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Transaction</w:t>
            </w:r>
          </w:p>
        </w:tc>
        <w:tc>
          <w:tcPr>
            <w:tcW w:w="10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13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 Share</w:t>
            </w:r>
          </w:p>
        </w:tc>
      </w:tr>
      <w:tr>
        <w:trPr/>
        <w:tc>
          <w:tcPr>
            <w:tcW w:w="57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 VI</w:t>
            </w:r>
          </w:p>
        </w:tc>
        <w:tc>
          <w:tcPr>
            <w:tcW w:w="170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2023</w:t>
            </w:r>
          </w:p>
        </w:tc>
        <w:tc>
          <w:tcPr>
            <w:tcW w:w="105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Sold</w:t>
            </w:r>
          </w:p>
        </w:tc>
        <w:tc>
          <w:tcPr>
            <w:tcW w:w="153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w:t>
            </w:r>
          </w:p>
        </w:tc>
        <w:tc>
          <w:tcPr>
            <w:tcW w:w="137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w:t>
            </w:r>
          </w:p>
        </w:tc>
      </w:tr>
      <w:tr>
        <w:trPr/>
        <w:tc>
          <w:tcPr>
            <w:tcW w:w="57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 VI</w:t>
            </w:r>
          </w:p>
        </w:tc>
        <w:tc>
          <w:tcPr>
            <w:tcW w:w="170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2023</w:t>
            </w:r>
          </w:p>
        </w:tc>
        <w:tc>
          <w:tcPr>
            <w:tcW w:w="105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Sold</w:t>
            </w:r>
          </w:p>
        </w:tc>
        <w:tc>
          <w:tcPr>
            <w:tcW w:w="153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43,200</w:t>
            </w:r>
          </w:p>
        </w:tc>
        <w:tc>
          <w:tcPr>
            <w:tcW w:w="137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$21.64</w:t>
            </w:r>
          </w:p>
        </w:tc>
      </w:tr>
      <w:tr>
        <w:trPr/>
        <w:tc>
          <w:tcPr>
            <w:tcW w:w="57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 VI</w:t>
            </w:r>
          </w:p>
        </w:tc>
        <w:tc>
          <w:tcPr>
            <w:tcW w:w="170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2023</w:t>
            </w:r>
          </w:p>
        </w:tc>
        <w:tc>
          <w:tcPr>
            <w:tcW w:w="105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Sold</w:t>
            </w:r>
          </w:p>
        </w:tc>
        <w:tc>
          <w:tcPr>
            <w:tcW w:w="153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14,400</w:t>
            </w:r>
          </w:p>
        </w:tc>
        <w:tc>
          <w:tcPr>
            <w:tcW w:w="137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$21.96</w:t>
            </w:r>
          </w:p>
        </w:tc>
      </w:tr>
      <w:tr>
        <w:trPr/>
        <w:tc>
          <w:tcPr>
            <w:tcW w:w="57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 VI</w:t>
            </w:r>
          </w:p>
        </w:tc>
        <w:tc>
          <w:tcPr>
            <w:tcW w:w="170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2023</w:t>
            </w:r>
          </w:p>
        </w:tc>
        <w:tc>
          <w:tcPr>
            <w:tcW w:w="105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Sold</w:t>
            </w:r>
          </w:p>
        </w:tc>
        <w:tc>
          <w:tcPr>
            <w:tcW w:w="153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345,313</w:t>
            </w:r>
          </w:p>
        </w:tc>
        <w:tc>
          <w:tcPr>
            <w:tcW w:w="137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r>
    </w:tbl>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 applicable.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May 15, 2023, the Reporting Persons are believed to have ceased to be the beneficial owners of more than five percent of the outstanding Shares.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Contracts, Arrangements, Understandings or Relationships with Respect to Securities of the Issuer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relationships between the Reporting Persons described in Items 2 and 5 above, GP VI is the general partner of OPI VI, pursuant to the terms of the limited partnership agreement of OPI VI. Pursuant to this agreement and relationship, GP VI has discretionary investment management authority with respect to the assets of OPI VI. Such authority includes the power to vote and otherwise dispose of securities held by OPI VI. The number of outstanding ADSs of the Issuer attributable to OPI VI is 3,777,778 ADSs. GP VI, pursuant to its authority under the limited partnership agreement of OPI VI, may be considered to hold indirectly 3,777,778 ADSs.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is the managing member of GP VI, pursuant to the terms of the limited liability company agreement of GP VI. Pursuant to these agreements and relationships, OrbiMed Advisors and GP VI have discretionary investment management authority with respect to the assets of OPI VI. Such authority includes the power of GP VI to vote and otherwise dispose of securities held by OPI VI. The number of outstanding ADSs attributable to OPI VI is 3,777,778 ADSs. OrbiMed Advisors, pursuant to its authority under the terms of the limited liability company agreement of GP VI, may also be considered to hold indirectly 3,777,778 ADSs.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Rishi Gupta (“</w:t>
      </w:r>
      <w:r>
        <w:rPr>
          <w:rFonts w:ascii="Times New Roman;Times;Serif" w:hAnsi="Times New Roman;Times;Serif"/>
          <w:b w:val="false"/>
          <w:i w:val="false"/>
          <w:caps w:val="false"/>
          <w:smallCaps w:val="false"/>
          <w:sz w:val="20"/>
          <w:u w:val="single"/>
        </w:rPr>
        <w:t>Gupta</w:t>
      </w:r>
      <w:r>
        <w:rPr>
          <w:rFonts w:ascii="Times New Roman;Times;Serif" w:hAnsi="Times New Roman;Times;Serif"/>
          <w:b w:val="false"/>
          <w:i w:val="false"/>
          <w:caps w:val="false"/>
          <w:smallCaps w:val="false"/>
          <w:sz w:val="20"/>
        </w:rPr>
        <w:t>”), an employee of OrbiMed Advisors, is a member of the Board of Directors of the Issuer and, accordingly, OrbiMed Advisors and GP VI may have the ability to affect and influence control of the Issuer. From time to time, Gupta may receive stock options or other awards of equity-based compensation pursuant to the Issuer’s compensation arrangements for non-employee directors. Pursuant to an agreement with OrbiMed Advisors and GP VI, Gupta is obligated to transfer any securities issued under any such stock options or other awards, or the economic benefit thereof, to OrbiMed Advisors and GP VI, which will in turn ensure that such securities or economic benefits are provided to OPI VI.</w:t>
      </w:r>
    </w:p>
    <w:p>
      <w:pPr>
        <w:pStyle w:val="TextBody"/>
        <w:bidi w:val="0"/>
        <w:ind w:left="0" w:right="0" w:firstLine="36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Material to Be Filed as Exhibits</w:t>
      </w:r>
    </w:p>
    <w:p>
      <w:pPr>
        <w:pStyle w:val="TextBody"/>
        <w:bidi w:val="0"/>
        <w:jc w:val="left"/>
        <w:rPr>
          <w:caps w:val="false"/>
          <w:smallCaps w:val="false"/>
        </w:rPr>
      </w:pPr>
      <w:r>
        <w:rPr>
          <w:caps w:val="false"/>
          <w:smallCaps w:val="false"/>
        </w:rPr>
        <w:t> </w:t>
      </w:r>
    </w:p>
    <w:tbl>
      <w:tblPr>
        <w:tblW w:w="7900" w:type="dxa"/>
        <w:jc w:val="left"/>
        <w:tblInd w:w="-15" w:type="dxa"/>
        <w:tblLayout w:type="fixed"/>
        <w:tblCellMar>
          <w:top w:w="90" w:type="dxa"/>
          <w:left w:w="90" w:type="dxa"/>
          <w:bottom w:w="90" w:type="dxa"/>
          <w:right w:w="0" w:type="dxa"/>
        </w:tblCellMar>
      </w:tblPr>
      <w:tblGrid>
        <w:gridCol w:w="665"/>
        <w:gridCol w:w="7235"/>
      </w:tblGrid>
      <w:tr>
        <w:trPr/>
        <w:tc>
          <w:tcPr>
            <w:tcW w:w="66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7235" w:type="dxa"/>
            <w:tcBorders>
              <w:top w:val="single" w:sz="12" w:space="0" w:color="000000"/>
              <w:left w:val="single" w:sz="12" w:space="0" w:color="000000"/>
              <w:bottom w:val="single" w:sz="12" w:space="0" w:color="000000"/>
              <w:right w:val="single" w:sz="12" w:space="0" w:color="000000"/>
            </w:tcBorders>
            <w:tcMar>
              <w:right w:w="9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235" w:type="dxa"/>
            <w:tcBorders>
              <w:left w:val="single" w:sz="12" w:space="0" w:color="000000"/>
              <w:bottom w:val="single" w:sz="12" w:space="0" w:color="000000"/>
              <w:right w:val="single" w:sz="12" w:space="0" w:color="000000"/>
            </w:tcBorders>
            <w:tcMar>
              <w:top w:w="0" w:type="dxa"/>
              <w:right w:w="9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 among OrbiMed Advisors LLC and OrbiMed Capital GP VI LLC.</w:t>
            </w:r>
          </w:p>
        </w:tc>
      </w:tr>
    </w:tbl>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jc w:val="left"/>
        <w:rPr>
          <w:caps w:val="false"/>
          <w:smallCaps w:val="false"/>
        </w:rPr>
      </w:pPr>
      <w:r>
        <w:rPr>
          <w:caps w:val="false"/>
          <w:smallCaps w:val="false"/>
        </w:rPr>
        <w:t> </w:t>
      </w:r>
    </w:p>
    <w:tbl>
      <w:tblPr>
        <w:tblW w:w="6254" w:type="dxa"/>
        <w:jc w:val="left"/>
        <w:tblInd w:w="0" w:type="dxa"/>
        <w:tblLayout w:type="fixed"/>
        <w:tblCellMar>
          <w:top w:w="0" w:type="dxa"/>
          <w:left w:w="0" w:type="dxa"/>
          <w:bottom w:w="0" w:type="dxa"/>
          <w:right w:w="0" w:type="dxa"/>
        </w:tblCellMar>
      </w:tblPr>
      <w:tblGrid>
        <w:gridCol w:w="1760"/>
        <w:gridCol w:w="320"/>
        <w:gridCol w:w="4083"/>
        <w:gridCol w:w="91"/>
      </w:tblGrid>
      <w:tr>
        <w:trPr/>
        <w:tc>
          <w:tcPr>
            <w:tcW w:w="1760" w:type="dxa"/>
            <w:tcBorders/>
            <w:vAlign w:val="center"/>
          </w:tcPr>
          <w:p>
            <w:pPr>
              <w:pStyle w:val="TableContents"/>
              <w:bidi w:val="0"/>
              <w:spacing w:before="0" w:after="283"/>
              <w:jc w:val="left"/>
              <w:rPr>
                <w:sz w:val="20"/>
              </w:rPr>
            </w:pPr>
            <w:r>
              <w:rPr>
                <w:sz w:val="20"/>
              </w:rPr>
              <w:t>Dated: May 16, 2023</w:t>
            </w:r>
          </w:p>
        </w:tc>
        <w:tc>
          <w:tcPr>
            <w:tcW w:w="4403" w:type="dxa"/>
            <w:gridSpan w:val="2"/>
            <w:tcBorders/>
            <w:vAlign w:val="center"/>
          </w:tcPr>
          <w:p>
            <w:pPr>
              <w:pStyle w:val="TableContents"/>
              <w:bidi w:val="0"/>
              <w:spacing w:before="0" w:after="283"/>
              <w:jc w:val="left"/>
              <w:rPr>
                <w:sz w:val="20"/>
              </w:rPr>
            </w:pPr>
            <w:r>
              <w:rPr>
                <w:sz w:val="20"/>
              </w:rPr>
              <w:t>ORBIMED ADVISORS LLC</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Carl L. Gordon</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 xml:space="preserve">Title: Member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sz w:val="20"/>
              </w:rPr>
            </w:pPr>
            <w:r>
              <w:rPr>
                <w:sz w:val="20"/>
              </w:rPr>
              <w:t>ORBIMED CAPITAL GP VI LLC</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Carl L. Gordon</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Title: Member of OrbiMed Advisors LLC</w:t>
            </w:r>
          </w:p>
        </w:tc>
        <w:tc>
          <w:tcPr>
            <w:tcW w:w="91"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Times New Roman;Times;Serif" w:hAnsi="Times New Roman;Times;Serif"/>
          <w:b w:val="false"/>
          <w:i w:val="false"/>
          <w:caps w:val="false"/>
          <w:smallCaps w:val="false"/>
          <w:sz w:val="16"/>
        </w:rPr>
        <w:t>th</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Floor, New York, NY 10022.</w:t>
      </w:r>
    </w:p>
    <w:p>
      <w:pPr>
        <w:pStyle w:val="TextBody"/>
        <w:bidi w:val="0"/>
        <w:ind w:left="72" w:right="360" w:firstLine="648"/>
        <w:jc w:val="both"/>
        <w:rPr>
          <w:caps w:val="false"/>
          <w:smallCaps w:val="false"/>
        </w:rPr>
      </w:pPr>
      <w:r>
        <w:rPr>
          <w:caps w:val="false"/>
          <w:smallCaps w:val="false"/>
        </w:rPr>
        <w:t>             </w:t>
      </w:r>
    </w:p>
    <w:tbl>
      <w:tblPr>
        <w:tblW w:w="7605" w:type="dxa"/>
        <w:jc w:val="left"/>
        <w:tblInd w:w="0" w:type="dxa"/>
        <w:tblLayout w:type="fixed"/>
        <w:tblCellMar>
          <w:top w:w="0" w:type="dxa"/>
          <w:left w:w="0" w:type="dxa"/>
          <w:bottom w:w="0" w:type="dxa"/>
          <w:right w:w="0" w:type="dxa"/>
        </w:tblCellMar>
      </w:tblPr>
      <w:tblGrid>
        <w:gridCol w:w="2735"/>
        <w:gridCol w:w="2555"/>
        <w:gridCol w:w="2315"/>
      </w:tblGrid>
      <w:tr>
        <w:trPr/>
        <w:tc>
          <w:tcPr>
            <w:tcW w:w="2735" w:type="dxa"/>
            <w:tcBorders/>
            <w:vAlign w:val="center"/>
          </w:tcPr>
          <w:p>
            <w:pPr>
              <w:pStyle w:val="TableContents"/>
              <w:bidi w:val="0"/>
              <w:spacing w:before="0" w:after="283"/>
              <w:jc w:val="left"/>
              <w:rPr>
                <w:sz w:val="20"/>
                <w:u w:val="single"/>
              </w:rPr>
            </w:pPr>
            <w:r>
              <w:rPr>
                <w:sz w:val="20"/>
                <w:u w:val="single"/>
              </w:rPr>
              <w:t>Name</w:t>
            </w:r>
          </w:p>
        </w:tc>
        <w:tc>
          <w:tcPr>
            <w:tcW w:w="2555" w:type="dxa"/>
            <w:tcBorders/>
            <w:vAlign w:val="center"/>
          </w:tcPr>
          <w:p>
            <w:pPr>
              <w:pStyle w:val="TableContents"/>
              <w:bidi w:val="0"/>
              <w:spacing w:before="0" w:after="283"/>
              <w:jc w:val="left"/>
              <w:rPr>
                <w:sz w:val="20"/>
                <w:u w:val="single"/>
              </w:rPr>
            </w:pPr>
            <w:r>
              <w:rPr>
                <w:sz w:val="20"/>
                <w:u w:val="single"/>
              </w:rPr>
              <w:t>Position with Reporting Person</w:t>
            </w:r>
          </w:p>
        </w:tc>
        <w:tc>
          <w:tcPr>
            <w:tcW w:w="2315" w:type="dxa"/>
            <w:tcBorders/>
            <w:vAlign w:val="center"/>
          </w:tcPr>
          <w:p>
            <w:pPr>
              <w:pStyle w:val="TableContents"/>
              <w:bidi w:val="0"/>
              <w:spacing w:before="0" w:after="283"/>
              <w:jc w:val="left"/>
              <w:rPr>
                <w:sz w:val="20"/>
                <w:u w:val="single"/>
              </w:rPr>
            </w:pPr>
            <w:r>
              <w:rPr>
                <w:sz w:val="20"/>
                <w:u w:val="single"/>
              </w:rPr>
              <w:t>Principal Occupation</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Carl L. Gordon</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Sven H. Borho</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 and Swedish Citizen</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W. Carter Neild</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Geoffrey C. Hsu</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C. Scotland Stevens</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ObiMed Advisors LLC</w:t>
            </w:r>
          </w:p>
          <w:p>
            <w:pPr>
              <w:pStyle w:val="TableContents"/>
              <w:bidi w:val="0"/>
              <w:spacing w:before="0" w:after="283"/>
              <w:ind w:left="360" w:right="360" w:hanging="0"/>
              <w:jc w:val="both"/>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both"/>
              <w:rPr>
                <w:sz w:val="20"/>
              </w:rPr>
            </w:pPr>
            <w:r>
              <w:rPr>
                <w:sz w:val="20"/>
              </w:rPr>
              <w:t>David P. Bonita</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both"/>
              <w:rPr/>
            </w:pPr>
            <w:r>
              <w:rPr/>
              <w:t> </w:t>
            </w:r>
          </w:p>
        </w:tc>
        <w:tc>
          <w:tcPr>
            <w:tcW w:w="2555" w:type="dxa"/>
            <w:tcBorders/>
            <w:vAlign w:val="center"/>
          </w:tcPr>
          <w:p>
            <w:pPr>
              <w:pStyle w:val="TableContents"/>
              <w:bidi w:val="0"/>
              <w:spacing w:before="0" w:after="283"/>
              <w:jc w:val="both"/>
              <w:rPr/>
            </w:pPr>
            <w:r>
              <w:rPr/>
              <w:t> </w:t>
            </w:r>
          </w:p>
        </w:tc>
        <w:tc>
          <w:tcPr>
            <w:tcW w:w="2315" w:type="dxa"/>
            <w:tcBorders/>
            <w:vAlign w:val="center"/>
          </w:tcPr>
          <w:p>
            <w:pPr>
              <w:pStyle w:val="TableContents"/>
              <w:bidi w:val="0"/>
              <w:spacing w:before="0" w:after="283"/>
              <w:jc w:val="both"/>
              <w:rPr/>
            </w:pPr>
            <w:r>
              <w:rPr/>
              <w:t> </w:t>
            </w:r>
          </w:p>
        </w:tc>
      </w:tr>
      <w:tr>
        <w:trPr/>
        <w:tc>
          <w:tcPr>
            <w:tcW w:w="2735" w:type="dxa"/>
            <w:tcBorders/>
            <w:vAlign w:val="center"/>
          </w:tcPr>
          <w:p>
            <w:pPr>
              <w:pStyle w:val="TableContents"/>
              <w:bidi w:val="0"/>
              <w:spacing w:before="0" w:after="283"/>
              <w:jc w:val="both"/>
              <w:rPr>
                <w:sz w:val="20"/>
              </w:rPr>
            </w:pPr>
            <w:r>
              <w:rPr>
                <w:sz w:val="20"/>
              </w:rPr>
              <w:t>Peter A. Thompson</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both"/>
              <w:rPr/>
            </w:pPr>
            <w:r>
              <w:rPr/>
              <w:t> </w:t>
            </w:r>
          </w:p>
        </w:tc>
        <w:tc>
          <w:tcPr>
            <w:tcW w:w="2555" w:type="dxa"/>
            <w:tcBorders/>
            <w:vAlign w:val="center"/>
          </w:tcPr>
          <w:p>
            <w:pPr>
              <w:pStyle w:val="TableContents"/>
              <w:bidi w:val="0"/>
              <w:spacing w:before="0" w:after="283"/>
              <w:jc w:val="both"/>
              <w:rPr/>
            </w:pPr>
            <w:r>
              <w:rPr/>
              <w:t> </w:t>
            </w:r>
          </w:p>
        </w:tc>
        <w:tc>
          <w:tcPr>
            <w:tcW w:w="2315" w:type="dxa"/>
            <w:tcBorders/>
            <w:vAlign w:val="center"/>
          </w:tcPr>
          <w:p>
            <w:pPr>
              <w:pStyle w:val="TableContents"/>
              <w:bidi w:val="0"/>
              <w:spacing w:before="0" w:after="283"/>
              <w:jc w:val="both"/>
              <w:rPr/>
            </w:pPr>
            <w:r>
              <w:rPr/>
              <w:t> </w:t>
            </w:r>
          </w:p>
        </w:tc>
      </w:tr>
      <w:tr>
        <w:trPr/>
        <w:tc>
          <w:tcPr>
            <w:tcW w:w="2735" w:type="dxa"/>
            <w:tcBorders/>
            <w:vAlign w:val="center"/>
          </w:tcPr>
          <w:p>
            <w:pPr>
              <w:pStyle w:val="TableContents"/>
              <w:bidi w:val="0"/>
              <w:spacing w:before="0" w:after="283"/>
              <w:jc w:val="both"/>
              <w:rPr>
                <w:sz w:val="20"/>
              </w:rPr>
            </w:pPr>
            <w:r>
              <w:rPr>
                <w:sz w:val="20"/>
              </w:rPr>
              <w:t>Matthew S. Rizzo</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both"/>
              <w:rPr/>
            </w:pPr>
            <w:r>
              <w:rPr/>
              <w:t> </w:t>
            </w:r>
          </w:p>
        </w:tc>
        <w:tc>
          <w:tcPr>
            <w:tcW w:w="2555" w:type="dxa"/>
            <w:tcBorders/>
            <w:vAlign w:val="center"/>
          </w:tcPr>
          <w:p>
            <w:pPr>
              <w:pStyle w:val="TableContents"/>
              <w:bidi w:val="0"/>
              <w:spacing w:before="0" w:after="283"/>
              <w:jc w:val="both"/>
              <w:rPr/>
            </w:pPr>
            <w:r>
              <w:rPr/>
              <w:t> </w:t>
            </w:r>
          </w:p>
        </w:tc>
        <w:tc>
          <w:tcPr>
            <w:tcW w:w="2315" w:type="dxa"/>
            <w:tcBorders/>
            <w:vAlign w:val="center"/>
          </w:tcPr>
          <w:p>
            <w:pPr>
              <w:pStyle w:val="TableContents"/>
              <w:bidi w:val="0"/>
              <w:spacing w:before="0" w:after="283"/>
              <w:jc w:val="both"/>
              <w:rPr/>
            </w:pPr>
            <w:r>
              <w:rPr/>
              <w:t> </w:t>
            </w:r>
          </w:p>
        </w:tc>
      </w:tr>
      <w:tr>
        <w:trPr/>
        <w:tc>
          <w:tcPr>
            <w:tcW w:w="2735" w:type="dxa"/>
            <w:tcBorders/>
            <w:vAlign w:val="center"/>
          </w:tcPr>
          <w:p>
            <w:pPr>
              <w:pStyle w:val="TableContents"/>
              <w:bidi w:val="0"/>
              <w:spacing w:before="0" w:after="283"/>
              <w:jc w:val="both"/>
              <w:rPr>
                <w:sz w:val="20"/>
              </w:rPr>
            </w:pPr>
            <w:r>
              <w:rPr>
                <w:sz w:val="20"/>
              </w:rPr>
              <w:t>Trey Block</w:t>
            </w:r>
          </w:p>
        </w:tc>
        <w:tc>
          <w:tcPr>
            <w:tcW w:w="255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jc w:val="left"/>
              <w:rPr>
                <w:caps w:val="false"/>
                <w:smallCaps w:val="false"/>
              </w:rPr>
            </w:pPr>
            <w:r>
              <w:rPr>
                <w:caps w:val="false"/>
                <w:smallCaps w:val="false"/>
              </w:rPr>
              <w:t> </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operations of OrbiMed Capital GP VI LLC are managed by the executive officers and directors of its managing member, OrbiMed Advisors LLC, set forth in Schedule I attached 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7900" w:type="dxa"/>
        <w:jc w:val="left"/>
        <w:tblInd w:w="-15" w:type="dxa"/>
        <w:tblLayout w:type="fixed"/>
        <w:tblCellMar>
          <w:top w:w="90" w:type="dxa"/>
          <w:left w:w="90" w:type="dxa"/>
          <w:bottom w:w="90" w:type="dxa"/>
          <w:right w:w="0" w:type="dxa"/>
        </w:tblCellMar>
      </w:tblPr>
      <w:tblGrid>
        <w:gridCol w:w="665"/>
        <w:gridCol w:w="7235"/>
      </w:tblGrid>
      <w:tr>
        <w:trPr/>
        <w:tc>
          <w:tcPr>
            <w:tcW w:w="66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b/>
                <w:sz w:val="20"/>
              </w:rPr>
            </w:pPr>
            <w:r>
              <w:rPr>
                <w:b/>
                <w:sz w:val="20"/>
              </w:rPr>
              <w:t>Exhibit</w:t>
            </w:r>
          </w:p>
        </w:tc>
        <w:tc>
          <w:tcPr>
            <w:tcW w:w="7235" w:type="dxa"/>
            <w:tcBorders>
              <w:top w:val="single" w:sz="12" w:space="0" w:color="000000"/>
              <w:left w:val="single" w:sz="12" w:space="0" w:color="000000"/>
              <w:bottom w:val="single" w:sz="12" w:space="0" w:color="000000"/>
              <w:right w:val="single" w:sz="12" w:space="0" w:color="000000"/>
            </w:tcBorders>
            <w:tcMar>
              <w:right w:w="90" w:type="dxa"/>
            </w:tcMar>
            <w:vAlign w:val="center"/>
          </w:tcPr>
          <w:p>
            <w:pPr>
              <w:pStyle w:val="TableContents"/>
              <w:bidi w:val="0"/>
              <w:spacing w:before="0" w:after="283"/>
              <w:jc w:val="left"/>
              <w:rPr>
                <w:b/>
                <w:sz w:val="20"/>
              </w:rPr>
            </w:pPr>
            <w:r>
              <w:rPr>
                <w:b/>
                <w:sz w:val="20"/>
              </w:rPr>
              <w:t>Description</w:t>
            </w:r>
          </w:p>
        </w:tc>
      </w:tr>
      <w:tr>
        <w:trPr/>
        <w:tc>
          <w:tcPr>
            <w:tcW w:w="665" w:type="dxa"/>
            <w:tcBorders>
              <w:left w:val="single" w:sz="12" w:space="0" w:color="000000"/>
              <w:bottom w:val="single" w:sz="12" w:space="0" w:color="000000"/>
            </w:tcBorders>
            <w:tcMar>
              <w:top w:w="0" w:type="dxa"/>
            </w:tcMar>
            <w:vAlign w:val="center"/>
          </w:tcPr>
          <w:p>
            <w:pPr>
              <w:pStyle w:val="TableContents"/>
              <w:bidi w:val="0"/>
              <w:spacing w:before="0" w:after="283"/>
              <w:jc w:val="left"/>
              <w:rPr>
                <w:sz w:val="20"/>
              </w:rPr>
            </w:pPr>
            <w:r>
              <w:rPr>
                <w:sz w:val="20"/>
              </w:rPr>
              <w:t>1.</w:t>
            </w:r>
          </w:p>
        </w:tc>
        <w:tc>
          <w:tcPr>
            <w:tcW w:w="7235" w:type="dxa"/>
            <w:tcBorders>
              <w:left w:val="single" w:sz="12" w:space="0" w:color="000000"/>
              <w:bottom w:val="single" w:sz="12" w:space="0" w:color="000000"/>
              <w:right w:val="single" w:sz="12" w:space="0" w:color="000000"/>
            </w:tcBorders>
            <w:tcMar>
              <w:top w:w="0" w:type="dxa"/>
              <w:right w:w="90" w:type="dxa"/>
            </w:tcMar>
            <w:vAlign w:val="center"/>
          </w:tcPr>
          <w:p>
            <w:pPr>
              <w:pStyle w:val="TableContents"/>
              <w:bidi w:val="0"/>
              <w:spacing w:before="0" w:after="283"/>
              <w:jc w:val="left"/>
              <w:rPr>
                <w:sz w:val="20"/>
              </w:rPr>
            </w:pPr>
            <w:r>
              <w:rPr>
                <w:sz w:val="20"/>
              </w:rPr>
              <w:t>Joint Filing Agreement among OrbiMed Advisors LLC and OrbiMed Capital GP VI LLC.</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bookmarkStart w:id="2" w:name="ss2082461_ex9901.htm"/>
      <w:bookmarkStart w:id="3" w:name="ksss2082461_ex990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ind w:left="0" w:right="0" w:firstLine="108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shd w:fill="FFFFFF" w:val="clear"/>
        </w:rPr>
        <w:t>The undersigned hereby agree that the Amendment No. 4 to Schedule 13D, dated May 15, 2023, with respect to the ordinary shares of Verona Pharma plc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2023.</w:t>
      </w:r>
    </w:p>
    <w:p>
      <w:pPr>
        <w:pStyle w:val="TextBody"/>
        <w:bidi w:val="0"/>
        <w:jc w:val="left"/>
        <w:rPr>
          <w:caps w:val="false"/>
          <w:smallCaps w:val="false"/>
        </w:rPr>
      </w:pPr>
      <w:r>
        <w:rPr>
          <w:caps w:val="false"/>
          <w:smallCaps w:val="false"/>
        </w:rPr>
        <w:t> </w:t>
      </w:r>
    </w:p>
    <w:tbl>
      <w:tblPr>
        <w:tblW w:w="4569" w:type="dxa"/>
        <w:jc w:val="left"/>
        <w:tblInd w:w="0" w:type="dxa"/>
        <w:tblLayout w:type="fixed"/>
        <w:tblCellMar>
          <w:top w:w="0" w:type="dxa"/>
          <w:left w:w="0" w:type="dxa"/>
          <w:bottom w:w="0" w:type="dxa"/>
          <w:right w:w="0" w:type="dxa"/>
        </w:tblCellMar>
      </w:tblPr>
      <w:tblGrid>
        <w:gridCol w:w="75"/>
        <w:gridCol w:w="320"/>
        <w:gridCol w:w="4083"/>
        <w:gridCol w:w="91"/>
      </w:tblGrid>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sz w:val="20"/>
              </w:rPr>
            </w:pPr>
            <w:r>
              <w:rPr>
                <w:sz w:val="20"/>
              </w:rPr>
              <w:t>ORBIMED ADVISORS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bottom w:val="single" w:sz="12" w:space="0" w:color="000000"/>
            </w:tcBorders>
            <w:tcMar>
              <w:bottom w:w="28" w:type="dxa"/>
            </w:tcMar>
            <w:vAlign w:val="center"/>
          </w:tcPr>
          <w:p>
            <w:pPr>
              <w:pStyle w:val="TableContents"/>
              <w:bidi w:val="0"/>
              <w:spacing w:before="0" w:after="283"/>
              <w:jc w:val="left"/>
              <w:rPr/>
            </w:pPr>
            <w:r>
              <w:rPr/>
              <w:t> </w:t>
            </w:r>
            <w:r>
              <w:rPr>
                <w:sz w:val="20"/>
              </w:rPr>
              <w:t>/s/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 xml:space="preserve">Title: Member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sz w:val="20"/>
              </w:rPr>
            </w:pPr>
            <w:r>
              <w:rPr>
                <w:sz w:val="20"/>
              </w:rPr>
              <w:t>ORBIMED CAPITAL GP VI LLC</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7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83" w:type="dxa"/>
            <w:tcBorders>
              <w:bottom w:val="single" w:sz="12" w:space="0" w:color="000000"/>
            </w:tcBorders>
            <w:tcMar>
              <w:bottom w:w="28" w:type="dxa"/>
            </w:tcMar>
            <w:vAlign w:val="center"/>
          </w:tcPr>
          <w:p>
            <w:pPr>
              <w:pStyle w:val="TableContents"/>
              <w:bidi w:val="0"/>
              <w:spacing w:before="0" w:after="283"/>
              <w:jc w:val="left"/>
              <w:rPr/>
            </w:pPr>
            <w:r>
              <w:rPr/>
              <w:t> </w:t>
            </w:r>
            <w:r>
              <w:rPr>
                <w:sz w:val="20"/>
              </w:rPr>
              <w:t>/s/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83" w:type="dxa"/>
            <w:tcBorders/>
            <w:vAlign w:val="center"/>
          </w:tcPr>
          <w:p>
            <w:pPr>
              <w:pStyle w:val="TableContents"/>
              <w:bidi w:val="0"/>
              <w:spacing w:before="0" w:after="283"/>
              <w:jc w:val="left"/>
              <w:rPr>
                <w:sz w:val="20"/>
              </w:rPr>
            </w:pPr>
            <w:r>
              <w:rPr>
                <w:sz w:val="20"/>
              </w:rPr>
              <w:t>Title: Member of OrbiMed Advisors LLC</w:t>
            </w:r>
          </w:p>
        </w:tc>
        <w:tc>
          <w:tcPr>
            <w:tcW w:w="91" w:type="dxa"/>
            <w:tcBorders/>
            <w:vAlign w:val="center"/>
          </w:tcPr>
          <w:p>
            <w:pPr>
              <w:pStyle w:val="TableContents"/>
              <w:bidi w:val="0"/>
              <w:spacing w:before="0" w:after="283"/>
              <w:jc w:val="left"/>
              <w:rPr/>
            </w:pPr>
            <w:r>
              <w:rPr/>
              <w:t> </w:t>
            </w:r>
          </w:p>
        </w:tc>
      </w:tr>
    </w:tbl>
    <w:p>
      <w:pPr>
        <w:pStyle w:val="TextBody"/>
        <w:bidi w:val="0"/>
        <w:ind w:left="0" w:right="0" w:firstLine="144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2838</Words>
  <Characters>14460</Characters>
  <CharactersWithSpaces>17981</CharactersWithSpaces>
  <Paragraphs>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