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5491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4914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ZACCARDELLI DAVID</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tcPr>
          <w:p>
            <w:pPr>
              <w:ind w:left="240"/>
              <w:spacing w:after="0"/>
              <w:rPr>
                <w:sz w:val="20"/>
                <w:szCs w:val="20"/>
                <w:color w:val="auto"/>
              </w:rPr>
            </w:pPr>
            <w:r>
              <w:rPr>
                <w:rFonts w:ascii="Arial" w:cs="Arial" w:eastAsia="Arial" w:hAnsi="Arial"/>
                <w:sz w:val="13"/>
                <w:szCs w:val="13"/>
                <w:color w:val="auto"/>
              </w:rPr>
              <w:t>(First)</w:t>
            </w:r>
          </w:p>
        </w:tc>
        <w:tc>
          <w:tcPr>
            <w:tcW w:w="124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 MORE LONDON RIVERSIDE</w:t>
            </w:r>
          </w:p>
        </w:tc>
        <w:tc>
          <w:tcPr>
            <w:tcW w:w="124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r>
      <w:tr>
        <w:trPr>
          <w:trHeight w:val="2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LONDON</w:t>
            </w:r>
          </w:p>
        </w:tc>
        <w:tc>
          <w:tcPr>
            <w:tcW w:w="14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X0</w:t>
            </w:r>
          </w:p>
        </w:tc>
        <w:tc>
          <w:tcPr>
            <w:tcW w:w="12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SE1 2RE</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tcPr>
          <w:p>
            <w:pPr>
              <w:ind w:left="240"/>
              <w:spacing w:after="0"/>
              <w:rPr>
                <w:sz w:val="20"/>
                <w:szCs w:val="20"/>
                <w:color w:val="auto"/>
              </w:rPr>
            </w:pPr>
            <w:r>
              <w:rPr>
                <w:rFonts w:ascii="Arial" w:cs="Arial" w:eastAsia="Arial" w:hAnsi="Arial"/>
                <w:sz w:val="13"/>
                <w:szCs w:val="13"/>
                <w:color w:val="auto"/>
              </w:rPr>
              <w:t>(State)</w:t>
            </w:r>
          </w:p>
        </w:tc>
        <w:tc>
          <w:tcPr>
            <w:tcW w:w="124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Verona Pharma plc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VRNA</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00" w:type="dxa"/>
            <w:vAlign w:val="bottom"/>
            <w:tcBorders>
              <w:bottom w:val="single" w:sz="8" w:color="0000EE"/>
            </w:tcBorders>
          </w:tcPr>
          <w:p>
            <w:pPr>
              <w:spacing w:after="0"/>
              <w:rPr>
                <w:sz w:val="3"/>
                <w:szCs w:val="3"/>
                <w:color w:val="auto"/>
              </w:rPr>
            </w:pPr>
          </w:p>
        </w:tc>
        <w:tc>
          <w:tcPr>
            <w:tcW w:w="212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2120" w:type="dxa"/>
            <w:vAlign w:val="bottom"/>
            <w:tcBorders>
              <w:bottom w:val="single" w:sz="8" w:color="2C2C2C"/>
            </w:tcBorders>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70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08/12/2024</w:t>
            </w:r>
          </w:p>
        </w:tc>
        <w:tc>
          <w:tcPr>
            <w:tcW w:w="2120" w:type="dxa"/>
            <w:vAlign w:val="bottom"/>
          </w:tcPr>
          <w:p>
            <w:pPr>
              <w:spacing w:after="0"/>
              <w:rPr>
                <w:sz w:val="8"/>
                <w:szCs w:val="8"/>
                <w:color w:val="auto"/>
              </w:rPr>
            </w:pPr>
          </w:p>
        </w:tc>
        <w:tc>
          <w:tcPr>
            <w:tcW w:w="18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700" w:type="dxa"/>
            <w:vAlign w:val="bottom"/>
            <w:gridSpan w:val="3"/>
            <w:vMerge w:val="continue"/>
          </w:tcPr>
          <w:p>
            <w:pPr>
              <w:spacing w:after="0"/>
              <w:rPr>
                <w:sz w:val="11"/>
                <w:szCs w:val="11"/>
                <w:color w:val="auto"/>
              </w:rPr>
            </w:pPr>
          </w:p>
        </w:tc>
        <w:tc>
          <w:tcPr>
            <w:tcW w:w="2120" w:type="dxa"/>
            <w:vAlign w:val="bottom"/>
          </w:tcPr>
          <w:p>
            <w:pPr>
              <w:spacing w:after="0"/>
              <w:rPr>
                <w:sz w:val="11"/>
                <w:szCs w:val="11"/>
                <w:color w:val="auto"/>
              </w:rPr>
            </w:pPr>
          </w:p>
        </w:tc>
        <w:tc>
          <w:tcPr>
            <w:tcW w:w="3300" w:type="dxa"/>
            <w:vAlign w:val="bottom"/>
            <w:gridSpan w:val="2"/>
            <w:vMerge w:val="restart"/>
          </w:tcPr>
          <w:p>
            <w:pPr>
              <w:ind w:left="1000"/>
              <w:spacing w:after="0"/>
              <w:rPr>
                <w:sz w:val="20"/>
                <w:szCs w:val="20"/>
                <w:color w:val="auto"/>
              </w:rPr>
            </w:pPr>
            <w:r>
              <w:rPr>
                <w:rFonts w:ascii="Times New Roman" w:cs="Times New Roman" w:eastAsia="Times New Roman" w:hAnsi="Times New Roman"/>
                <w:sz w:val="17"/>
                <w:szCs w:val="17"/>
                <w:color w:val="0000FF"/>
              </w:rPr>
              <w:t>President and CEO</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tcPr>
          <w:p>
            <w:pPr>
              <w:spacing w:after="0"/>
              <w:rPr>
                <w:sz w:val="8"/>
                <w:szCs w:val="8"/>
                <w:color w:val="auto"/>
              </w:rPr>
            </w:pPr>
          </w:p>
        </w:tc>
        <w:tc>
          <w:tcPr>
            <w:tcW w:w="212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34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16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0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00" w:type="dxa"/>
            <w:vAlign w:val="bottom"/>
          </w:tcPr>
          <w:p>
            <w:pPr>
              <w:jc w:val="center"/>
              <w:ind w:left="48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1700" w:type="dxa"/>
            <w:vAlign w:val="bottom"/>
            <w:tcBorders>
              <w:bottom w:val="single" w:sz="8" w:color="2C2C2C"/>
            </w:tcBorders>
          </w:tcPr>
          <w:p>
            <w:pPr>
              <w:jc w:val="center"/>
              <w:ind w:left="507"/>
              <w:spacing w:after="0"/>
              <w:rPr>
                <w:sz w:val="20"/>
                <w:szCs w:val="20"/>
                <w:color w:val="auto"/>
              </w:rPr>
            </w:pPr>
            <w:r>
              <w:rPr>
                <w:rFonts w:ascii="Times New Roman" w:cs="Times New Roman" w:eastAsia="Times New Roman" w:hAnsi="Times New Roman"/>
                <w:sz w:val="17"/>
                <w:szCs w:val="17"/>
                <w:color w:val="0000FF"/>
              </w:rPr>
              <w:t>08/12/2024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1,600</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3.13</w:t>
            </w:r>
            <w:r>
              <w:rPr>
                <w:rFonts w:ascii="Times New Roman" w:cs="Times New Roman" w:eastAsia="Times New Roman" w:hAnsi="Times New Roman"/>
                <w:sz w:val="22"/>
                <w:szCs w:val="22"/>
                <w:color w:val="008000"/>
                <w:w w:val="92"/>
                <w:vertAlign w:val="superscript"/>
              </w:rPr>
              <w:t>(3)</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16,249,104</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1700" w:type="dxa"/>
            <w:vAlign w:val="bottom"/>
            <w:tcBorders>
              <w:bottom w:val="single" w:sz="8" w:color="2C2C2C"/>
            </w:tcBorders>
          </w:tcPr>
          <w:p>
            <w:pPr>
              <w:jc w:val="center"/>
              <w:ind w:left="507"/>
              <w:spacing w:after="0"/>
              <w:rPr>
                <w:sz w:val="20"/>
                <w:szCs w:val="20"/>
                <w:color w:val="auto"/>
              </w:rPr>
            </w:pPr>
            <w:r>
              <w:rPr>
                <w:rFonts w:ascii="Times New Roman" w:cs="Times New Roman" w:eastAsia="Times New Roman" w:hAnsi="Times New Roman"/>
                <w:sz w:val="17"/>
                <w:szCs w:val="17"/>
                <w:color w:val="0000FF"/>
              </w:rPr>
              <w:t>08/13/2024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390,184</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3.201</w:t>
            </w:r>
            <w:r>
              <w:rPr>
                <w:rFonts w:ascii="Times New Roman" w:cs="Times New Roman" w:eastAsia="Times New Roman" w:hAnsi="Times New Roman"/>
                <w:sz w:val="22"/>
                <w:szCs w:val="22"/>
                <w:color w:val="008000"/>
                <w:w w:val="92"/>
                <w:vertAlign w:val="superscript"/>
              </w:rPr>
              <w:t>(4)</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15,858,920</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1700" w:type="dxa"/>
            <w:vAlign w:val="bottom"/>
            <w:tcBorders>
              <w:bottom w:val="single" w:sz="8" w:color="2C2C2C"/>
            </w:tcBorders>
          </w:tcPr>
          <w:p>
            <w:pPr>
              <w:jc w:val="center"/>
              <w:ind w:left="507"/>
              <w:spacing w:after="0"/>
              <w:rPr>
                <w:sz w:val="20"/>
                <w:szCs w:val="20"/>
                <w:color w:val="auto"/>
              </w:rPr>
            </w:pPr>
            <w:r>
              <w:rPr>
                <w:rFonts w:ascii="Times New Roman" w:cs="Times New Roman" w:eastAsia="Times New Roman" w:hAnsi="Times New Roman"/>
                <w:sz w:val="17"/>
                <w:szCs w:val="17"/>
                <w:color w:val="0000FF"/>
              </w:rPr>
              <w:t>08/13/2024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8,216</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3.25</w:t>
            </w:r>
            <w:r>
              <w:rPr>
                <w:rFonts w:ascii="Times New Roman" w:cs="Times New Roman" w:eastAsia="Times New Roman" w:hAnsi="Times New Roman"/>
                <w:sz w:val="22"/>
                <w:szCs w:val="22"/>
                <w:color w:val="008000"/>
                <w:w w:val="92"/>
                <w:vertAlign w:val="superscript"/>
              </w:rPr>
              <w:t>(3)</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15,850,704</w:t>
            </w:r>
            <w:r>
              <w:rPr>
                <w:rFonts w:ascii="Times New Roman" w:cs="Times New Roman" w:eastAsia="Times New Roman" w:hAnsi="Times New Roman"/>
                <w:sz w:val="22"/>
                <w:szCs w:val="22"/>
                <w:color w:val="008000"/>
                <w:w w:val="98"/>
                <w:vertAlign w:val="superscript"/>
              </w:rPr>
              <w:t>(5)</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Reported securities are represented by American Depositary Shares ("ADSs"), each of which represents eight (8) Ordinary Shares of the Issuer.</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in this Form 4 was effected pursuant to a Rule 10b5-1 instruction adopted on March 8, 2024.</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the ADS sale price on the Nasdaq Stock Market LLC divided by eight (8).</w:t>
      </w:r>
    </w:p>
    <w:p>
      <w:pPr>
        <w:spacing w:after="0" w:line="50" w:lineRule="exact"/>
        <w:rPr>
          <w:rFonts w:ascii="Times New Roman" w:cs="Times New Roman" w:eastAsia="Times New Roman" w:hAnsi="Times New Roman"/>
          <w:sz w:val="13"/>
          <w:szCs w:val="13"/>
          <w:color w:val="008000"/>
        </w:rPr>
      </w:pPr>
    </w:p>
    <w:p>
      <w:pPr>
        <w:ind w:left="40" w:right="4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a weighted average price of the ADSs divided by eight (8). The securities were sold in multiple transactions at prices ranging from $3.125 to $3.246875 per Ordinary Share, inclusive (or $25.00 to $25.99 per ADS, inclusive). The Reporting Person undertakes to provide to the Issuer, any securityholder of the Issuer, or the staff of the Securities and Exchange Commission, upon request, full information regarding the number of securities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(i) 2,825,000 Ordinary Shares underlying Restricted Share Units, each of which represents a contingent right to receive one (1) Ordinary Share of the Issuer (which are represented by 353,125 ADSs); and (ii) 13,025,704 Ordinary Shares underlying 1,628,213 ADSs.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Andrew Fisher, Attorney-</w:t>
            </w:r>
          </w:p>
        </w:tc>
        <w:tc>
          <w:tcPr>
            <w:tcW w:w="80" w:type="dxa"/>
            <w:vAlign w:val="bottom"/>
          </w:tcPr>
          <w:p>
            <w:pPr>
              <w:spacing w:after="0"/>
              <w:rPr>
                <w:sz w:val="17"/>
                <w:szCs w:val="17"/>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08/14/2024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04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David Zaccardelli</w:t>
            </w:r>
          </w:p>
        </w:tc>
        <w:tc>
          <w:tcPr>
            <w:tcW w:w="80" w:type="dxa"/>
            <w:vAlign w:val="bottom"/>
            <w:vMerge w:val="restart"/>
          </w:tcPr>
          <w:p>
            <w:pPr>
              <w:spacing w:after="0"/>
              <w:rPr>
                <w:sz w:val="7"/>
                <w:szCs w:val="7"/>
                <w:color w:val="auto"/>
              </w:rPr>
            </w:pPr>
          </w:p>
        </w:tc>
        <w:tc>
          <w:tcPr>
            <w:tcW w:w="80" w:type="dxa"/>
            <w:vAlign w:val="bottom"/>
            <w:vMerge w:val="continue"/>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040" w:type="dxa"/>
            <w:vAlign w:val="bottom"/>
            <w:tcBorders>
              <w:bottom w:val="single" w:sz="8" w:color="auto"/>
            </w:tcBorders>
            <w:gridSpan w:val="2"/>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3"/>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27642" TargetMode="External"/><Relationship Id="rId13"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2024-08-14T15:48:07Z</dcterms:created>
  <dcterms:modified xsi:type="dcterms:W3CDTF">2024-08-14T15:48:07Z</dcterms:modified>
</cp:coreProperties>
</file>