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20-F</w:t>
      </w:r>
    </w:p>
    <w:p>
      <w:pPr>
        <w:spacing w:after="0" w:line="4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5400" w:right="2740" w:hanging="5378"/>
        <w:spacing w:after="0" w:line="314" w:lineRule="auto"/>
        <w:tabs>
          <w:tab w:leader="none" w:pos="45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460" w:hanging="438"/>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fiscal year ended December 31, 2018</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460" w:hanging="438"/>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5" w:lineRule="exact"/>
        <w:rPr>
          <w:sz w:val="24"/>
          <w:szCs w:val="24"/>
          <w:color w:val="auto"/>
        </w:rPr>
      </w:pPr>
    </w:p>
    <w:p>
      <w:pPr>
        <w:ind w:left="4000"/>
        <w:spacing w:after="0"/>
        <w:tabs>
          <w:tab w:leader="none" w:pos="65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3686175</wp:posOffset>
            </wp:positionH>
            <wp:positionV relativeFrom="paragraph">
              <wp:posOffset>-3175</wp:posOffset>
            </wp:positionV>
            <wp:extent cx="1031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460" w:hanging="438"/>
        <w:spacing w:after="0"/>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55" w:lineRule="exact"/>
        <w:rPr>
          <w:sz w:val="24"/>
          <w:szCs w:val="24"/>
          <w:color w:val="auto"/>
        </w:rPr>
      </w:pPr>
    </w:p>
    <w:p>
      <w:pPr>
        <w:jc w:val="right"/>
        <w:ind w:right="4580"/>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4339590</wp:posOffset>
            </wp:positionH>
            <wp:positionV relativeFrom="paragraph">
              <wp:posOffset>-3175</wp:posOffset>
            </wp:positionV>
            <wp:extent cx="466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725" cy="8890"/>
                    </a:xfrm>
                    <a:prstGeom prst="rect">
                      <a:avLst/>
                    </a:prstGeom>
                    <a:noFill/>
                  </pic:spPr>
                </pic:pic>
              </a:graphicData>
            </a:graphic>
          </wp:anchor>
        </w:drawing>
      </w:r>
    </w:p>
    <w:p>
      <w:pPr>
        <w:spacing w:after="0" w:line="33" w:lineRule="exact"/>
        <w:rPr>
          <w:sz w:val="24"/>
          <w:szCs w:val="24"/>
          <w:color w:val="auto"/>
        </w:rPr>
      </w:pPr>
    </w:p>
    <w:p>
      <w:pPr>
        <w:jc w:val="right"/>
        <w:ind w:right="4620"/>
        <w:spacing w:after="0"/>
        <w:rPr>
          <w:sz w:val="20"/>
          <w:szCs w:val="20"/>
          <w:color w:val="auto"/>
        </w:rPr>
      </w:pPr>
      <w:r>
        <w:rPr>
          <w:rFonts w:ascii="Arial" w:cs="Arial" w:eastAsia="Arial" w:hAnsi="Arial"/>
          <w:sz w:val="13"/>
          <w:szCs w:val="13"/>
          <w:b w:val="1"/>
          <w:bCs w:val="1"/>
          <w:color w:val="auto"/>
        </w:rPr>
        <w:t>Commission file number 001-38067</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VERONA PHARMA PLC</w:t>
      </w:r>
    </w:p>
    <w:p>
      <w:pPr>
        <w:spacing w:after="0" w:line="16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6"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(Translation of Registrant's Name into English)</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United Kingdom</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(Jurisdiction of incorporation or organization)</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3 More London Riverside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London SE1 2RE</w:t>
      </w:r>
    </w:p>
    <w:p>
      <w:pPr>
        <w:jc w:val="center"/>
        <w:ind w:right="-59"/>
        <w:spacing w:after="0"/>
        <w:rPr>
          <w:sz w:val="20"/>
          <w:szCs w:val="20"/>
          <w:color w:val="auto"/>
        </w:rPr>
      </w:pPr>
      <w:r>
        <w:rPr>
          <w:rFonts w:ascii="Arial" w:cs="Arial" w:eastAsia="Arial" w:hAnsi="Arial"/>
          <w:sz w:val="13"/>
          <w:szCs w:val="13"/>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Jan-Anders Karlsson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Chief Executive Officer</w:t>
      </w:r>
    </w:p>
    <w:p>
      <w:pPr>
        <w:jc w:val="center"/>
        <w:ind w:right="-59"/>
        <w:spacing w:after="0"/>
        <w:rPr>
          <w:sz w:val="20"/>
          <w:szCs w:val="20"/>
          <w:color w:val="auto"/>
        </w:rPr>
      </w:pPr>
      <w:r>
        <w:rPr>
          <w:rFonts w:ascii="Arial" w:cs="Arial" w:eastAsia="Arial" w:hAnsi="Arial"/>
          <w:sz w:val="13"/>
          <w:szCs w:val="13"/>
          <w:b w:val="1"/>
          <w:bCs w:val="1"/>
          <w:color w:val="auto"/>
        </w:rPr>
        <w:t>Verona Pharma plc</w:t>
      </w:r>
    </w:p>
    <w:p>
      <w:pPr>
        <w:jc w:val="center"/>
        <w:ind w:right="-59"/>
        <w:spacing w:after="0"/>
        <w:rPr>
          <w:sz w:val="20"/>
          <w:szCs w:val="20"/>
          <w:color w:val="auto"/>
        </w:rPr>
      </w:pPr>
      <w:r>
        <w:rPr>
          <w:rFonts w:ascii="Arial" w:cs="Arial" w:eastAsia="Arial" w:hAnsi="Arial"/>
          <w:sz w:val="13"/>
          <w:szCs w:val="13"/>
          <w:b w:val="1"/>
          <w:bCs w:val="1"/>
          <w:color w:val="auto"/>
        </w:rPr>
        <w:t>3 More London Riverside</w:t>
      </w:r>
    </w:p>
    <w:p>
      <w:pPr>
        <w:jc w:val="center"/>
        <w:ind w:right="-59"/>
        <w:spacing w:after="0"/>
        <w:rPr>
          <w:sz w:val="20"/>
          <w:szCs w:val="20"/>
          <w:color w:val="auto"/>
        </w:rPr>
      </w:pPr>
      <w:r>
        <w:rPr>
          <w:rFonts w:ascii="Arial" w:cs="Arial" w:eastAsia="Arial" w:hAnsi="Arial"/>
          <w:sz w:val="13"/>
          <w:szCs w:val="13"/>
          <w:b w:val="1"/>
          <w:bCs w:val="1"/>
          <w:color w:val="auto"/>
        </w:rPr>
        <w:t>London SE1 2RE</w:t>
      </w:r>
    </w:p>
    <w:p>
      <w:pPr>
        <w:jc w:val="center"/>
        <w:ind w:right="-59"/>
        <w:spacing w:after="0"/>
        <w:rPr>
          <w:sz w:val="20"/>
          <w:szCs w:val="20"/>
          <w:color w:val="auto"/>
        </w:rPr>
      </w:pPr>
      <w:r>
        <w:rPr>
          <w:rFonts w:ascii="Arial" w:cs="Arial" w:eastAsia="Arial" w:hAnsi="Arial"/>
          <w:sz w:val="13"/>
          <w:szCs w:val="13"/>
          <w:b w:val="1"/>
          <w:bCs w:val="1"/>
          <w:color w:val="auto"/>
        </w:rPr>
        <w:t>United Kingdom</w:t>
      </w:r>
    </w:p>
    <w:p>
      <w:pPr>
        <w:jc w:val="center"/>
        <w:ind w:right="-59"/>
        <w:spacing w:after="0"/>
        <w:rPr>
          <w:sz w:val="20"/>
          <w:szCs w:val="20"/>
          <w:color w:val="auto"/>
        </w:rPr>
      </w:pPr>
      <w:r>
        <w:rPr>
          <w:rFonts w:ascii="Arial" w:cs="Arial" w:eastAsia="Arial" w:hAnsi="Arial"/>
          <w:sz w:val="13"/>
          <w:szCs w:val="13"/>
          <w:b w:val="1"/>
          <w:bCs w:val="1"/>
          <w:color w:val="auto"/>
        </w:rPr>
        <w:t>Tel: +44 303 283 4200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(Name, Telephone, E-mail and/or Facsimile number and Address of Company Contact Person)</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p>
      <w:pPr>
        <w:spacing w:after="0" w:line="208" w:lineRule="exact"/>
        <w:rPr>
          <w:sz w:val="24"/>
          <w:szCs w:val="24"/>
          <w:color w:val="auto"/>
        </w:rPr>
      </w:pPr>
    </w:p>
    <w:tbl>
      <w:tblPr>
        <w:tblLayout w:type="fixed"/>
        <w:tblInd w:w="1760" w:type="dxa"/>
        <w:tblCellMar>
          <w:top w:w="0" w:type="dxa"/>
          <w:left w:w="0" w:type="dxa"/>
          <w:bottom w:w="0" w:type="dxa"/>
          <w:right w:w="0" w:type="dxa"/>
        </w:tblCellMar>
      </w:tblPr>
      <w:tr>
        <w:trPr>
          <w:trHeight w:val="155"/>
        </w:trPr>
        <w:tc>
          <w:tcPr>
            <w:tcW w:w="3940" w:type="dxa"/>
            <w:vAlign w:val="bottom"/>
          </w:tcPr>
          <w:p>
            <w:pPr>
              <w:jc w:val="center"/>
              <w:ind w:right="1679"/>
              <w:spacing w:after="0"/>
              <w:rPr>
                <w:sz w:val="20"/>
                <w:szCs w:val="20"/>
                <w:color w:val="auto"/>
              </w:rPr>
            </w:pPr>
            <w:r>
              <w:rPr>
                <w:rFonts w:ascii="Arial" w:cs="Arial" w:eastAsia="Arial" w:hAnsi="Arial"/>
                <w:sz w:val="11"/>
                <w:szCs w:val="11"/>
                <w:b w:val="1"/>
                <w:bCs w:val="1"/>
                <w:color w:val="auto"/>
                <w:w w:val="97"/>
              </w:rPr>
              <w:t>Title of each class</w:t>
            </w:r>
          </w:p>
        </w:tc>
        <w:tc>
          <w:tcPr>
            <w:tcW w:w="4020" w:type="dxa"/>
            <w:vAlign w:val="bottom"/>
          </w:tcPr>
          <w:p>
            <w:pPr>
              <w:jc w:val="center"/>
              <w:ind w:left="1661"/>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284"/>
        </w:trPr>
        <w:tc>
          <w:tcPr>
            <w:tcW w:w="3940" w:type="dxa"/>
            <w:vAlign w:val="bottom"/>
          </w:tcPr>
          <w:p>
            <w:pPr>
              <w:jc w:val="center"/>
              <w:ind w:right="1679"/>
              <w:spacing w:after="0"/>
              <w:rPr>
                <w:sz w:val="20"/>
                <w:szCs w:val="20"/>
                <w:color w:val="auto"/>
              </w:rPr>
            </w:pPr>
            <w:r>
              <w:rPr>
                <w:rFonts w:ascii="Arial" w:cs="Arial" w:eastAsia="Arial" w:hAnsi="Arial"/>
                <w:sz w:val="13"/>
                <w:szCs w:val="13"/>
                <w:b w:val="1"/>
                <w:bCs w:val="1"/>
                <w:color w:val="auto"/>
                <w:w w:val="97"/>
              </w:rPr>
              <w:t>American Depositary Shares,</w:t>
            </w:r>
          </w:p>
        </w:tc>
        <w:tc>
          <w:tcPr>
            <w:tcW w:w="4020" w:type="dxa"/>
            <w:vAlign w:val="bottom"/>
          </w:tcPr>
          <w:p>
            <w:pPr>
              <w:spacing w:after="0"/>
              <w:rPr>
                <w:sz w:val="24"/>
                <w:szCs w:val="24"/>
                <w:color w:val="auto"/>
              </w:rPr>
            </w:pPr>
          </w:p>
        </w:tc>
      </w:tr>
      <w:tr>
        <w:trPr>
          <w:trHeight w:val="135"/>
        </w:trPr>
        <w:tc>
          <w:tcPr>
            <w:tcW w:w="3940" w:type="dxa"/>
            <w:vAlign w:val="bottom"/>
          </w:tcPr>
          <w:p>
            <w:pPr>
              <w:jc w:val="center"/>
              <w:ind w:right="1679"/>
              <w:spacing w:after="0" w:line="135" w:lineRule="exact"/>
              <w:rPr>
                <w:sz w:val="20"/>
                <w:szCs w:val="20"/>
                <w:color w:val="auto"/>
              </w:rPr>
            </w:pPr>
            <w:r>
              <w:rPr>
                <w:rFonts w:ascii="Arial" w:cs="Arial" w:eastAsia="Arial" w:hAnsi="Arial"/>
                <w:sz w:val="13"/>
                <w:szCs w:val="13"/>
                <w:b w:val="1"/>
                <w:bCs w:val="1"/>
                <w:color w:val="auto"/>
                <w:w w:val="96"/>
              </w:rPr>
              <w:t>each representing 8 ordinary shares,</w:t>
            </w:r>
          </w:p>
        </w:tc>
        <w:tc>
          <w:tcPr>
            <w:tcW w:w="4020" w:type="dxa"/>
            <w:vAlign w:val="bottom"/>
          </w:tcPr>
          <w:p>
            <w:pPr>
              <w:spacing w:after="0"/>
              <w:rPr>
                <w:sz w:val="11"/>
                <w:szCs w:val="11"/>
                <w:color w:val="auto"/>
              </w:rPr>
            </w:pPr>
          </w:p>
        </w:tc>
      </w:tr>
      <w:tr>
        <w:trPr>
          <w:trHeight w:val="168"/>
        </w:trPr>
        <w:tc>
          <w:tcPr>
            <w:tcW w:w="3940" w:type="dxa"/>
            <w:vAlign w:val="bottom"/>
          </w:tcPr>
          <w:p>
            <w:pPr>
              <w:jc w:val="center"/>
              <w:ind w:right="1679"/>
              <w:spacing w:after="0"/>
              <w:rPr>
                <w:sz w:val="20"/>
                <w:szCs w:val="20"/>
                <w:color w:val="auto"/>
              </w:rPr>
            </w:pPr>
            <w:r>
              <w:rPr>
                <w:rFonts w:ascii="Arial" w:cs="Arial" w:eastAsia="Arial" w:hAnsi="Arial"/>
                <w:sz w:val="13"/>
                <w:szCs w:val="13"/>
                <w:b w:val="1"/>
                <w:bCs w:val="1"/>
                <w:color w:val="auto"/>
                <w:w w:val="97"/>
              </w:rPr>
              <w:t>nominal value £0.05 per share</w:t>
            </w:r>
          </w:p>
        </w:tc>
        <w:tc>
          <w:tcPr>
            <w:tcW w:w="4020" w:type="dxa"/>
            <w:vAlign w:val="bottom"/>
          </w:tcPr>
          <w:p>
            <w:pPr>
              <w:jc w:val="center"/>
              <w:ind w:left="1661"/>
              <w:spacing w:after="0"/>
              <w:rPr>
                <w:sz w:val="20"/>
                <w:szCs w:val="20"/>
                <w:color w:val="auto"/>
              </w:rPr>
            </w:pPr>
            <w:r>
              <w:rPr>
                <w:rFonts w:ascii="Arial" w:cs="Arial" w:eastAsia="Arial" w:hAnsi="Arial"/>
                <w:sz w:val="13"/>
                <w:szCs w:val="13"/>
                <w:b w:val="1"/>
                <w:bCs w:val="1"/>
                <w:color w:val="auto"/>
                <w:w w:val="97"/>
              </w:rPr>
              <w:t>The Nasdaq Stock Market LLC</w:t>
            </w:r>
          </w:p>
        </w:tc>
      </w:tr>
    </w:tbl>
    <w:p>
      <w:pPr>
        <w:spacing w:after="0" w:line="48" w:lineRule="exact"/>
        <w:rPr>
          <w:sz w:val="24"/>
          <w:szCs w:val="24"/>
          <w:color w:val="auto"/>
        </w:rPr>
      </w:pPr>
    </w:p>
    <w:p>
      <w:pPr>
        <w:ind w:left="3240"/>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 None</w:t>
      </w:r>
    </w:p>
    <w:p>
      <w:pPr>
        <w:spacing w:after="0" w:line="53" w:lineRule="exact"/>
        <w:rPr>
          <w:sz w:val="24"/>
          <w:szCs w:val="24"/>
          <w:color w:val="auto"/>
        </w:rPr>
      </w:pPr>
    </w:p>
    <w:p>
      <w:pPr>
        <w:ind w:left="2940"/>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 None</w:t>
      </w:r>
    </w:p>
    <w:p>
      <w:pPr>
        <w:spacing w:after="0" w:line="6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37" w:lineRule="exact"/>
        <w:rPr>
          <w:sz w:val="24"/>
          <w:szCs w:val="24"/>
          <w:color w:val="auto"/>
        </w:rPr>
      </w:pPr>
    </w:p>
    <w:p>
      <w:pPr>
        <w:ind w:left="3160"/>
        <w:spacing w:after="0"/>
        <w:rPr>
          <w:sz w:val="20"/>
          <w:szCs w:val="20"/>
          <w:color w:val="auto"/>
        </w:rPr>
      </w:pPr>
      <w:r>
        <w:rPr>
          <w:rFonts w:ascii="Arial" w:cs="Arial" w:eastAsia="Arial" w:hAnsi="Arial"/>
          <w:sz w:val="13"/>
          <w:szCs w:val="13"/>
          <w:b w:val="1"/>
          <w:bCs w:val="1"/>
          <w:color w:val="auto"/>
        </w:rPr>
        <w:t>Ordinary shares, nominal value £0.05 per share: 105,326,637 as of December 31, 2018</w:t>
      </w:r>
    </w:p>
    <w:p>
      <w:pPr>
        <w:spacing w:after="0" w:line="144" w:lineRule="exact"/>
        <w:rPr>
          <w:sz w:val="24"/>
          <w:szCs w:val="24"/>
          <w:color w:val="auto"/>
        </w:rPr>
      </w:pPr>
    </w:p>
    <w:p>
      <w:pPr>
        <w:spacing w:after="0" w:line="150" w:lineRule="exact"/>
        <w:tabs>
          <w:tab w:leader="none" w:pos="664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49" w:lineRule="exact"/>
        <w:rPr>
          <w:sz w:val="24"/>
          <w:szCs w:val="24"/>
          <w:color w:val="auto"/>
        </w:rPr>
      </w:pPr>
    </w:p>
    <w:p>
      <w:pPr>
        <w:spacing w:after="0" w:line="150" w:lineRule="exact"/>
        <w:tabs>
          <w:tab w:leader="none" w:pos="10400" w:val="left"/>
        </w:tabs>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36" w:lineRule="exact"/>
        <w:rPr>
          <w:sz w:val="24"/>
          <w:szCs w:val="24"/>
          <w:color w:val="auto"/>
        </w:rPr>
      </w:pPr>
    </w:p>
    <w:p>
      <w:pPr>
        <w:ind w:right="8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0"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0" w:lineRule="exact"/>
        <w:rPr>
          <w:sz w:val="24"/>
          <w:szCs w:val="24"/>
          <w:color w:val="auto"/>
        </w:rPr>
      </w:pPr>
    </w:p>
    <w:p>
      <w:pPr>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ind w:left="2280"/>
        <w:spacing w:after="0" w:line="150" w:lineRule="exact"/>
        <w:tabs>
          <w:tab w:leader="none" w:pos="4120" w:val="left"/>
          <w:tab w:leader="none" w:pos="5660" w:val="left"/>
          <w:tab w:leader="none" w:pos="7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380"/>
          </w:cols>
          <w:pgMar w:left="240" w:top="1203" w:right="279" w:bottom="1440" w:gutter="0" w:footer="0" w:header="0"/>
        </w:sectPr>
      </w:pPr>
    </w:p>
    <w:bookmarkStart w:id="1" w:name="page2"/>
    <w:bookmarkEnd w:id="1"/>
    <w:p>
      <w:pPr>
        <w:spacing w:after="0" w:line="157"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6580" w:type="dxa"/>
            <w:vAlign w:val="bottom"/>
          </w:tcPr>
          <w:p>
            <w:pPr>
              <w:jc w:val="center"/>
              <w:ind w:right="477"/>
              <w:spacing w:after="0"/>
              <w:rPr>
                <w:sz w:val="20"/>
                <w:szCs w:val="20"/>
                <w:color w:val="auto"/>
              </w:rPr>
            </w:pPr>
            <w:r>
              <w:rPr>
                <w:rFonts w:ascii="Arial" w:cs="Arial" w:eastAsia="Arial" w:hAnsi="Arial"/>
                <w:sz w:val="13"/>
                <w:szCs w:val="13"/>
                <w:color w:val="auto"/>
                <w:w w:val="97"/>
              </w:rPr>
              <w:t>International Financial Reporting Standards as issued</w:t>
            </w:r>
          </w:p>
        </w:tc>
        <w:tc>
          <w:tcPr>
            <w:tcW w:w="1400" w:type="dxa"/>
            <w:vAlign w:val="bottom"/>
          </w:tcPr>
          <w:p>
            <w:pPr>
              <w:spacing w:after="0"/>
              <w:rPr>
                <w:sz w:val="13"/>
                <w:szCs w:val="13"/>
                <w:color w:val="auto"/>
              </w:rPr>
            </w:pPr>
          </w:p>
        </w:tc>
      </w:tr>
      <w:tr>
        <w:trPr>
          <w:trHeight w:val="212"/>
        </w:trPr>
        <w:tc>
          <w:tcPr>
            <w:tcW w:w="2900" w:type="dxa"/>
            <w:vAlign w:val="bottom"/>
          </w:tcPr>
          <w:p>
            <w:pPr>
              <w:ind w:left="560"/>
              <w:spacing w:after="0" w:line="150" w:lineRule="exact"/>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p>
        </w:tc>
        <w:tc>
          <w:tcPr>
            <w:tcW w:w="6580" w:type="dxa"/>
            <w:vAlign w:val="bottom"/>
          </w:tcPr>
          <w:p>
            <w:pPr>
              <w:jc w:val="center"/>
              <w:ind w:right="477"/>
              <w:spacing w:after="0" w:line="150" w:lineRule="exact"/>
              <w:rPr>
                <w:sz w:val="20"/>
                <w:szCs w:val="20"/>
                <w:color w:val="auto"/>
              </w:rPr>
            </w:pPr>
            <w:r>
              <w:rPr>
                <w:rFonts w:ascii="Arial" w:cs="Arial" w:eastAsia="Arial" w:hAnsi="Arial"/>
                <w:sz w:val="13"/>
                <w:szCs w:val="13"/>
                <w:color w:val="auto"/>
                <w:w w:val="97"/>
              </w:rPr>
              <w:t xml:space="preserve">by the International Accounting Standards Board </w:t>
            </w:r>
            <w:r>
              <w:rPr>
                <w:rFonts w:ascii="MS PGothic" w:cs="MS PGothic" w:eastAsia="MS PGothic" w:hAnsi="MS PGothic"/>
                <w:sz w:val="13"/>
                <w:szCs w:val="13"/>
                <w:color w:val="auto"/>
                <w:w w:val="97"/>
              </w:rPr>
              <w:t>☒</w:t>
            </w:r>
          </w:p>
        </w:tc>
        <w:tc>
          <w:tcPr>
            <w:tcW w:w="1400" w:type="dxa"/>
            <w:vAlign w:val="bottom"/>
          </w:tcPr>
          <w:p>
            <w:pPr>
              <w:ind w:left="900"/>
              <w:spacing w:after="0" w:line="150" w:lineRule="exact"/>
              <w:rPr>
                <w:sz w:val="20"/>
                <w:szCs w:val="20"/>
                <w:color w:val="auto"/>
              </w:rPr>
            </w:pPr>
            <w:r>
              <w:rPr>
                <w:rFonts w:ascii="Arial" w:cs="Arial" w:eastAsia="Arial" w:hAnsi="Arial"/>
                <w:sz w:val="13"/>
                <w:szCs w:val="13"/>
                <w:color w:val="auto"/>
                <w:w w:val="97"/>
              </w:rPr>
              <w:t xml:space="preserve">Other </w:t>
            </w:r>
            <w:r>
              <w:rPr>
                <w:rFonts w:ascii="MS PGothic" w:cs="MS PGothic" w:eastAsia="MS PGothic" w:hAnsi="MS PGothic"/>
                <w:sz w:val="13"/>
                <w:szCs w:val="13"/>
                <w:color w:val="auto"/>
                <w:w w:val="97"/>
              </w:rPr>
              <w:t>☐</w:t>
            </w:r>
          </w:p>
        </w:tc>
      </w:tr>
      <w:tr>
        <w:trPr>
          <w:trHeight w:val="216"/>
        </w:trPr>
        <w:tc>
          <w:tcPr>
            <w:tcW w:w="948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If “Other” has been checked in response to the previous question, indicate by check mark which financial statement item the registrant has elected to follow.  </w:t>
            </w:r>
            <w:r>
              <w:rPr>
                <w:rFonts w:ascii="MS PGothic" w:cs="MS PGothic" w:eastAsia="MS PGothic" w:hAnsi="MS PGothic"/>
                <w:sz w:val="13"/>
                <w:szCs w:val="13"/>
                <w:color w:val="auto"/>
                <w:w w:val="98"/>
              </w:rPr>
              <w:t>☐</w:t>
            </w:r>
            <w:r>
              <w:rPr>
                <w:rFonts w:ascii="Arial" w:cs="Arial" w:eastAsia="Arial" w:hAnsi="Arial"/>
                <w:sz w:val="13"/>
                <w:szCs w:val="13"/>
                <w:color w:val="auto"/>
                <w:w w:val="98"/>
              </w:rPr>
              <w:t xml:space="preserve"> Item 17</w:t>
            </w:r>
          </w:p>
        </w:tc>
        <w:tc>
          <w:tcPr>
            <w:tcW w:w="1400" w:type="dxa"/>
            <w:vAlign w:val="bottom"/>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Item 18</w:t>
            </w:r>
          </w:p>
        </w:tc>
      </w:tr>
      <w:tr>
        <w:trPr>
          <w:trHeight w:val="203"/>
        </w:trPr>
        <w:tc>
          <w:tcPr>
            <w:tcW w:w="948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If this is an Annual Report, 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1400" w:type="dxa"/>
            <w:vAlign w:val="bottom"/>
          </w:tcPr>
          <w:p>
            <w:pPr>
              <w:spacing w:after="0"/>
              <w:rPr>
                <w:sz w:val="17"/>
                <w:szCs w:val="17"/>
                <w:color w:val="auto"/>
              </w:rPr>
            </w:pPr>
          </w:p>
        </w:tc>
      </w:tr>
    </w:tbl>
    <w:p>
      <w:pPr>
        <w:sectPr>
          <w:pgSz w:w="11900" w:h="16838" w:orient="portrait"/>
          <w:cols w:equalWidth="0" w:num="1">
            <w:col w:w="10960"/>
          </w:cols>
          <w:pgMar w:left="240" w:top="404" w:right="6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97"/>
        </w:trPr>
        <w:tc>
          <w:tcPr>
            <w:tcW w:w="560" w:type="dxa"/>
            <w:vAlign w:val="bottom"/>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8340" w:type="dxa"/>
            <w:vAlign w:val="bottom"/>
            <w:gridSpan w:val="22"/>
          </w:tcPr>
          <w:p>
            <w:pPr>
              <w:spacing w:after="0"/>
              <w:rPr>
                <w:sz w:val="24"/>
                <w:szCs w:val="24"/>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Identity of Directors, Senior Management and Advisors</w:t>
              </w:r>
            </w:hyperlink>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3700" w:type="dxa"/>
            <w:vAlign w:val="bottom"/>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Item 2 Offer Statistics and Expected Timetable</w:t>
              </w:r>
            </w:hyperlink>
          </w:p>
        </w:tc>
        <w:tc>
          <w:tcPr>
            <w:tcW w:w="1180" w:type="dxa"/>
            <w:vAlign w:val="bottom"/>
            <w:gridSpan w:val="5"/>
          </w:tcPr>
          <w:p>
            <w:pPr>
              <w:spacing w:after="0"/>
              <w:rPr>
                <w:sz w:val="20"/>
                <w:szCs w:val="20"/>
                <w:color w:val="auto"/>
              </w:rPr>
            </w:pPr>
          </w:p>
        </w:tc>
        <w:tc>
          <w:tcPr>
            <w:tcW w:w="4020" w:type="dxa"/>
            <w:vAlign w:val="bottom"/>
            <w:gridSpan w:val="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37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3 Key Information</w:t>
              </w:r>
            </w:hyperlink>
          </w:p>
        </w:tc>
        <w:tc>
          <w:tcPr>
            <w:tcW w:w="5200" w:type="dxa"/>
            <w:vAlign w:val="bottom"/>
            <w:gridSpan w:val="10"/>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780" w:type="dxa"/>
            <w:vAlign w:val="bottom"/>
            <w:gridSpan w:val="10"/>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Item 4 Information on the company</w:t>
              </w:r>
            </w:hyperlink>
          </w:p>
        </w:tc>
        <w:tc>
          <w:tcPr>
            <w:tcW w:w="6120" w:type="dxa"/>
            <w:vAlign w:val="bottom"/>
            <w:gridSpan w:val="13"/>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020" w:type="dxa"/>
            <w:vAlign w:val="bottom"/>
            <w:gridSpan w:val="11"/>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Item 4.A. Unresolved Staff Comments</w:t>
              </w:r>
            </w:hyperlink>
          </w:p>
        </w:tc>
        <w:tc>
          <w:tcPr>
            <w:tcW w:w="5880" w:type="dxa"/>
            <w:vAlign w:val="bottom"/>
            <w:gridSpan w:val="12"/>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280" w:type="dxa"/>
            <w:vAlign w:val="bottom"/>
            <w:gridSpan w:val="15"/>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Item 5 Operating and Financial Review and Prospects</w:t>
              </w:r>
            </w:hyperlink>
          </w:p>
        </w:tc>
        <w:tc>
          <w:tcPr>
            <w:tcW w:w="4620" w:type="dxa"/>
            <w:vAlign w:val="bottom"/>
            <w:gridSpan w:val="8"/>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280" w:type="dxa"/>
            <w:vAlign w:val="bottom"/>
            <w:gridSpan w:val="15"/>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Item 6 Directors, Senior Management and Employees</w:t>
              </w:r>
            </w:hyperlink>
          </w:p>
        </w:tc>
        <w:tc>
          <w:tcPr>
            <w:tcW w:w="4620" w:type="dxa"/>
            <w:vAlign w:val="bottom"/>
            <w:gridSpan w:val="8"/>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7 Major Shareholders and Related Party Transactions</w:t>
              </w:r>
            </w:hyperlink>
          </w:p>
        </w:tc>
        <w:tc>
          <w:tcPr>
            <w:tcW w:w="246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220" w:type="dxa"/>
            <w:vAlign w:val="bottom"/>
            <w:gridSpan w:val="7"/>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Item 8 Financial Information</w:t>
              </w:r>
            </w:hyperlink>
          </w:p>
        </w:tc>
        <w:tc>
          <w:tcPr>
            <w:tcW w:w="2460" w:type="dxa"/>
            <w:vAlign w:val="bottom"/>
            <w:gridSpan w:val="10"/>
          </w:tcPr>
          <w:p>
            <w:pPr>
              <w:spacing w:after="0"/>
              <w:rPr>
                <w:sz w:val="20"/>
                <w:szCs w:val="20"/>
                <w:color w:val="auto"/>
              </w:rPr>
            </w:pPr>
          </w:p>
        </w:tc>
        <w:tc>
          <w:tcPr>
            <w:tcW w:w="4220" w:type="dxa"/>
            <w:vAlign w:val="bottom"/>
            <w:gridSpan w:val="6"/>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9 The Offer and Listing</w:t>
              </w:r>
            </w:hyperlink>
          </w:p>
        </w:tc>
        <w:tc>
          <w:tcPr>
            <w:tcW w:w="246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10 Additional Information</w:t>
              </w:r>
            </w:hyperlink>
          </w:p>
        </w:tc>
        <w:tc>
          <w:tcPr>
            <w:tcW w:w="246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360" w:type="dxa"/>
            <w:vAlign w:val="bottom"/>
            <w:gridSpan w:val="19"/>
          </w:tcPr>
          <w:p>
            <w:pP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Item 11 Quantitative and Qualitative Disclosures About Market Risk</w:t>
              </w:r>
            </w:hyperlink>
          </w:p>
        </w:tc>
        <w:tc>
          <w:tcPr>
            <w:tcW w:w="3540" w:type="dxa"/>
            <w:vAlign w:val="bottom"/>
            <w:gridSpan w:val="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4880" w:type="dxa"/>
            <w:vAlign w:val="bottom"/>
            <w:gridSpan w:val="18"/>
          </w:tcPr>
          <w:p>
            <w:pP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Item 12 Description of Securities Other than Equity Securities</w:t>
              </w:r>
            </w:hyperlink>
          </w:p>
        </w:tc>
        <w:tc>
          <w:tcPr>
            <w:tcW w:w="480" w:type="dxa"/>
            <w:vAlign w:val="bottom"/>
          </w:tcPr>
          <w:p>
            <w:pPr>
              <w:spacing w:after="0"/>
              <w:rPr>
                <w:sz w:val="20"/>
                <w:szCs w:val="20"/>
                <w:color w:val="auto"/>
              </w:rPr>
            </w:pPr>
          </w:p>
        </w:tc>
        <w:tc>
          <w:tcPr>
            <w:tcW w:w="3540" w:type="dxa"/>
            <w:vAlign w:val="bottom"/>
            <w:gridSpan w:val="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880" w:type="dxa"/>
            <w:vAlign w:val="bottom"/>
            <w:gridSpan w:val="1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PART II</w:t>
              </w:r>
            </w:hyperlink>
          </w:p>
        </w:tc>
        <w:tc>
          <w:tcPr>
            <w:tcW w:w="4020" w:type="dxa"/>
            <w:vAlign w:val="bottom"/>
            <w:gridSpan w:val="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4580" w:type="dxa"/>
            <w:vAlign w:val="bottom"/>
            <w:gridSpan w:val="16"/>
          </w:tcPr>
          <w:p>
            <w:pPr>
              <w:spacing w:after="0"/>
              <w:rPr>
                <w:rFonts w:ascii="Arial" w:cs="Arial" w:eastAsia="Arial" w:hAnsi="Arial"/>
                <w:sz w:val="18"/>
                <w:szCs w:val="18"/>
                <w:color w:val="0000EE"/>
                <w:w w:val="99"/>
              </w:rPr>
            </w:pPr>
            <w:hyperlink w:anchor="page107">
              <w:r>
                <w:rPr>
                  <w:rFonts w:ascii="Arial" w:cs="Arial" w:eastAsia="Arial" w:hAnsi="Arial"/>
                  <w:sz w:val="18"/>
                  <w:szCs w:val="18"/>
                  <w:color w:val="0000EE"/>
                  <w:w w:val="99"/>
                </w:rPr>
                <w:t>Item 13 Defaults, Dividend Arrearages and Delinquencies</w:t>
              </w:r>
            </w:hyperlink>
          </w:p>
        </w:tc>
        <w:tc>
          <w:tcPr>
            <w:tcW w:w="4320" w:type="dxa"/>
            <w:vAlign w:val="bottom"/>
            <w:gridSpan w:val="7"/>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14 Material Modifications to the Rights of Security Holders and Use of Proceeds</w:t>
              </w:r>
            </w:hyperlink>
          </w:p>
        </w:tc>
        <w:tc>
          <w:tcPr>
            <w:tcW w:w="246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20" w:type="dxa"/>
            <w:vAlign w:val="bottom"/>
            <w:gridSpan w:val="9"/>
          </w:tcPr>
          <w:p>
            <w:pPr>
              <w:spacing w:after="0"/>
              <w:rPr>
                <w:rFonts w:ascii="Arial" w:cs="Arial" w:eastAsia="Arial" w:hAnsi="Arial"/>
                <w:sz w:val="18"/>
                <w:szCs w:val="18"/>
                <w:color w:val="0000EE"/>
                <w:w w:val="97"/>
              </w:rPr>
            </w:pPr>
            <w:hyperlink w:anchor="page107">
              <w:r>
                <w:rPr>
                  <w:rFonts w:ascii="Arial" w:cs="Arial" w:eastAsia="Arial" w:hAnsi="Arial"/>
                  <w:sz w:val="18"/>
                  <w:szCs w:val="18"/>
                  <w:color w:val="0000EE"/>
                  <w:w w:val="97"/>
                </w:rPr>
                <w:t>Item 15 Controls and Procedures</w:t>
              </w:r>
            </w:hyperlink>
          </w:p>
        </w:tc>
        <w:tc>
          <w:tcPr>
            <w:tcW w:w="4120" w:type="dxa"/>
            <w:vAlign w:val="bottom"/>
            <w:gridSpan w:val="13"/>
          </w:tcPr>
          <w:p>
            <w:pPr>
              <w:spacing w:after="0"/>
              <w:rPr>
                <w:sz w:val="20"/>
                <w:szCs w:val="20"/>
                <w:color w:val="auto"/>
              </w:rPr>
            </w:pPr>
          </w:p>
        </w:tc>
        <w:tc>
          <w:tcPr>
            <w:tcW w:w="2160" w:type="dxa"/>
            <w:vAlign w:val="bottom"/>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890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16A Audit committees financial expert</w:t>
              </w:r>
            </w:hyperlink>
          </w:p>
        </w:tc>
        <w:tc>
          <w:tcPr>
            <w:tcW w:w="2460" w:type="dxa"/>
            <w:vAlign w:val="bottom"/>
            <w:gridSpan w:val="4"/>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1940" w:type="dxa"/>
            <w:vAlign w:val="bottom"/>
            <w:gridSpan w:val="6"/>
          </w:tcPr>
          <w:p>
            <w:pPr>
              <w:spacing w:after="0"/>
              <w:rPr>
                <w:rFonts w:ascii="Arial" w:cs="Arial" w:eastAsia="Arial" w:hAnsi="Arial"/>
                <w:sz w:val="18"/>
                <w:szCs w:val="18"/>
                <w:color w:val="0000EE"/>
                <w:w w:val="98"/>
              </w:rPr>
            </w:pPr>
            <w:hyperlink w:anchor="page108">
              <w:r>
                <w:rPr>
                  <w:rFonts w:ascii="Arial" w:cs="Arial" w:eastAsia="Arial" w:hAnsi="Arial"/>
                  <w:sz w:val="18"/>
                  <w:szCs w:val="18"/>
                  <w:color w:val="0000EE"/>
                  <w:w w:val="98"/>
                </w:rPr>
                <w:t>Item 16B Code of Ethics</w:t>
              </w:r>
            </w:hyperlink>
          </w:p>
        </w:tc>
        <w:tc>
          <w:tcPr>
            <w:tcW w:w="1460" w:type="dxa"/>
            <w:vAlign w:val="bottom"/>
            <w:gridSpan w:val="6"/>
          </w:tcPr>
          <w:p>
            <w:pPr>
              <w:spacing w:after="0"/>
              <w:rPr>
                <w:sz w:val="20"/>
                <w:szCs w:val="20"/>
                <w:color w:val="auto"/>
              </w:rPr>
            </w:pPr>
          </w:p>
        </w:tc>
        <w:tc>
          <w:tcPr>
            <w:tcW w:w="5500" w:type="dxa"/>
            <w:vAlign w:val="bottom"/>
            <w:gridSpan w:val="11"/>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3960" w:type="dxa"/>
            <w:vAlign w:val="bottom"/>
            <w:gridSpan w:val="14"/>
          </w:tcPr>
          <w:p>
            <w:pP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Item 16C Principal Accountant Fees and Services</w:t>
              </w:r>
            </w:hyperlink>
          </w:p>
        </w:tc>
        <w:tc>
          <w:tcPr>
            <w:tcW w:w="4940" w:type="dxa"/>
            <w:vAlign w:val="bottom"/>
            <w:gridSpan w:val="9"/>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0" w:type="dxa"/>
            <w:vAlign w:val="bottom"/>
            <w:gridSpan w:val="20"/>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Item 16D Exemptions from the Listing Standards for Audit Committees</w:t>
              </w:r>
            </w:hyperlink>
          </w:p>
        </w:tc>
        <w:tc>
          <w:tcPr>
            <w:tcW w:w="3300" w:type="dxa"/>
            <w:vAlign w:val="bottom"/>
            <w:gridSpan w:val="3"/>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6340" w:type="dxa"/>
            <w:vAlign w:val="bottom"/>
            <w:gridSpan w:val="21"/>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Item 16E Purchases of Equity Securities by the Issuer and Affiliated Purchasers</w:t>
              </w:r>
            </w:hyperlink>
          </w:p>
        </w:tc>
        <w:tc>
          <w:tcPr>
            <w:tcW w:w="2560" w:type="dxa"/>
            <w:vAlign w:val="bottom"/>
            <w:gridSpan w:val="2"/>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280" w:type="dxa"/>
            <w:vAlign w:val="bottom"/>
            <w:gridSpan w:val="15"/>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Item 16F Change in Registrant’s Certifying Accountant</w:t>
              </w:r>
            </w:hyperlink>
          </w:p>
        </w:tc>
        <w:tc>
          <w:tcPr>
            <w:tcW w:w="2060" w:type="dxa"/>
            <w:vAlign w:val="bottom"/>
            <w:gridSpan w:val="6"/>
          </w:tcPr>
          <w:p>
            <w:pPr>
              <w:spacing w:after="0"/>
              <w:rPr>
                <w:sz w:val="20"/>
                <w:szCs w:val="20"/>
                <w:color w:val="auto"/>
              </w:rPr>
            </w:pPr>
          </w:p>
        </w:tc>
        <w:tc>
          <w:tcPr>
            <w:tcW w:w="2560" w:type="dxa"/>
            <w:vAlign w:val="bottom"/>
            <w:gridSpan w:val="2"/>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20" w:type="dxa"/>
            <w:vAlign w:val="bottom"/>
            <w:gridSpan w:val="9"/>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16G Corporate Governance</w:t>
              </w:r>
            </w:hyperlink>
          </w:p>
        </w:tc>
        <w:tc>
          <w:tcPr>
            <w:tcW w:w="1660" w:type="dxa"/>
            <w:vAlign w:val="bottom"/>
            <w:gridSpan w:val="6"/>
          </w:tcPr>
          <w:p>
            <w:pPr>
              <w:spacing w:after="0"/>
              <w:rPr>
                <w:sz w:val="20"/>
                <w:szCs w:val="20"/>
                <w:color w:val="auto"/>
              </w:rPr>
            </w:pPr>
          </w:p>
        </w:tc>
        <w:tc>
          <w:tcPr>
            <w:tcW w:w="4620" w:type="dxa"/>
            <w:vAlign w:val="bottom"/>
            <w:gridSpan w:val="8"/>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2620" w:type="dxa"/>
            <w:vAlign w:val="bottom"/>
            <w:gridSpan w:val="9"/>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16H Mine Safety Disclosure</w:t>
              </w:r>
            </w:hyperlink>
          </w:p>
        </w:tc>
        <w:tc>
          <w:tcPr>
            <w:tcW w:w="6280" w:type="dxa"/>
            <w:vAlign w:val="bottom"/>
            <w:gridSpan w:val="1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660" w:type="dxa"/>
            <w:vAlign w:val="bottom"/>
            <w:gridSpan w:val="3"/>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PART III</w:t>
              </w:r>
            </w:hyperlink>
          </w:p>
        </w:tc>
        <w:tc>
          <w:tcPr>
            <w:tcW w:w="1960" w:type="dxa"/>
            <w:vAlign w:val="bottom"/>
            <w:gridSpan w:val="6"/>
          </w:tcPr>
          <w:p>
            <w:pPr>
              <w:spacing w:after="0"/>
              <w:rPr>
                <w:sz w:val="20"/>
                <w:szCs w:val="20"/>
                <w:color w:val="auto"/>
              </w:rPr>
            </w:pPr>
          </w:p>
        </w:tc>
        <w:tc>
          <w:tcPr>
            <w:tcW w:w="6280" w:type="dxa"/>
            <w:vAlign w:val="bottom"/>
            <w:gridSpan w:val="14"/>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2320" w:type="dxa"/>
            <w:vAlign w:val="bottom"/>
            <w:gridSpan w:val="8"/>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Item 17 Financial Statements</w:t>
              </w:r>
            </w:hyperlink>
          </w:p>
        </w:tc>
        <w:tc>
          <w:tcPr>
            <w:tcW w:w="6580" w:type="dxa"/>
            <w:vAlign w:val="bottom"/>
            <w:gridSpan w:val="1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107</w:t>
              </w:r>
            </w:hyperlink>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2320" w:type="dxa"/>
            <w:vAlign w:val="bottom"/>
            <w:gridSpan w:val="8"/>
          </w:tcPr>
          <w:p>
            <w:pPr>
              <w:spacing w:after="0"/>
              <w:rPr>
                <w:rFonts w:ascii="Arial" w:cs="Arial" w:eastAsia="Arial" w:hAnsi="Arial"/>
                <w:sz w:val="18"/>
                <w:szCs w:val="18"/>
                <w:color w:val="0000EE"/>
                <w:w w:val="97"/>
              </w:rPr>
            </w:pPr>
            <w:hyperlink w:anchor="page110">
              <w:r>
                <w:rPr>
                  <w:rFonts w:ascii="Arial" w:cs="Arial" w:eastAsia="Arial" w:hAnsi="Arial"/>
                  <w:sz w:val="18"/>
                  <w:szCs w:val="18"/>
                  <w:color w:val="0000EE"/>
                  <w:w w:val="97"/>
                </w:rPr>
                <w:t>Item 18 Financial Statements</w:t>
              </w:r>
            </w:hyperlink>
          </w:p>
        </w:tc>
        <w:tc>
          <w:tcPr>
            <w:tcW w:w="6580" w:type="dxa"/>
            <w:vAlign w:val="bottom"/>
            <w:gridSpan w:val="1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108</w:t>
              </w:r>
            </w:hyperlink>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37"/>
        </w:trPr>
        <w:tc>
          <w:tcPr>
            <w:tcW w:w="1280" w:type="dxa"/>
            <w:vAlign w:val="bottom"/>
            <w:gridSpan w:val="4"/>
          </w:tcPr>
          <w:p>
            <w:pPr>
              <w:spacing w:after="0"/>
              <w:rPr>
                <w:rFonts w:ascii="Arial" w:cs="Arial" w:eastAsia="Arial" w:hAnsi="Arial"/>
                <w:sz w:val="18"/>
                <w:szCs w:val="18"/>
                <w:color w:val="0000EE"/>
                <w:w w:val="98"/>
              </w:rPr>
            </w:pPr>
            <w:hyperlink w:anchor="page110">
              <w:r>
                <w:rPr>
                  <w:rFonts w:ascii="Arial" w:cs="Arial" w:eastAsia="Arial" w:hAnsi="Arial"/>
                  <w:sz w:val="18"/>
                  <w:szCs w:val="18"/>
                  <w:color w:val="0000EE"/>
                  <w:w w:val="98"/>
                </w:rPr>
                <w:t>Item 19 Exhibits</w:t>
              </w:r>
            </w:hyperlink>
          </w:p>
        </w:tc>
        <w:tc>
          <w:tcPr>
            <w:tcW w:w="1040" w:type="dxa"/>
            <w:vAlign w:val="bottom"/>
            <w:gridSpan w:val="4"/>
          </w:tcPr>
          <w:p>
            <w:pPr>
              <w:spacing w:after="0"/>
              <w:rPr>
                <w:sz w:val="20"/>
                <w:szCs w:val="20"/>
                <w:color w:val="auto"/>
              </w:rPr>
            </w:pPr>
          </w:p>
        </w:tc>
        <w:tc>
          <w:tcPr>
            <w:tcW w:w="6580" w:type="dxa"/>
            <w:vAlign w:val="bottom"/>
            <w:gridSpan w:val="15"/>
          </w:tcPr>
          <w:p>
            <w:pPr>
              <w:spacing w:after="0"/>
              <w:rPr>
                <w:sz w:val="20"/>
                <w:szCs w:val="20"/>
                <w:color w:val="auto"/>
              </w:rPr>
            </w:pPr>
          </w:p>
        </w:tc>
        <w:tc>
          <w:tcPr>
            <w:tcW w:w="2460" w:type="dxa"/>
            <w:vAlign w:val="bottom"/>
            <w:gridSpan w:val="4"/>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108</w:t>
              </w:r>
            </w:hyperlink>
          </w:p>
        </w:tc>
      </w:tr>
      <w:tr>
        <w:trPr>
          <w:trHeight w:val="709"/>
        </w:trPr>
        <w:tc>
          <w:tcPr>
            <w:tcW w:w="1280" w:type="dxa"/>
            <w:vAlign w:val="bottom"/>
            <w:tcBorders>
              <w:top w:val="single" w:sz="8" w:color="0000EE"/>
            </w:tcBorders>
            <w:gridSpan w:val="4"/>
          </w:tcPr>
          <w:p>
            <w:pPr>
              <w:spacing w:after="0"/>
              <w:rPr>
                <w:sz w:val="24"/>
                <w:szCs w:val="24"/>
                <w:color w:val="auto"/>
              </w:rPr>
            </w:pPr>
          </w:p>
        </w:tc>
        <w:tc>
          <w:tcPr>
            <w:tcW w:w="5060" w:type="dxa"/>
            <w:vAlign w:val="bottom"/>
            <w:gridSpan w:val="17"/>
          </w:tcPr>
          <w:p>
            <w:pPr>
              <w:jc w:val="right"/>
              <w:ind w:right="6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49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references in this Annual Report on Form 20-F, or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DATA</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report under International Financial Reporting Standards as issued by the International Accounting Standards Board, or IFRS. None of the financial statements in this Annual Report were prepared in accordance with generally accepted accounting principles in the United States. We present our financial statements in pounds sterling and in accordance with IFRS. We have made rounding adjustments to some of the figures included in this Annual Report. Accordingly, numerical figures shown as totals in some tables may not be an arithmetic aggregation of the figures that preceded them. All references in this Annual Report to “$,” “US$,” and “U.S. dollars” mean U.S. dollars and all references to “£” and “GBP” mean pounds sterling, unless otherwise noted.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TRADENAMES AND SERVICE MARKS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This Annual Report may include trademarks, tradenames and service marks that are the property of other organizations. Solely for convenience, trademarks and tradenames referred to in this Annual Report appear without the </w:t>
      </w:r>
      <w:r>
        <w:rPr>
          <w:rFonts w:ascii="Arial" w:cs="Arial" w:eastAsia="Arial" w:hAnsi="Arial"/>
          <w:sz w:val="14"/>
          <w:szCs w:val="14"/>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on-going clinical trials, product candidate development plans, product approvals, research and development costs, timing and likelihood of success, plans and objectives of management for future operations and future results of anticipated products, are forward-looking statements. We make such forward-looking statements pursuant to the safe harbor provisions of the Private Securities Litigation Reform Act of 1995 and other federal securities laws. These statements involve known and unknown risks, uncertainties and other important factors, including those identified under “Risk Factors” in this Annual Report, that may cause our actual results, performance or achievements to be materially different from any future results, performance or achievements expressed or implied by the forward-looking statements.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760" w:right="180" w:hanging="320"/>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of ensifentrine, including statements regarding the expected initiation, timing, progress and availability of data from our clinical trials and regulatory approval;</w:t>
      </w: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attributes and benefit of ensifentrine and its competitive position;</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ensifentrine, if approved;</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or in license new product candidates;</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collaborations; and</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 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w:t>
      </w:r>
    </w:p>
    <w:p>
      <w:pPr>
        <w:spacing w:after="0" w:line="2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right="4720"/>
        <w:spacing w:after="0" w:line="412" w:lineRule="auto"/>
        <w:rPr>
          <w:sz w:val="20"/>
          <w:szCs w:val="20"/>
          <w:color w:val="auto"/>
        </w:rPr>
      </w:pPr>
      <w:r>
        <w:rPr>
          <w:rFonts w:ascii="Arial" w:cs="Arial" w:eastAsia="Arial" w:hAnsi="Arial"/>
          <w:sz w:val="18"/>
          <w:szCs w:val="18"/>
          <w:b w:val="1"/>
          <w:bCs w:val="1"/>
          <w:color w:val="auto"/>
        </w:rPr>
        <w:t xml:space="preserve">ITEM 1: IDENTITY OF DIRECTORS, SENIOR MANAGEMENT AND ADVISORS </w:t>
      </w: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selected consolidated financial data should be read in conjunction with “Operating and Financial Review and Prospects,” our consolidated financial statements and related notes, and other financial information included in this Annual Report. We have derived the consolidated statement of comprehensive income data and the consolidated statement of financial position data as of December 31, 2018, 2017, and 2016 from our audited financial statements included elsewhere in this Annual Report. We have derived the consolidated statement of comprehensive income data and the consolidated statement of financial position data as of December 31, 2015 from our audited financial statements that are not included in this Annual Report. Our historical results are not necessarily indicative of the results that should be expected in the future.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8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3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(£'000s)</w:t>
            </w:r>
          </w:p>
        </w:tc>
        <w:tc>
          <w:tcPr>
            <w:tcW w:w="9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comprehensive income data:</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880" w:type="dxa"/>
            <w:vAlign w:val="bottom"/>
            <w:gridSpan w:val="2"/>
          </w:tcPr>
          <w:p>
            <w:pPr>
              <w:jc w:val="right"/>
              <w:ind w:right="70"/>
              <w:spacing w:after="0"/>
              <w:rPr>
                <w:sz w:val="20"/>
                <w:szCs w:val="20"/>
                <w:color w:val="auto"/>
              </w:rPr>
            </w:pPr>
            <w:r>
              <w:rPr>
                <w:rFonts w:ascii="Arial" w:cs="Arial" w:eastAsia="Arial" w:hAnsi="Arial"/>
                <w:sz w:val="18"/>
                <w:szCs w:val="18"/>
                <w:color w:val="auto"/>
              </w:rPr>
              <w:t>(19,294)</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(23,717)</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(4,522)</w:t>
            </w:r>
          </w:p>
        </w:tc>
        <w:tc>
          <w:tcPr>
            <w:tcW w:w="920" w:type="dxa"/>
            <w:vAlign w:val="bottom"/>
          </w:tcPr>
          <w:p>
            <w:pPr>
              <w:jc w:val="right"/>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7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(6,297)</w:t>
            </w:r>
          </w:p>
        </w:tc>
        <w:tc>
          <w:tcPr>
            <w:tcW w:w="13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(6,039)</w:t>
            </w: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(2,498)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880" w:type="dxa"/>
            <w:vAlign w:val="bottom"/>
            <w:gridSpan w:val="2"/>
          </w:tcPr>
          <w:p>
            <w:pPr>
              <w:jc w:val="right"/>
              <w:ind w:right="70"/>
              <w:spacing w:after="0"/>
              <w:rPr>
                <w:sz w:val="20"/>
                <w:szCs w:val="20"/>
                <w:color w:val="auto"/>
              </w:rPr>
            </w:pPr>
            <w:r>
              <w:rPr>
                <w:rFonts w:ascii="Arial" w:cs="Arial" w:eastAsia="Arial" w:hAnsi="Arial"/>
                <w:sz w:val="18"/>
                <w:szCs w:val="18"/>
                <w:color w:val="auto"/>
              </w:rPr>
              <w:t>(25,591)</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(29,756)</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(7,020)</w:t>
            </w:r>
          </w:p>
        </w:tc>
        <w:tc>
          <w:tcPr>
            <w:tcW w:w="920" w:type="dxa"/>
            <w:vAlign w:val="bottom"/>
          </w:tcPr>
          <w:p>
            <w:pPr>
              <w:jc w:val="right"/>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2,783</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7,018</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1,841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7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(1,325)</w:t>
            </w: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(2,465)</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(794)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taxation</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(24,133)</w:t>
            </w:r>
          </w:p>
        </w:tc>
        <w:tc>
          <w:tcPr>
            <w:tcW w:w="13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(25,203)</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7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4,232</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4,706</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954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for the year</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(19,901)</w:t>
            </w:r>
          </w:p>
        </w:tc>
        <w:tc>
          <w:tcPr>
            <w:tcW w:w="13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(20,497)</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 (loss):</w:t>
            </w: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7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3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(29)</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comprehensive loss attributable to owners of the company</w:t>
            </w:r>
          </w:p>
        </w:tc>
        <w:tc>
          <w:tcPr>
            <w:tcW w:w="7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(19,863)</w:t>
            </w: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(20,526)</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(4,976)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(18.9)</w:t>
            </w:r>
          </w:p>
        </w:tc>
        <w:tc>
          <w:tcPr>
            <w:tcW w:w="13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(23.4)</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ind w:right="252"/>
              <w:spacing w:after="0"/>
              <w:rPr>
                <w:sz w:val="20"/>
                <w:szCs w:val="20"/>
                <w:color w:val="auto"/>
              </w:rPr>
            </w:pPr>
            <w:r>
              <w:rPr>
                <w:rFonts w:ascii="Arial" w:cs="Arial" w:eastAsia="Arial" w:hAnsi="Arial"/>
                <w:sz w:val="18"/>
                <w:szCs w:val="18"/>
                <w:color w:val="auto"/>
              </w:rPr>
              <w:t>3</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3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360" w:right="4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6100" w:type="dxa"/>
            <w:vAlign w:val="bottom"/>
          </w:tcPr>
          <w:p>
            <w:pPr>
              <w:spacing w:after="0"/>
              <w:rPr>
                <w:sz w:val="22"/>
                <w:szCs w:val="22"/>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r>
      <w:tr>
        <w:trPr>
          <w:trHeight w:val="250"/>
        </w:trPr>
        <w:tc>
          <w:tcPr>
            <w:tcW w:w="6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(£'000s)</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1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61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19,784</w:t>
            </w:r>
          </w:p>
        </w:tc>
        <w:tc>
          <w:tcPr>
            <w:tcW w:w="1400" w:type="dxa"/>
            <w:vAlign w:val="bottom"/>
          </w:tcPr>
          <w:p>
            <w:pPr>
              <w:jc w:val="right"/>
              <w:ind w:right="335"/>
              <w:spacing w:after="0"/>
              <w:rPr>
                <w:sz w:val="20"/>
                <w:szCs w:val="20"/>
                <w:color w:val="auto"/>
              </w:rPr>
            </w:pPr>
            <w:r>
              <w:rPr>
                <w:rFonts w:ascii="Arial" w:cs="Arial" w:eastAsia="Arial" w:hAnsi="Arial"/>
                <w:sz w:val="18"/>
                <w:szCs w:val="18"/>
                <w:color w:val="auto"/>
              </w:rPr>
              <w:t>31,443</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39,785</w:t>
            </w:r>
          </w:p>
        </w:tc>
        <w:tc>
          <w:tcPr>
            <w:tcW w:w="940" w:type="dxa"/>
            <w:vAlign w:val="bottom"/>
          </w:tcPr>
          <w:p>
            <w:pPr>
              <w:jc w:val="right"/>
              <w:spacing w:after="0"/>
              <w:rPr>
                <w:sz w:val="20"/>
                <w:szCs w:val="20"/>
                <w:color w:val="auto"/>
              </w:rPr>
            </w:pPr>
            <w:r>
              <w:rPr>
                <w:rFonts w:ascii="Arial" w:cs="Arial" w:eastAsia="Arial" w:hAnsi="Arial"/>
                <w:sz w:val="18"/>
                <w:szCs w:val="18"/>
                <w:color w:val="auto"/>
              </w:rPr>
              <w:t>3,524</w:t>
            </w:r>
          </w:p>
        </w:tc>
      </w:tr>
      <w:tr>
        <w:trPr>
          <w:trHeight w:val="277"/>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44,919</w:t>
            </w:r>
          </w:p>
        </w:tc>
        <w:tc>
          <w:tcPr>
            <w:tcW w:w="14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48,819</w:t>
            </w: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74,261</w:t>
            </w: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89,504</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46,143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r>
      <w:tr>
        <w:trPr>
          <w:trHeight w:val="264"/>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118,862</w:t>
            </w:r>
          </w:p>
        </w:tc>
        <w:tc>
          <w:tcPr>
            <w:tcW w:w="14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118,862</w:t>
            </w:r>
          </w:p>
        </w:tc>
        <w:tc>
          <w:tcPr>
            <w:tcW w:w="9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58,526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w:t>
            </w:r>
          </w:p>
        </w:tc>
      </w:tr>
      <w:tr>
        <w:trPr>
          <w:trHeight w:val="263"/>
        </w:trPr>
        <w:tc>
          <w:tcPr>
            <w:tcW w:w="61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11,327</w:t>
            </w:r>
          </w:p>
        </w:tc>
        <w:tc>
          <w:tcPr>
            <w:tcW w:w="1400" w:type="dxa"/>
            <w:vAlign w:val="bottom"/>
          </w:tcPr>
          <w:p>
            <w:pPr>
              <w:jc w:val="right"/>
              <w:ind w:right="335"/>
              <w:spacing w:after="0"/>
              <w:rPr>
                <w:sz w:val="20"/>
                <w:szCs w:val="20"/>
                <w:color w:val="auto"/>
              </w:rPr>
            </w:pPr>
            <w:r>
              <w:rPr>
                <w:rFonts w:ascii="Arial" w:cs="Arial" w:eastAsia="Arial" w:hAnsi="Arial"/>
                <w:sz w:val="18"/>
                <w:szCs w:val="18"/>
                <w:color w:val="auto"/>
              </w:rPr>
              <w:t>9,623</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11,674</w:t>
            </w:r>
          </w:p>
        </w:tc>
        <w:tc>
          <w:tcPr>
            <w:tcW w:w="940" w:type="dxa"/>
            <w:vAlign w:val="bottom"/>
          </w:tcPr>
          <w:p>
            <w:pPr>
              <w:jc w:val="right"/>
              <w:spacing w:after="0"/>
              <w:rPr>
                <w:sz w:val="20"/>
                <w:szCs w:val="20"/>
                <w:color w:val="auto"/>
              </w:rPr>
            </w:pPr>
            <w:r>
              <w:rPr>
                <w:rFonts w:ascii="Arial" w:cs="Arial" w:eastAsia="Arial" w:hAnsi="Arial"/>
                <w:sz w:val="18"/>
                <w:szCs w:val="18"/>
                <w:color w:val="auto"/>
              </w:rPr>
              <w:t>2,407</w:t>
            </w:r>
          </w:p>
        </w:tc>
      </w:tr>
      <w:tr>
        <w:trPr>
          <w:trHeight w:val="270"/>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69,117</w:t>
            </w:r>
          </w:p>
        </w:tc>
        <w:tc>
          <w:tcPr>
            <w:tcW w:w="14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49,254</w:t>
            </w:r>
          </w:p>
        </w:tc>
        <w:tc>
          <w:tcPr>
            <w:tcW w:w="9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28,728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r>
      <w:tr>
        <w:trPr>
          <w:trHeight w:val="264"/>
        </w:trPr>
        <w:tc>
          <w:tcPr>
            <w:tcW w:w="61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62,934</w:t>
            </w: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79,881</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34,469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240" w:top="585" w:right="11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Annual Report. Our business, financial condition or results of operations could be materially and adversely affected if any of these risks occur.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have never generated any product revenue.</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 inception. We had net losses of £19.9 million and £20.5 million for the years ended December 31, 2018 and 2017, respectively. As of December 31, 2018, we had an accumulated loss of £69.1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126" w:lineRule="exact"/>
        <w:rPr>
          <w:sz w:val="20"/>
          <w:szCs w:val="20"/>
          <w:color w:val="auto"/>
        </w:rPr>
      </w:pPr>
    </w:p>
    <w:p>
      <w:pPr>
        <w:ind w:left="660" w:right="3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ongoing and planned Phase 2 clinical trials and, subject to regulatory review, initiate and conduct Phase 3 clinical trials and other future clinical trials of ensifentrine for the treatment of COPD;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any clinical trials of ensifentrine for the treatment of CF, asthma or other indications;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or in-license additional respiratory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pre-clinical studies to support ensifentrine and potentially other future product candidates;</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the manufacturing processes and produce clinical and commercial supplies of the ensifentrine active pharmaceutical ingredient and formulated drug products derived from it;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of ensifentrine;</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ensifentrine, if approved;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 maintain or obtain freedom to operate for our in-licensed technologies and products;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operations in the United States, the United Kingdom and possibly elsewhere.</w:t>
      </w:r>
    </w:p>
    <w:p>
      <w:pPr>
        <w:spacing w:after="0" w:line="14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w:t>
      </w:r>
    </w:p>
    <w:p>
      <w:pPr>
        <w:sectPr>
          <w:pgSz w:w="11900" w:h="16838" w:orient="portrait"/>
          <w:cols w:equalWidth="0" w:num="1">
            <w:col w:w="11380"/>
          </w:cols>
          <w:pgMar w:left="240" w:top="576" w:right="27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576" w:right="279" w:bottom="1440" w:gutter="0" w:footer="0" w:header="0"/>
          <w:type w:val="continuous"/>
        </w:sectPr>
      </w:pPr>
    </w:p>
    <w:bookmarkStart w:id="7" w:name="page8"/>
    <w:bookmarkEnd w:id="7"/>
    <w:p>
      <w:pPr>
        <w:ind w:right="400"/>
        <w:spacing w:after="0" w:line="262" w:lineRule="auto"/>
        <w:rPr>
          <w:sz w:val="20"/>
          <w:szCs w:val="20"/>
          <w:color w:val="auto"/>
        </w:rPr>
      </w:pPr>
      <w:r>
        <w:rPr>
          <w:rFonts w:ascii="Arial" w:cs="Arial" w:eastAsia="Arial" w:hAnsi="Arial"/>
          <w:sz w:val="18"/>
          <w:szCs w:val="18"/>
          <w:color w:val="auto"/>
        </w:rPr>
        <w:t>addition to those we currently anticipate, or if there are any delays in completing our clinical trials or the development of ensifentrine or any other product candidates, our expenses could increase and revenue could be further delayed.</w:t>
      </w:r>
    </w:p>
    <w:p>
      <w:pPr>
        <w:spacing w:after="0" w:line="11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on a quarterly or annual basis. Our failure to sustain profitability would depress the market price of our ADSs and ordinary shares and could impair our ability to raise capital, expand our business, diversify our product offerings or continue our operations. A decline in the market price of our ADSs or ordinary shares also could cause our ADS holders and shareholders to lose all or a part of their investment.</w:t>
      </w:r>
    </w:p>
    <w:p>
      <w:pPr>
        <w:spacing w:after="0" w:line="10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We will need additional funding to complete development of ensifentrine and any future product candidates, and to commercialize our products, if approved. If we are unable to raise capital when needed, we could be forced to delay, reduce or eliminate our product development programs or commercialization efforts.</w:t>
      </w: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expect our expenses to increase in connection with our ongoing and planned activities, particularly as we conduct our ongoing and planned Phase 2 clinical trials of ensifentrine and, subject to regulatory review, our planned Phase 3 clinical trial, and develop ensifentrine for other indications. In addition, if we obtain regulatory approval for ensifentrine or any other product candidates, we expect to incur significant commercialization expenses related to product manufacturing, marketing, sales and distribution. Furthermore, we expect to incur ongoing costs associated with operating as a public company in the United Kingdom and the United States and maintaining a listing on both AIM, a market of the London Stock Exchange, or AIM,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34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estimate that our existing cash resources and short-term investments will be sufficient to enable us to fund our operating expenses and capital expenditure requirements for at least the next 12 months. We anticipate these funds will be sufficient to complete each of our ongoing and planned Phase 2 trials of ensifentrine for the treatment of COPD and, subject to favorable results in our Phase 2 trials and regulatory feedback, to commence a Phase 3 program of ensifentrine for the maintenance treatment of COPD. However, we will require additional funds to complete our planned clinical development of ensifentrine.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4" w:lineRule="exact"/>
        <w:rPr>
          <w:sz w:val="20"/>
          <w:szCs w:val="20"/>
          <w:color w:val="auto"/>
        </w:rPr>
      </w:pPr>
    </w:p>
    <w:p>
      <w:pPr>
        <w:ind w:left="660" w:right="4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progress and results of our ongoing and planned Phase 2 clinical and any other future clinical trials of ensifentrine for the treatment of COPD;</w:t>
      </w:r>
    </w:p>
    <w:p>
      <w:pPr>
        <w:ind w:left="660" w:right="6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progress and results of our planned Phase 3 clinical trial for the maintenance treatment of COPD, subject to regulatory review;</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progress and results of any clinical trials for the treatment of CF or other indications;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the ensifentrine active ingredient and derived formulated drug products;</w:t>
      </w:r>
    </w:p>
    <w:p>
      <w:pPr>
        <w:spacing w:after="0" w:line="9" w:lineRule="exact"/>
        <w:rPr>
          <w:rFonts w:ascii="Arial" w:cs="Arial" w:eastAsia="Arial" w:hAnsi="Arial"/>
          <w:sz w:val="18"/>
          <w:szCs w:val="18"/>
          <w:color w:val="auto"/>
        </w:rPr>
      </w:pPr>
    </w:p>
    <w:p>
      <w:pPr>
        <w:jc w:val="both"/>
        <w:ind w:left="660" w:right="8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ensifentrine in other indications and of the development of DPI and pMDI formulations of ensifentrine for the maintenance treatment of COPD and potentially asthma and other respiratory diseases;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ensifentrine, including post-marketing studies that could be required by regulatory authorities;</w:t>
      </w:r>
    </w:p>
    <w:p>
      <w:pPr>
        <w:ind w:left="660" w:right="9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ensifentrine;</w:t>
      </w: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17" w:right="239" w:bottom="1440" w:gutter="0" w:footer="0" w:header="0"/>
        </w:sectPr>
      </w:pPr>
    </w:p>
    <w:bookmarkStart w:id="8" w:name="page9"/>
    <w:bookmarkEnd w:id="8"/>
    <w:p>
      <w:pPr>
        <w:ind w:right="80"/>
        <w:spacing w:after="0" w:line="254"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2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We depend heavily on the success of ensifentrine, our only product candidate under development. We cannot give any assurance that ensifentrine will receive regulatory approval for any indication, which is necessary before it can be commercialized. If we, and any collaborators with whom we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25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ensifentrine, if approved, which may never occur. Ensifentrine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EMA or comparable foreign regulatory authorities, and we may never receive such regulatory approval for ensifentrine or any future product candidate. We have not submitted a New Drug Application, or NDA, to the FDA, a Marketing Authorization Application, or MAA, to the EMA or comparable applications to other regulatory authorities and do not expect to be in a position to do so in the foreseeable future. The success of ensifentrine will depend on many factors, including the following:</w:t>
      </w:r>
    </w:p>
    <w:p>
      <w:pPr>
        <w:spacing w:after="0" w:line="130" w:lineRule="exact"/>
        <w:rPr>
          <w:sz w:val="20"/>
          <w:szCs w:val="20"/>
          <w:color w:val="auto"/>
        </w:rPr>
      </w:pPr>
    </w:p>
    <w:p>
      <w:pPr>
        <w:ind w:left="660" w:right="1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ensifentrine is safe and effective as a treatment for our targeted indications to the satisfaction of the applicable regulatory authorities;</w:t>
      </w: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additional pre-clinical or clinical trials, which would increase our costs and prolong our development;</w:t>
      </w:r>
    </w:p>
    <w:p>
      <w:pPr>
        <w:ind w:left="660" w:right="7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clinical trials of ensifentrine may not meet the level of statistical or clinical significance required by the applicable regulatory authorities for marketing approval;</w:t>
      </w:r>
    </w:p>
    <w:p>
      <w:pPr>
        <w:ind w:left="660" w:right="4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the number, design, size, conduct or implementation of our planned clinical trials;</w:t>
      </w: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ind w:left="660" w:right="2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demonstrate a non-clinical safety profile that is acceptable to the applicable regulatory authorities;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operational or clinical issues may prevent completion or interpretation of clinical study results;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manufacturing issues, product performance issues or stability issues may delay or otherwise adversely affect the progress of our clinical development program;</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not accept data generated at our clinical trial sites;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ind w:left="660" w:right="10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regulatory authorities may change their approval policies or adopt new regulations;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17" w:right="259" w:bottom="1440" w:gutter="0" w:footer="0" w:header="0"/>
        </w:sectPr>
      </w:pPr>
    </w:p>
    <w:bookmarkStart w:id="9" w:name="page10"/>
    <w:bookmarkEnd w:id="9"/>
    <w:p>
      <w:pPr>
        <w:ind w:left="660" w:right="4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license ensifentrine to others, the efforts of those parties in completing clinical trials of, receiving regulatory approval for, and commercializing ensifentrine;</w:t>
      </w:r>
    </w:p>
    <w:p>
      <w:pPr>
        <w:ind w:left="660" w:right="2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our clinical trials, we may discover factors that limit the commercial viability of ensifentrine or make the commercialization of ensifentrine unfeasible;</w:t>
      </w:r>
    </w:p>
    <w:p>
      <w:pPr>
        <w:ind w:left="660" w:right="3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ind w:left="660" w:right="40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12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An unfavorable outcome in any of these factors could result in our experiencing significant delays or an inability to successfully commercialize ensifentrine.</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6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plan to seek regulatory approval to commercialize ensifentrine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23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Our limited operating history may make it difficult for investors to evaluate the success of our business to date and to assess our future viability.</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for ensifentrine, but we have not yet demonstrated our ability to successfully complete any Phase 3 or other pivotal clinical trials, obtain regulatory approvals, manufacture a commercial-scale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24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color w:val="auto"/>
        </w:rPr>
        <w:t>Raising additional capital may cause dilution to our holders, restrict our operations or require us to relinquish rights to our technologies or product candidates.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or ordinary shares to decline.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8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business may become subject to economic, political, regulatory and other risks associated with international operations.</w:t>
      </w:r>
    </w:p>
    <w:p>
      <w:pPr>
        <w:spacing w:after="0" w:line="3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1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non-U.S. currency exchange rates of the euro and currency controls;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implications of the decision of the eligible members of the U.K. electorate for the United Kingdom to withdraw from the EU;</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9"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9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The United Kingdom's withdrawal from the EU may have a negative effect on global economic conditions, financial markets and our business, which could reduce the price of our ADSs and ordinary shares.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 notice under Article 50 of the Treaty of the European Union on March 29, 2017 to formally initiate a withdrawal process. The United Kingdom and the EU have had a two-year period under Article 50 to negotiate the terms for withdrawal. The withdrawal agreement and political declaration that were endorsed at a special meeting of the European Council on November 25, 2018 did not receive the approval of the United Kingdom Parliament in January 2019. Further discussions are ongoing, although the European Commission has stated that the EU will not reopen the withdrawal agreement. Any extension of the negotiation period for withdrawal will require the consent of all of the remaining 27 member states.</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referendum and anticipation of withdrawal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financial laws and regulations, tax and free trade agreements, intellectual property rights, supply chain logistics, environmental, health and safety laws and regulations, immigration laws and employment laws, could further decrease foreign direct investment in the United Kingdom, increase costs, depress economic activity and restrict our access to capital. If the United Kingdom and the EU are unable to negotiate mutually acceptable withdrawal terms or if other EU member states pursue withdrawal, barrier-free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26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Further, the vote for the United Kingdom’s withdrawal from the EU has resulted in a decision to move the EMA from the United Kingdom to the Netherlands, with operations currently scheduled to begin in the Netherlands by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5" w:right="239" w:bottom="1440" w:gutter="0" w:footer="0" w:header="0"/>
        </w:sectPr>
      </w:pPr>
    </w:p>
    <w:bookmarkStart w:id="11" w:name="page12"/>
    <w:bookmarkEnd w:id="11"/>
    <w:p>
      <w:pPr>
        <w:spacing w:after="0" w:line="252" w:lineRule="auto"/>
        <w:rPr>
          <w:sz w:val="20"/>
          <w:szCs w:val="20"/>
          <w:color w:val="auto"/>
        </w:rPr>
      </w:pPr>
      <w:r>
        <w:rPr>
          <w:rFonts w:ascii="Arial" w:cs="Arial" w:eastAsia="Arial" w:hAnsi="Arial"/>
          <w:sz w:val="18"/>
          <w:szCs w:val="18"/>
          <w:color w:val="auto"/>
        </w:rPr>
        <w:t>the end of March 2019. This transition has caused, and may continue to cause, disruption in the administrative and medical scientific links between the EMA and the U.K. Medicines and Healthcare products Regulatory Agency,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United Kingdom.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may materially affect our results of operations and financial condition.</w:t>
      </w:r>
    </w:p>
    <w:p>
      <w:pPr>
        <w:spacing w:after="0" w:line="30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7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Our only product candidate, ensifentrine, is in early-stage clinical development. Clinical drug development is a lengthy and expensive process with uncertain timelines and uncertain outcomes. If clinical trials of ensifentrine are prolonged or delayed, or if ensifentrine in later stage clinical trials fails to show the desired safety and efficacy, we or our collaborators may be unable to obtain required regulatory approvals and be unable to commercialize ensifentrine on a timely basis, or at all.</w:t>
      </w:r>
    </w:p>
    <w:p>
      <w:pPr>
        <w:spacing w:after="0" w:line="2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6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12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failure to obtain regulatory approval to commence a trial;</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approval at each site;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 or committing gross misconduct or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achieve or maintain double blinding of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technical issues during manufacture of ensifentrine and the corresponding drug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variability in drug product performance and/or 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ensifentrine for use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actions claiming infringement by ensifentrine in clinical trials and obtaining injunctions interfering with our progress;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ind w:left="660" w:right="2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17" w:right="239" w:bottom="1440" w:gutter="0" w:footer="0" w:header="0"/>
        </w:sectPr>
      </w:pPr>
    </w:p>
    <w:bookmarkStart w:id="12" w:name="page13"/>
    <w:bookmarkEnd w:id="12"/>
    <w:p>
      <w:pPr>
        <w:ind w:left="660" w:right="3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or frequency of dosing or treatment in clinical trials;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or stability of ensifentrine falling below acceptable standards for either safety or efficacy;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discoveries that may reduce the commercial viability of ensifentrine.</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26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ensifentrine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25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Undesirable side effects that may be caused by ensifentrine could cause us or regulatory authorities to interrupt, delay or halt clinical trials and could result in a more restrictive label or the delay or denial of regulatory approval by the FDA, EMA or other comparable foreign authorities. We have completed 13 Phase 1 and 2 clinical trials of</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82" w:right="259" w:bottom="1440" w:gutter="0" w:footer="0" w:header="0"/>
        </w:sectPr>
      </w:pPr>
    </w:p>
    <w:bookmarkStart w:id="13" w:name="page14"/>
    <w:bookmarkEnd w:id="13"/>
    <w:p>
      <w:pPr>
        <w:ind w:right="180"/>
        <w:spacing w:after="0" w:line="262" w:lineRule="auto"/>
        <w:rPr>
          <w:sz w:val="20"/>
          <w:szCs w:val="20"/>
          <w:color w:val="auto"/>
        </w:rPr>
      </w:pPr>
      <w:r>
        <w:rPr>
          <w:rFonts w:ascii="Arial" w:cs="Arial" w:eastAsia="Arial" w:hAnsi="Arial"/>
          <w:sz w:val="18"/>
          <w:szCs w:val="18"/>
          <w:color w:val="auto"/>
        </w:rPr>
        <w:t>ensifentrine. In these trials, some patients have experienced mild to moderate adverse reactions, including headache, dizziness, cough, heart palpitation, nausea, dry mouth, throat irritation, paresthesia (tingling) and rash.</w:t>
      </w:r>
    </w:p>
    <w:p>
      <w:pPr>
        <w:spacing w:after="0" w:line="2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 date, ten serious adverse events have been reported (including a suicide), eight of which were assessed as not related to study drug and two of which were assessed by the investigators as possibly related although relevant mitigating factors were subsequently considered.</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12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ensifentrine off the market;</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ind w:left="660" w:right="5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ensifentrine outweigh its risks;</w:t>
      </w:r>
    </w:p>
    <w:p>
      <w:pPr>
        <w:ind w:left="660" w:right="8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ensifentrine is administered, conduct additional clinical trials or change the labeling of ensifentrine;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ensifentrine may decrease significantly;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23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24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7" w:right="239" w:bottom="1440" w:gutter="0" w:footer="0" w:header="0"/>
        </w:sectPr>
      </w:pPr>
    </w:p>
    <w:bookmarkStart w:id="14" w:name="page15"/>
    <w:bookmarkEnd w:id="14"/>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defend 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investigation, product recalls or withdrawals, or labeling, marketing or promotional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or promote ensifentrine.</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2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38"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2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time required to obtain approval by the FDA, the EMA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Ensifentrine could fail to receive regulatory approval for many reasons, including the following:</w:t>
      </w:r>
    </w:p>
    <w:p>
      <w:pPr>
        <w:spacing w:after="0" w:line="144" w:lineRule="exact"/>
        <w:rPr>
          <w:sz w:val="20"/>
          <w:szCs w:val="20"/>
          <w:color w:val="auto"/>
        </w:rPr>
      </w:pPr>
    </w:p>
    <w:p>
      <w:pPr>
        <w:ind w:left="660" w:right="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ensifentrine is safe and effective, with the required level of statistical significance, for its proposed indication;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that ensifentrine's clinical and other benefits outweigh its safety risks;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ind w:left="660" w:right="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data collected from clinical trials of ensifentrine may, for other reasons, not be sufficient to support the submission of an NDA in the United States, an MMA in the EU, or other comparable submission to obtain regulatory approval in other countries;</w:t>
      </w:r>
    </w:p>
    <w:p>
      <w:pPr>
        <w:ind w:left="660" w:right="2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w:t>
      </w:r>
    </w:p>
    <w:p>
      <w:pPr>
        <w:ind w:left="660" w:right="4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 and</w:t>
      </w:r>
    </w:p>
    <w:p>
      <w:pPr>
        <w:ind w:left="660" w:right="3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and</w:t>
      </w:r>
    </w:p>
    <w:p>
      <w:pPr>
        <w:ind w:left="660" w:right="10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proposed product specifications and performance characteristics.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EMA or any other regulatory authority.</w:t>
      </w:r>
    </w:p>
    <w:p>
      <w:pPr>
        <w:spacing w:after="0" w:line="25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ensifentrine for fewer or more limited indications than we request, may not approve the price we intend to charge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5" w:name="page16"/>
    <w:bookmarkEnd w:id="15"/>
    <w:p>
      <w:pPr>
        <w:ind w:right="100"/>
        <w:spacing w:after="0" w:line="256" w:lineRule="auto"/>
        <w:rPr>
          <w:sz w:val="20"/>
          <w:szCs w:val="20"/>
          <w:color w:val="auto"/>
        </w:rPr>
      </w:pPr>
      <w:r>
        <w:rPr>
          <w:rFonts w:ascii="Arial" w:cs="Arial" w:eastAsia="Arial" w:hAnsi="Arial"/>
          <w:sz w:val="18"/>
          <w:szCs w:val="18"/>
          <w:color w:val="auto"/>
        </w:rPr>
        <w:t>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23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25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If the FDA, the EMA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requirements for the manufacture of ensifentrine and GCP requirements for any clinical trials that we conduct post-approval, all of which may result in significant expense and limit our ability to commercialize ensifentrine. We and our contract manufacturers will also be subject to periodic inspection by the FDA, the EMA and other regulatory authorities to monitor compliance with these requirements and the terms of any product approval we may obtain. In addition, any regulatory approvals that we receive for ensifentrine may also be subject to limitations on the approved indicated uses for which ensifentrine may be marketed or to the conditions of approval, or contain requirements for potentially costly post-marketing testing, including Phase 4 clinical trials, and surveillance to monitor the safety and efficacy of ensifentrine.</w:t>
      </w:r>
    </w:p>
    <w:p>
      <w:pPr>
        <w:spacing w:after="0" w:line="26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If problems are discovered with the drug product or manufacture of ensifentrine, or if we or one of our distributors, licensees or co-marketers fails to comply with regulatory requirements, the regulators could take various actions. These include imposing fines on us, imposing restrictions on ensifentrine or its manufacture and requiring us to recall or remove ensifentrine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ensifentrine may be impaired, and we may incur substantial additional expense to comply with regulatory requirements.</w:t>
      </w:r>
    </w:p>
    <w:p>
      <w:pPr>
        <w:spacing w:after="0" w:line="2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4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We may not be successful in our efforts to develop ensifentrine for multiple indications, including asthma, CF or other respiratory diseases.</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Part of our strategy is to continue to develop ensifentrine in indications other than COPD, such as CF. Although our research and development efforts to date have suggested that ensifentrine has the potential to treat CF, we may not be able to develop ensifentrine in CF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we will face difficulty in obtaining product revenues in future periods, which could significantly harm our financial position.</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17" w:right="239" w:bottom="1440" w:gutter="0" w:footer="0" w:header="0"/>
        </w:sectPr>
      </w:pPr>
    </w:p>
    <w:bookmarkStart w:id="16" w:name="page17"/>
    <w:bookmarkEnd w:id="16"/>
    <w:p>
      <w:pPr>
        <w:jc w:val="both"/>
        <w:ind w:right="120"/>
        <w:spacing w:after="0" w:line="265" w:lineRule="auto"/>
        <w:rPr>
          <w:sz w:val="20"/>
          <w:szCs w:val="20"/>
          <w:color w:val="auto"/>
        </w:rPr>
      </w:pPr>
      <w:r>
        <w:rPr>
          <w:rFonts w:ascii="Arial" w:cs="Arial" w:eastAsia="Arial" w:hAnsi="Arial"/>
          <w:sz w:val="17"/>
          <w:szCs w:val="17"/>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22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EMA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0" w:lineRule="exact"/>
        <w:rPr>
          <w:sz w:val="20"/>
          <w:szCs w:val="20"/>
          <w:color w:val="auto"/>
        </w:rPr>
      </w:pPr>
    </w:p>
    <w:p>
      <w:pPr>
        <w:spacing w:after="0" w:line="391"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17" w:right="25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8"/>
          <w:szCs w:val="18"/>
          <w:b w:val="1"/>
          <w:bCs w:val="1"/>
          <w:color w:val="auto"/>
        </w:rPr>
        <w:t>The ability of the FDA to review and approve new products can be affected by a variety of factors and can lead to delays or otherwise prevent new products and services from being developed or commercialized in a timely manner, which could negatively impact our business.</w:t>
      </w:r>
    </w:p>
    <w:p>
      <w:pPr>
        <w:spacing w:after="0" w:line="2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7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color w:val="auto"/>
        </w:rPr>
        <w:t>Enacted and future legislation may increase the difficulty and cost for us to obtain marketing approval of and commercialize ensifentrine and may affect the prices we may set.</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126" w:lineRule="exact"/>
        <w:rPr>
          <w:sz w:val="20"/>
          <w:szCs w:val="20"/>
          <w:color w:val="auto"/>
        </w:rPr>
      </w:pPr>
    </w:p>
    <w:p>
      <w:pPr>
        <w:ind w:left="660" w:right="50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ind w:left="660" w:right="7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660" w:right="1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ind w:left="660" w:right="7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ind w:left="660" w:right="1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ind w:left="660" w:right="520" w:hanging="328"/>
        <w:spacing w:after="0" w:line="29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The current presidential administration and Congress will likely continue to seek to modify, repeal, or otherwise invalidate all, or certain provisions of, the ACA. Further, on December 14, 2018, a U.S. District Court Judge in the Northern District of Texas ruled that the individual mandate is a critical and inseverable feature of the ACA, and therefore, because it was repealed as part of the 2017 Tax Cuts and Jobs Act, the remaining provisions of the ACA are invalid as well. While the current Presidential Administration and the Centers for Medicare &amp; Medicaid Services have both stated that the ruling will have no immediate effect, it is unclear how this decision, subsequent appeals, if any, will impact the law. At this time, it is uncertain the extent to which any such changes may impact our business or financial condition.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95" w:right="259" w:bottom="1440" w:gutter="0" w:footer="0" w:header="0"/>
        </w:sectPr>
      </w:pPr>
    </w:p>
    <w:bookmarkStart w:id="18" w:name="page19"/>
    <w:bookmarkEnd w:id="18"/>
    <w:p>
      <w:pPr>
        <w:ind w:right="80"/>
        <w:spacing w:after="0" w:line="252"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2027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26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96" w:lineRule="exact"/>
        <w:rPr>
          <w:sz w:val="20"/>
          <w:szCs w:val="20"/>
          <w:color w:val="auto"/>
        </w:rPr>
      </w:pPr>
    </w:p>
    <w:p>
      <w:pPr>
        <w:ind w:left="660" w:right="240" w:hanging="328"/>
        <w:spacing w:after="0" w:line="27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17" w:right="239" w:bottom="1440" w:gutter="0" w:footer="0" w:header="0"/>
        </w:sectPr>
      </w:pPr>
    </w:p>
    <w:bookmarkStart w:id="19" w:name="page20"/>
    <w:bookmarkEnd w:id="19"/>
    <w:p>
      <w:pPr>
        <w:ind w:left="660"/>
        <w:spacing w:after="0" w:line="303" w:lineRule="auto"/>
        <w:rPr>
          <w:sz w:val="20"/>
          <w:szCs w:val="20"/>
          <w:color w:val="auto"/>
        </w:rPr>
      </w:pPr>
      <w:r>
        <w:rPr>
          <w:rFonts w:ascii="Arial" w:cs="Arial" w:eastAsia="Arial" w:hAnsi="Arial"/>
          <w:sz w:val="18"/>
          <w:szCs w:val="18"/>
          <w:color w:val="auto"/>
        </w:rPr>
        <w:t>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67" w:lineRule="exact"/>
        <w:rPr>
          <w:sz w:val="20"/>
          <w:szCs w:val="20"/>
          <w:color w:val="auto"/>
        </w:rPr>
      </w:pPr>
    </w:p>
    <w:p>
      <w:pPr>
        <w:ind w:left="660" w:right="10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99"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100" w:lineRule="exact"/>
        <w:rPr>
          <w:rFonts w:ascii="Arial" w:cs="Arial" w:eastAsia="Arial" w:hAnsi="Arial"/>
          <w:sz w:val="18"/>
          <w:szCs w:val="18"/>
          <w:color w:val="auto"/>
        </w:rPr>
      </w:pPr>
    </w:p>
    <w:p>
      <w:pPr>
        <w:ind w:left="660" w:right="80" w:hanging="328"/>
        <w:spacing w:after="0" w:line="25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104" w:lineRule="exact"/>
        <w:rPr>
          <w:rFonts w:ascii="Arial" w:cs="Arial" w:eastAsia="Arial" w:hAnsi="Arial"/>
          <w:sz w:val="18"/>
          <w:szCs w:val="18"/>
          <w:color w:val="auto"/>
        </w:rPr>
      </w:pPr>
    </w:p>
    <w:p>
      <w:pPr>
        <w:ind w:left="660" w:right="32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 and laws governing the privacy and security of certain protected information, such as Regulation 2016/679, known as the General Data Protection Regulation, or GDPR, which imposes obligations and restrictions on the collection and use of personal data relating to individuals located in the EU (including health data).</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09" w:right="239" w:bottom="1440" w:gutter="0" w:footer="0" w:header="0"/>
        </w:sectPr>
      </w:pPr>
    </w:p>
    <w:bookmarkStart w:id="20" w:name="page21"/>
    <w:bookmarkEnd w:id="20"/>
    <w:p>
      <w:pPr>
        <w:ind w:right="100"/>
        <w:spacing w:after="0" w:line="251" w:lineRule="auto"/>
        <w:rPr>
          <w:sz w:val="20"/>
          <w:szCs w:val="20"/>
          <w:color w:val="auto"/>
        </w:rPr>
      </w:pPr>
      <w:r>
        <w:rPr>
          <w:rFonts w:ascii="Arial" w:cs="Arial" w:eastAsia="Arial" w:hAnsi="Arial"/>
          <w:sz w:val="18"/>
          <w:szCs w:val="18"/>
          <w:color w:val="auto"/>
        </w:rPr>
        <w:t>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3"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b w:val="1"/>
          <w:bCs w:val="1"/>
          <w:color w:val="auto"/>
        </w:rPr>
        <w:t>We are subject to governmental regulation and other legal obligations in the EU and European Economic Area, or EEA, related to privacy, data protection and data security. Our actual or perceived failure to comply with such obligations could harm our business.</w:t>
      </w:r>
    </w:p>
    <w:p>
      <w:pPr>
        <w:spacing w:after="0" w:line="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subject to diverse laws and regulations relating to data privacy and security in the EU and eventually in the EEA, including Regulation 2016/679, known as the GDPR. The GDPR applies extraterritorially and implements stringent operational requirements for controllers and processors of personal data. New global privacy rules are being enacted and existing ones are being updated and strengthened. We are likely to be required to expend capital and other resources to ensure ongoing compliance with these laws and regulations.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Complying with these numerous, complex and often changing regulations is expensive and difficult. Failure by us, any partners, our service providers, or our employees or contractors to comply with the GDPR could result in regulatory investigations, enforcement notices and/or fines of up to the higher of €20 million or up to 4% of our total worldwide annual turnover. In addition to the foregoing, a breach of privacy laws or data security laws, particularly those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data controller, we are accountable for any third-party service providers we engage to process personal data on our behalf, including our CROs. We attempt to mitigate the associated risks by performing security assessments and due diligence of our vendors and requiring all such third-party providers with data access to sign agreements, and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Where we transfer personal data out of the EU and EEA, we do so in compliance with the relevant data export requirements from time to time. There is currently ongoing litigation challenging the commonly used transfer mechanism, the EU Commission approved model clauses. In addition, the U.S. Privacy Shield is currently under review by the European Commission. As such, it is uncertain whether the Privacy Shield framework and/or model clauses will be invalidated in the near future. These changes may require us to find alternative bases for the compliant transfer of personal data outside the EEA and we are monitoring developments in this area. Further, the withdrawal of the United Kingdom from the EU has created uncertainty with regard to the status of the United Kingdom as an "adequate country" for the purposes of data transfers outside the EEA. In particular, it is unclear how data transfers to and from the United Kingdom will be regulated. These changes may require us to find alternative bases for the compliant transfer of personal data outside the United Kingdom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also subject to evolving European privacy laws on cookies, and if we commence any EU marketing campaigns, also on e -marketing.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third-party cookies, web beacons and similar technology and significantly increases fining powers to the greater of €20 million or 4% of total global annual revenue. While the e-Privacy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7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We are subject to environmental, health and safety laws and regulations, and we may become exposed to liability and substantial expenses in connection with environmental compliance or remediation activities.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82" w:right="259" w:bottom="1440" w:gutter="0" w:footer="0" w:header="0"/>
        </w:sectPr>
      </w:pPr>
    </w:p>
    <w:bookmarkStart w:id="21" w:name="page22"/>
    <w:bookmarkEnd w:id="21"/>
    <w:p>
      <w:pPr>
        <w:ind w:right="60"/>
        <w:spacing w:after="0" w:line="253"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1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color w:val="auto"/>
        </w:rPr>
        <w:t>We operate in a highly competitive and rapidly changing industry, which may result in others discovering, developing or commercializing competing products before or more successfully than we do.</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Given the number of products already on the market to treat COPD and CF, we expect to face intense competition if ensifentrine is approved for these indications. Companies including Boehringer Ingelheim, GlaxoSmithKline, AstraZeneca, Mylan, Novartis, Vertex and Sunovion currently have treatments on the market</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82" w:right="279" w:bottom="1440" w:gutter="0" w:footer="0" w:header="0"/>
        </w:sectPr>
      </w:pPr>
    </w:p>
    <w:bookmarkStart w:id="22" w:name="page23"/>
    <w:bookmarkEnd w:id="22"/>
    <w:p>
      <w:pPr>
        <w:jc w:val="both"/>
        <w:ind w:right="520"/>
        <w:spacing w:after="0" w:line="254" w:lineRule="auto"/>
        <w:rPr>
          <w:sz w:val="20"/>
          <w:szCs w:val="20"/>
          <w:color w:val="auto"/>
        </w:rPr>
      </w:pPr>
      <w:r>
        <w:rPr>
          <w:rFonts w:ascii="Arial" w:cs="Arial" w:eastAsia="Arial" w:hAnsi="Arial"/>
          <w:sz w:val="18"/>
          <w:szCs w:val="18"/>
          <w:color w:val="auto"/>
        </w:rPr>
        <w:t>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96" w:lineRule="exact"/>
        <w:rPr>
          <w:sz w:val="20"/>
          <w:szCs w:val="20"/>
          <w:color w:val="auto"/>
        </w:rPr>
      </w:pPr>
    </w:p>
    <w:p>
      <w:pPr>
        <w:ind w:left="660" w:right="28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93"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side effects;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76"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color w:val="auto"/>
        </w:rPr>
        <w:t>We may be unable to obtain orphan drug designation from the FDA or EU for ensifentrine for the treatment of CF, and even if we do obtain such designations, we may be unable to obtain or maintain the benefits associated with orphan drug designation, including the potential for orphan drug exclusivity.</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10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plan to seek orphan drug designation from the FDA and the EMA for ensifentrine for the treatment of CF. Even if we are able to obtain orphan designation for ensifentrine in the United States and/or the EU, we may not be the first to obtain marketing approval for any particular orphan indication due to the uncertainties associated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82" w:right="259" w:bottom="1440" w:gutter="0" w:footer="0" w:header="0"/>
        </w:sectPr>
      </w:pPr>
    </w:p>
    <w:bookmarkStart w:id="23" w:name="page24"/>
    <w:bookmarkEnd w:id="23"/>
    <w:p>
      <w:pPr>
        <w:ind w:right="20"/>
        <w:spacing w:after="0" w:line="251" w:lineRule="auto"/>
        <w:rPr>
          <w:sz w:val="20"/>
          <w:szCs w:val="20"/>
          <w:color w:val="auto"/>
        </w:rPr>
      </w:pPr>
      <w:r>
        <w:rPr>
          <w:rFonts w:ascii="Arial" w:cs="Arial" w:eastAsia="Arial" w:hAnsi="Arial"/>
          <w:sz w:val="18"/>
          <w:szCs w:val="18"/>
          <w:color w:val="auto"/>
        </w:rPr>
        <w:t>with developing pharmaceutical products, which could prevent us from marketing ensifentrine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 In addition, the FDA or the EMA can subsequently approve products with the same active moiety for the same condition if the FDA or the EMA concludes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response to lawsuits against the FDA in 2014 and 2016, Congress included a provision in the Food and Drug Administration Reauthorization Act, or FDARA, enacted in August 2017, that amended the FDCA to require that, as a condition to awarding exclusivity to a designated orphan drug that is the same as a previously approved drug, such drug must demonstrate clinical superiority over the previously approved drug upon approval. In the future, there is the potential for additional legal challenges to the FDA's orphan drug framework, and it is uncertain how new challenges, regulations, or Congressional actions in the orphan drug space might affect our business.</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9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9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82" w:right="299" w:bottom="1440" w:gutter="0" w:footer="0" w:header="0"/>
        </w:sectPr>
      </w:pPr>
    </w:p>
    <w:bookmarkStart w:id="24" w:name="page25"/>
    <w:bookmarkEnd w:id="24"/>
    <w:p>
      <w:pPr>
        <w:jc w:val="both"/>
        <w:ind w:right="60"/>
        <w:spacing w:after="0" w:line="256" w:lineRule="auto"/>
        <w:rPr>
          <w:sz w:val="20"/>
          <w:szCs w:val="20"/>
          <w:color w:val="auto"/>
        </w:rPr>
      </w:pPr>
      <w:r>
        <w:rPr>
          <w:rFonts w:ascii="Arial" w:cs="Arial" w:eastAsia="Arial" w:hAnsi="Arial"/>
          <w:sz w:val="18"/>
          <w:szCs w:val="18"/>
          <w:color w:val="auto"/>
        </w:rPr>
        <w:t>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Ensifentrine may not gain market acceptance, in which case our ability to generate product revenues will be compromised.</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Even if the FDA, the EMA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ensifentrine is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frequency, and ease of administration;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pacing w:after="0" w:line="6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We currently have no marketing, sales or distribution infrastructure. If we are unable to develop sales, marketing and distribution capabilities on our own or through collaborations, we may not be successful in commercializing ensifentrine.</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ensifentrine is approved, we intend either to establish a sales and marketing organization with technical expertise and supporting distribution capabilities to commercialize ensifentrine, or to outsource this function to a third party. Either of these options would be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82" w:right="259" w:bottom="1440" w:gutter="0" w:footer="0" w:header="0"/>
        </w:sectPr>
      </w:pPr>
    </w:p>
    <w:bookmarkStart w:id="25" w:name="page26"/>
    <w:bookmarkEnd w:id="25"/>
    <w:p>
      <w:pPr>
        <w:spacing w:after="0" w:line="252"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9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If we fail to enter into new strategic relationships for ensifentrine, our business, research and development and commercialization prospects could be adversely affected.</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6" w:name="page27"/>
    <w:bookmarkEnd w:id="26"/>
    <w:p>
      <w:pPr>
        <w:ind w:right="440"/>
        <w:spacing w:after="0" w:line="262" w:lineRule="auto"/>
        <w:rPr>
          <w:sz w:val="20"/>
          <w:szCs w:val="20"/>
          <w:color w:val="auto"/>
        </w:rPr>
      </w:pPr>
      <w:r>
        <w:rPr>
          <w:rFonts w:ascii="Arial" w:cs="Arial" w:eastAsia="Arial" w:hAnsi="Arial"/>
          <w:sz w:val="18"/>
          <w:szCs w:val="18"/>
          <w:color w:val="auto"/>
        </w:rPr>
        <w:t>ensifentrine. For example, we may seek a collaborator for development of our DPI or pMDI formulation of ensifentrine for the maintenance treatment of COPD and potentially asthma and other respiratory diseases.</w:t>
      </w:r>
    </w:p>
    <w:p>
      <w:pPr>
        <w:spacing w:after="0" w:line="8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10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development of ensifentrine;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collaborator may experience financial difficulties;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117"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88" w:lineRule="exact"/>
        <w:rPr>
          <w:rFonts w:ascii="Arial" w:cs="Arial" w:eastAsia="Arial" w:hAnsi="Arial"/>
          <w:sz w:val="18"/>
          <w:szCs w:val="18"/>
          <w:color w:val="auto"/>
        </w:rPr>
      </w:pPr>
    </w:p>
    <w:p>
      <w:pPr>
        <w:ind w:left="660" w:right="340" w:hanging="328"/>
        <w:spacing w:after="0" w:line="29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collaboration may not provide sufficient funds to be profitable for us after we fulfill our payment obligations under our agreement with Ligand Pharmaceuticals, Inc., or Ligand, which acquired Vernalis Development Limited, or Vernalis, in October 2018.</w:t>
      </w:r>
    </w:p>
    <w:p>
      <w:pPr>
        <w:spacing w:after="0" w:line="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or CMOs, for the supply of cGMP-grade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very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7" w:name="page28"/>
    <w:bookmarkEnd w:id="27"/>
    <w:p>
      <w:pPr>
        <w:ind w:right="40"/>
        <w:spacing w:after="0" w:line="253" w:lineRule="auto"/>
        <w:rPr>
          <w:sz w:val="20"/>
          <w:szCs w:val="20"/>
          <w:color w:val="auto"/>
        </w:rPr>
      </w:pPr>
      <w:r>
        <w:rPr>
          <w:rFonts w:ascii="Arial" w:cs="Arial" w:eastAsia="Arial" w:hAnsi="Arial"/>
          <w:sz w:val="18"/>
          <w:szCs w:val="18"/>
          <w:color w:val="auto"/>
        </w:rPr>
        <w:t>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97" w:lineRule="exact"/>
        <w:rPr>
          <w:sz w:val="20"/>
          <w:szCs w:val="20"/>
          <w:color w:val="auto"/>
        </w:rPr>
      </w:pPr>
    </w:p>
    <w:p>
      <w:pPr>
        <w:jc w:val="both"/>
        <w:ind w:right="280"/>
        <w:spacing w:after="0" w:line="250"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control over the process or timing of the acquisition of these supplies by any CMO or its third-party suppliers, or the quality or quantity of such supplies.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we currently do not have any agreements for the commercial production of these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inhalation and nebulization devices we use for delivery of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w:t>
      </w:r>
    </w:p>
    <w:p>
      <w:pPr>
        <w:spacing w:after="0" w:line="10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11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8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pMDI, and the methods for treating patients with respiratory diseases using ensifentrine alone or in combination with other available products, or on in-licensing such rights. Our ensifentrine development program relies on the patents and patent applications assigned and know-how licensed from Ligand .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10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8" w:name="page29"/>
    <w:bookmarkEnd w:id="28"/>
    <w:p>
      <w:pPr>
        <w:spacing w:after="0" w:line="251" w:lineRule="auto"/>
        <w:rPr>
          <w:sz w:val="20"/>
          <w:szCs w:val="20"/>
          <w:color w:val="auto"/>
        </w:rPr>
      </w:pPr>
      <w:r>
        <w:rPr>
          <w:rFonts w:ascii="Arial" w:cs="Arial" w:eastAsia="Arial" w:hAnsi="Arial"/>
          <w:sz w:val="18"/>
          <w:szCs w:val="18"/>
          <w:color w:val="auto"/>
        </w:rPr>
        <w:t>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23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2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3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82" w:right="259" w:bottom="1440" w:gutter="0" w:footer="0" w:header="0"/>
        </w:sectPr>
      </w:pPr>
    </w:p>
    <w:bookmarkStart w:id="29" w:name="page30"/>
    <w:bookmarkEnd w:id="29"/>
    <w:p>
      <w:pPr>
        <w:ind w:right="20"/>
        <w:spacing w:after="0" w:line="252" w:lineRule="auto"/>
        <w:rPr>
          <w:sz w:val="20"/>
          <w:szCs w:val="20"/>
          <w:color w:val="auto"/>
        </w:rPr>
      </w:pPr>
      <w:r>
        <w:rPr>
          <w:rFonts w:ascii="Arial" w:cs="Arial" w:eastAsia="Arial" w:hAnsi="Arial"/>
          <w:sz w:val="18"/>
          <w:szCs w:val="18"/>
          <w:color w:val="auto"/>
        </w:rPr>
        <w:t>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26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2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 and ordinary shares.</w:t>
      </w:r>
    </w:p>
    <w:p>
      <w:pPr>
        <w:spacing w:after="0" w:line="23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17" w:right="239" w:bottom="1440" w:gutter="0" w:footer="0" w:header="0"/>
        </w:sectPr>
      </w:pPr>
    </w:p>
    <w:bookmarkStart w:id="30" w:name="page31"/>
    <w:bookmarkEnd w:id="30"/>
    <w:p>
      <w:pPr>
        <w:ind w:right="360"/>
        <w:spacing w:after="0" w:line="262" w:lineRule="auto"/>
        <w:rPr>
          <w:sz w:val="20"/>
          <w:szCs w:val="20"/>
          <w:color w:val="auto"/>
        </w:rPr>
      </w:pPr>
      <w:r>
        <w:rPr>
          <w:rFonts w:ascii="Arial" w:cs="Arial" w:eastAsia="Arial" w:hAnsi="Arial"/>
          <w:sz w:val="18"/>
          <w:szCs w:val="18"/>
          <w:color w:val="auto"/>
        </w:rPr>
        <w:t>expires or is finally determined to be invalid or unenforceable. Such licenses may not be available on reasonable terms, or at all, or may be non-exclusive thereby giving our competitors access to the same technologies licensed to us.</w:t>
      </w:r>
    </w:p>
    <w:p>
      <w:pPr>
        <w:spacing w:after="0" w:line="2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6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244"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2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fail to comply with our obligations under our existing and any future intellectual property licenses with third parties, we could lose license rights that are important to our business.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17" w:right="259" w:bottom="1440" w:gutter="0" w:footer="0" w:header="0"/>
        </w:sectPr>
      </w:pPr>
    </w:p>
    <w:bookmarkStart w:id="31" w:name="page32"/>
    <w:bookmarkEnd w:id="31"/>
    <w:p>
      <w:pPr>
        <w:jc w:val="both"/>
        <w:ind w:right="340"/>
        <w:spacing w:after="0" w:line="256" w:lineRule="auto"/>
        <w:rPr>
          <w:sz w:val="20"/>
          <w:szCs w:val="20"/>
          <w:color w:val="auto"/>
        </w:rPr>
      </w:pPr>
      <w:r>
        <w:rPr>
          <w:rFonts w:ascii="Arial" w:cs="Arial" w:eastAsia="Arial" w:hAnsi="Arial"/>
          <w:sz w:val="18"/>
          <w:szCs w:val="18"/>
          <w:color w:val="auto"/>
        </w:rPr>
        <w:t>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We may not be successful in maintaining the necessary rights to ensifentrine or obtaining other intellectual property rights important to our business through acquisitions and in-licenses.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competitive position may be adversely affected.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2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 years from its earliest U.S. non-provisional filing date. The issued patents covering the composition of matter for ensifentrine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6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17" w:right="239" w:bottom="1440" w:gutter="0" w:footer="0" w:header="0"/>
        </w:sectPr>
      </w:pPr>
    </w:p>
    <w:bookmarkStart w:id="32" w:name="page33"/>
    <w:bookmarkEnd w:id="32"/>
    <w:p>
      <w:pPr>
        <w:ind w:right="20"/>
        <w:spacing w:after="0" w:line="254" w:lineRule="auto"/>
        <w:rPr>
          <w:sz w:val="20"/>
          <w:szCs w:val="20"/>
          <w:color w:val="auto"/>
        </w:rPr>
      </w:pPr>
      <w:r>
        <w:rPr>
          <w:rFonts w:ascii="Arial" w:cs="Arial" w:eastAsia="Arial" w:hAnsi="Arial"/>
          <w:sz w:val="18"/>
          <w:szCs w:val="18"/>
          <w:color w:val="auto"/>
        </w:rPr>
        <w:t>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3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26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2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do not necessarily address all potential threats to our competitive 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17" w:right="239" w:bottom="1440" w:gutter="0" w:footer="0" w:header="0"/>
        </w:sectPr>
      </w:pPr>
    </w:p>
    <w:bookmarkStart w:id="33" w:name="page34"/>
    <w:bookmarkEnd w:id="33"/>
    <w:p>
      <w:pPr>
        <w:ind w:right="80"/>
        <w:spacing w:after="0" w:line="262"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15" w:lineRule="exact"/>
        <w:rPr>
          <w:sz w:val="20"/>
          <w:szCs w:val="20"/>
          <w:color w:val="auto"/>
        </w:rPr>
      </w:pPr>
    </w:p>
    <w:p>
      <w:pPr>
        <w:ind w:left="660" w:right="4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third parties may impair our ability to develop or commercialize our product candidates.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ind w:left="660" w:right="9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licensors or any future collaborators might not have been the first to file patent applications covering certain of our inventions.</w:t>
      </w:r>
    </w:p>
    <w:p>
      <w:pPr>
        <w:ind w:left="660" w:righ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ind w:left="660" w:right="1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 candidates or technologies could use the intellectual property of others without obtaining a proper license.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w:t>
      </w:r>
    </w:p>
    <w:p>
      <w:pPr>
        <w:spacing w:after="0" w:line="12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Changes in patent laws or patent jurisprudence could diminish the value of patents in general, thereby impairing our ability to protect ensifentrine or any future product candidates.</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25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2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26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17" w:right="239" w:bottom="1440" w:gutter="0" w:footer="0" w:header="0"/>
        </w:sectPr>
      </w:pPr>
    </w:p>
    <w:bookmarkStart w:id="34" w:name="page35"/>
    <w:bookmarkEnd w:id="34"/>
    <w:p>
      <w:pPr>
        <w:ind w:right="340"/>
        <w:spacing w:after="0" w:line="262" w:lineRule="auto"/>
        <w:rPr>
          <w:sz w:val="20"/>
          <w:szCs w:val="20"/>
          <w:color w:val="auto"/>
        </w:rPr>
      </w:pPr>
      <w:r>
        <w:rPr>
          <w:rFonts w:ascii="Arial" w:cs="Arial" w:eastAsia="Arial" w:hAnsi="Arial"/>
          <w:sz w:val="18"/>
          <w:szCs w:val="18"/>
          <w:color w:val="auto"/>
        </w:rPr>
        <w:t>the type of amendments that are allowed during prosecution. Complying with these laws and regulations could limit our ability to obtain new patents in the future that may be important for our business.</w:t>
      </w:r>
    </w:p>
    <w:p>
      <w:pPr>
        <w:spacing w:after="0" w:line="22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Confidentiality agreements with employees and others may not adequately prevent disclosure of trade secrets and protect other proprietary information.</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23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38" w:lineRule="exact"/>
        <w:rPr>
          <w:sz w:val="20"/>
          <w:szCs w:val="20"/>
          <w:color w:val="auto"/>
        </w:rPr>
      </w:pPr>
    </w:p>
    <w:p>
      <w:pPr>
        <w:ind w:right="740"/>
        <w:spacing w:after="0" w:line="269"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w:t>
      </w:r>
    </w:p>
    <w:p>
      <w:pPr>
        <w:sectPr>
          <w:pgSz w:w="11900" w:h="16838" w:orient="portrait"/>
          <w:cols w:equalWidth="0" w:num="1">
            <w:col w:w="11420"/>
          </w:cols>
          <w:pgMar w:left="240" w:top="517" w:right="2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17" w:right="239" w:bottom="1440" w:gutter="0" w:footer="0" w:header="0"/>
          <w:type w:val="continuous"/>
        </w:sectPr>
      </w:pPr>
    </w:p>
    <w:bookmarkStart w:id="35" w:name="page36"/>
    <w:bookmarkEnd w:id="35"/>
    <w:p>
      <w:pPr>
        <w:ind w:right="180"/>
        <w:spacing w:after="0" w:line="256" w:lineRule="auto"/>
        <w:rPr>
          <w:sz w:val="20"/>
          <w:szCs w:val="20"/>
          <w:color w:val="auto"/>
        </w:rPr>
      </w:pPr>
      <w:r>
        <w:rPr>
          <w:rFonts w:ascii="Arial" w:cs="Arial" w:eastAsia="Arial" w:hAnsi="Arial"/>
          <w:sz w:val="18"/>
          <w:szCs w:val="18"/>
          <w:color w:val="auto"/>
        </w:rPr>
        <w:t>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23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Our proprietary information, or that of our manufacturers, suppliers and other parties that we use to conduct our pre-clinical and clinical trials and any future collaborators, may be lost or we may suffer security breaches.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ordinary course of our business, we and our manufacturers, suppliers and third parties that we use to conduct our pre-clinical and clinical trials,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including the GDPR, regulatory penalties, disrupt our operations, damage our reputation, and cause a loss of confidence in us and our ability to conduct clinical trials, which could adversely affect our reputation and delay clinical development of our product candidates.</w:t>
      </w:r>
    </w:p>
    <w:p>
      <w:pPr>
        <w:spacing w:after="0" w:line="10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Our information technology systems, and that of our manufacturers, suppliers and other third parties that we use to conduct our pre-clinical and clinical trials, could experience serious disruptions that could distract our operations and cause delays in our research and development work.</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information technology and other internal infrastructure systems, including corporate firewalls, servers, leased lines and connection to the Internet, and that of our manufacturers, suppliers and other third parties that we use to conduct our pre-clinical and clinical trials,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and ability to compete depends on retaining our key personnel and recruiting additional qualified personnel.</w:t>
      </w:r>
    </w:p>
    <w:p>
      <w:pPr>
        <w:spacing w:after="0" w:line="30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been instrumental for us and have substantial experience with ensifentrine and related technologies. These key management individuals include our chief executive officer, Jan-Anders Karlsson, our chief financial officer, Piers Morgan, our general counsel, Claire Poll, our chief medical officer, Kathleen Rickard, our senior vice president, chemistry manufacturing and controls, Peter Spargo, our vice president, regulatory affairs, Desiree Luthman, our commercial director, Richard Hennings, and our vice president, R&amp;D operations and global project management, Tara Rheault.</w:t>
      </w:r>
    </w:p>
    <w:p>
      <w:pPr>
        <w:spacing w:after="0" w:line="26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23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color w:val="auto"/>
        </w:rPr>
        <w:t>We expect to expand our development, regulatory and sales and marketing capabilities, and as a result, we may encounter difficulties in managing our growth, which could disrupt our operations.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ADSs and Ordinary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ADSs and ordinary shares may be volatile and may fluctuate due to factors beyond our control.</w:t>
      </w: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and ordinary shares may fluctuate significantly due to a variety of factors, including:</w:t>
      </w:r>
    </w:p>
    <w:p>
      <w:pPr>
        <w:spacing w:after="0" w:line="12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positive or negative results from, or delays in, clinical trials of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our competitors’ businesses;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ensifentrine;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 or commentators;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ADSs or ordinary shares by us, our senior management or board members, and significant holders of our ADSs or ordinary shares; or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4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238" w:lineRule="exact"/>
        <w:rPr>
          <w:sz w:val="20"/>
          <w:szCs w:val="20"/>
          <w:color w:val="auto"/>
        </w:rPr>
      </w:pPr>
    </w:p>
    <w:p>
      <w:pPr>
        <w:ind w:right="920"/>
        <w:spacing w:after="0" w:line="318" w:lineRule="auto"/>
        <w:rPr>
          <w:sz w:val="20"/>
          <w:szCs w:val="20"/>
          <w:color w:val="auto"/>
        </w:rPr>
      </w:pPr>
      <w:r>
        <w:rPr>
          <w:rFonts w:ascii="Arial" w:cs="Arial" w:eastAsia="Arial" w:hAnsi="Arial"/>
          <w:sz w:val="17"/>
          <w:szCs w:val="17"/>
          <w:b w:val="1"/>
          <w:bCs w:val="1"/>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U.S. public company, and particularly after we no longer qualify as an emerging growth company, or EGC, we will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26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5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 report by our senior management on our internal control over financial reporting. However, while we remain an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95" w:right="279" w:bottom="1440" w:gutter="0" w:footer="0" w:header="0"/>
        </w:sectPr>
      </w:pPr>
    </w:p>
    <w:bookmarkStart w:id="37" w:name="page38"/>
    <w:bookmarkEnd w:id="37"/>
    <w:p>
      <w:pPr>
        <w:ind w:right="40"/>
        <w:spacing w:after="0" w:line="253" w:lineRule="auto"/>
        <w:rPr>
          <w:sz w:val="20"/>
          <w:szCs w:val="20"/>
          <w:color w:val="auto"/>
        </w:rPr>
      </w:pPr>
      <w:r>
        <w:rPr>
          <w:rFonts w:ascii="Arial" w:cs="Arial" w:eastAsia="Arial" w:hAnsi="Arial"/>
          <w:sz w:val="18"/>
          <w:szCs w:val="18"/>
          <w:color w:val="auto"/>
        </w:rPr>
        <w:t>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dual listing of our ordinary shares and our ADSs may adversely affect the liquidity and value of our ordinary shares and ADSs.</w:t>
      </w: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ADSs are listed on Nasdaq, and our ordinary shares are admitted to trading on AIM. The dual listing of our ADSs and ordinary shares may dilute the liquidity of these securities in one or both markets and may adversely affect the trading market or price for our ADSs or ordinary shares.</w:t>
      </w:r>
    </w:p>
    <w:p>
      <w:pPr>
        <w:spacing w:after="0" w:line="23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December 31, 2018, our senior management, board of directors and greater than 5% shareholders and their respective affiliates, in the aggregate, owned approximately 62% of our ordinary shares (including ordinary shares represented by ADSs) assuming no exercise of outstanding options or warrants, and approximately 67% of our ordinary shares, assuming exercise of all options available for exercise and outstanding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24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Future sales, or the possibility of future sales, of a substantial number of our ADSs or ordinary shares could adversely affect the price of our ADSs and ordinary shares.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Future sales of a substantial number of our ADSs, or the perception that such sales will occur, could cause a decline in the market price of our ADSs and ordinary shares.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or ordinary shares and our ability to raise capital through an issue of equity securities in the future could be adversely affected.</w:t>
      </w:r>
    </w:p>
    <w:p>
      <w:pPr>
        <w:spacing w:after="0" w:line="238"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24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color w:val="auto"/>
        </w:rPr>
        <w:t>Securities traded on AIM may carry a higher risk than securities traded on other exchanges, which may impact the value of our investors' investments.</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w:t>
      </w:r>
    </w:p>
    <w:p>
      <w:pPr>
        <w:sectPr>
          <w:pgSz w:w="11900" w:h="16838" w:orient="portrait"/>
          <w:cols w:equalWidth="0" w:num="1">
            <w:col w:w="11380"/>
          </w:cols>
          <w:pgMar w:left="240" w:top="517" w:right="279" w:bottom="1440" w:gutter="0" w:footer="0" w:header="0"/>
        </w:sect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517" w:right="279" w:bottom="1440" w:gutter="0" w:footer="0" w:header="0"/>
          <w:type w:val="continuous"/>
        </w:sectPr>
      </w:pPr>
    </w:p>
    <w:bookmarkStart w:id="38" w:name="page39"/>
    <w:bookmarkEnd w:id="38"/>
    <w:p>
      <w:pPr>
        <w:ind w:right="540"/>
        <w:spacing w:after="0" w:line="262" w:lineRule="auto"/>
        <w:rPr>
          <w:sz w:val="20"/>
          <w:szCs w:val="20"/>
          <w:color w:val="auto"/>
        </w:rPr>
      </w:pPr>
      <w:r>
        <w:rPr>
          <w:rFonts w:ascii="Arial" w:cs="Arial" w:eastAsia="Arial" w:hAnsi="Arial"/>
          <w:sz w:val="18"/>
          <w:szCs w:val="18"/>
          <w:color w:val="auto"/>
        </w:rPr>
        <w:t>market price of our ordinary shares, our ADSs, or of the ordinary shares underlying our ADSs, may not reflect the underlying value of our company.</w:t>
      </w: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Holders of our ADSs may not have the same voting rights as the holders of our ordinary shares and may not receive voting materials in time to be able to exercise their right to vote.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23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Holders of our ADSs may not receive distributions on our ordinary shares represented by our ADSs or any value for them if it is illegal or impractical to make them available to them.</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ADSs may be subject to limitations on transfer of their ADSs.</w:t>
      </w:r>
    </w:p>
    <w:p>
      <w:pPr>
        <w:spacing w:after="0" w:line="3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 of our shareholders may differ from the rights typically offered to shareholders of a U.S. corporation.</w:t>
      </w:r>
    </w:p>
    <w:p>
      <w:pPr>
        <w:spacing w:after="0" w:line="30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30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w:t>
      </w:r>
    </w:p>
    <w:p>
      <w:pPr>
        <w:sectPr>
          <w:pgSz w:w="11900" w:h="16838" w:orient="portrait"/>
          <w:cols w:equalWidth="0" w:num="1">
            <w:col w:w="11420"/>
          </w:cols>
          <w:pgMar w:left="240" w:top="517" w:right="2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17" w:right="239" w:bottom="1440" w:gutter="0" w:footer="0" w:header="0"/>
          <w:type w:val="continuous"/>
        </w:sectPr>
      </w:pPr>
    </w:p>
    <w:bookmarkStart w:id="39" w:name="page40"/>
    <w:bookmarkEnd w:id="39"/>
    <w:p>
      <w:pPr>
        <w:ind w:right="60"/>
        <w:spacing w:after="0" w:line="253" w:lineRule="auto"/>
        <w:rPr>
          <w:sz w:val="20"/>
          <w:szCs w:val="20"/>
          <w:color w:val="auto"/>
        </w:rPr>
      </w:pPr>
      <w:r>
        <w:rPr>
          <w:rFonts w:ascii="Arial" w:cs="Arial" w:eastAsia="Arial" w:hAnsi="Arial"/>
          <w:sz w:val="18"/>
          <w:szCs w:val="18"/>
          <w:color w:val="auto"/>
        </w:rPr>
        <w:t>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6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We qualify as a foreign private issuer and, as a result, we are not subject to U.S. proxy rules and are subject to reporting obligations under the Exchange Act that, to some extent, are more lenient and less frequent than those of a U.S. domestic public company.</w:t>
      </w:r>
    </w:p>
    <w:p>
      <w:pPr>
        <w:spacing w:after="0" w:line="22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report under the Exchange Act as a non-U.S. company with foreign private issuer status. Because we qualify as a foreign private issuer,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ind w:firstLine="8"/>
        <w:spacing w:after="0" w:line="251" w:lineRule="auto"/>
        <w:tabs>
          <w:tab w:leader="none" w:pos="2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a foreign private issuer, we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our investors may not have the same protections afforded to shareholders of companies that are not foreign private issuers.</w:t>
      </w:r>
    </w:p>
    <w:p>
      <w:pPr>
        <w:spacing w:after="0" w:line="2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As a foreign private issuer and as permitted by the listing requirements of Nasdaq, we rely on certain home country governance practices rather than the corporate governance requirements of Nasdaq.</w:t>
      </w:r>
    </w:p>
    <w:p>
      <w:pPr>
        <w:spacing w:after="0" w:line="22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a foreign private issuer, in accordance with the listing requirements of Nasdaq, we follow our home country governance requirements and certain exemptions thereunder rather than the corporate governance requirements of Nasdaq.</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disclose any waivers of its code of conduct for directors or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an independent nominating committee and compensation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5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Because we are exempt from certain Nasdaq governance requirements, our ADS holders may not have the same protections afforded to shareholders of companies that are subject to these Nasdaq requirements.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17" w:right="239" w:bottom="1440" w:gutter="0" w:footer="0" w:header="0"/>
        </w:sectPr>
      </w:pPr>
    </w:p>
    <w:bookmarkStart w:id="40" w:name="page41"/>
    <w:bookmarkEnd w:id="40"/>
    <w:p>
      <w:pPr>
        <w:ind w:right="280"/>
        <w:spacing w:after="0" w:line="287" w:lineRule="auto"/>
        <w:rPr>
          <w:sz w:val="20"/>
          <w:szCs w:val="20"/>
          <w:color w:val="auto"/>
        </w:rPr>
      </w:pPr>
      <w:r>
        <w:rPr>
          <w:rFonts w:ascii="Arial" w:cs="Arial" w:eastAsia="Arial" w:hAnsi="Arial"/>
          <w:sz w:val="18"/>
          <w:szCs w:val="18"/>
          <w:b w:val="1"/>
          <w:bCs w:val="1"/>
          <w:color w:val="auto"/>
        </w:rPr>
        <w:t>We may lose our foreign private issuer status, which would then require us to comply with the Exchange Act's domestic reporting regime and cause us to incur significant legal, accounting and other expenses.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a foreign private issuer, we are not required to comply with all of the periodic disclosure and current reporting requirements of the Exchange Act applicable to U.S. domestic issuers. In order to maintain our current status as a foreign private issuer, either (a) a majority of our ADSs must be either directly or indirectly owned of record by holders who are not U.S. residents or (b)(i) a majority of our executive officers or directors are not U.S. citizens or residents, (ii) more than 50 percent of our assets are located outside the United States and (iii) our business is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4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ADSs or ordinary shares less attractive to investors.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as long as we continue to be an EGC, we may take advantage of exemptions from various reporting requirements that are applicable to other public companies that are not EGCs,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and from having to disclose the ratio of compensation of our chief executive officer to the median compensation of our employee. We may take advantage of these exemptions until we are no longer an EGC. We could be an EGC for up to five years, although circumstances could cause us to lose that status earlier, including if the aggregate market value of our ADSs and ordinary shares held by non-affiliates exceeds $700 million as of any June 30 (the end of our second fiscal quarter), in which case we would no longer be an emerging growth company as of the following December 31 (our fiscal year-end).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244"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24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2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connection with the preparation for the initial public offering of our ADSs, we reassessed our critical accounting policies to ensure compliance with International Financial Reporting Standards. As part of this reassessment, we identified errors relating to the recognition of assumed liabilities and goodwill in connection with the acquisition of Rhinopharma in September 2006. We concluded that, for the year ended December 31, 2016, a lack of adequate controls surrounding our historical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95" w:right="259" w:bottom="1440" w:gutter="0" w:footer="0" w:header="0"/>
        </w:sectPr>
      </w:pPr>
    </w:p>
    <w:bookmarkStart w:id="41" w:name="page42"/>
    <w:bookmarkEnd w:id="41"/>
    <w:p>
      <w:pPr>
        <w:ind w:right="260"/>
        <w:spacing w:after="0" w:line="253" w:lineRule="auto"/>
        <w:rPr>
          <w:sz w:val="20"/>
          <w:szCs w:val="20"/>
          <w:color w:val="auto"/>
        </w:rPr>
      </w:pPr>
      <w:r>
        <w:rPr>
          <w:rFonts w:ascii="Arial" w:cs="Arial" w:eastAsia="Arial" w:hAnsi="Arial"/>
          <w:sz w:val="18"/>
          <w:szCs w:val="18"/>
          <w:color w:val="auto"/>
        </w:rPr>
        <w:t>possibility that a material misstatement of the company's annual or interim financial statements will not be prevented or detected in a timely basis. We addressed the underlying causes of the material weakness by hiring a new chief financial officer, enhancing our financial reporting team's technical accounting knowledge associated with the accounting rules for business combinations, implementing additional internal controls and engaging expert external consultants for additional technical support. However, we cannot be certain that these efforts will be sufficient to prevent future material weaknesses or significant deficiencies from occurring.</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EGC,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21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We may have inadvertently violated Section 13(k) of the Exchange Act (implementing Section 402 of the Sarbanes-Oxley Act of 2002) and may be subject to sanctions as a result.</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23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securities or industry analysts or commentators publish inaccurate or unfavorable research, about our business, the price of our ADSs and ordinary shares and our trading volume could decline.</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trading market for our ADSs and ordinary shares depends in part on the research and reports that securities or industry analysts or commentators publish about us or our business. If one or more of the analysts who cover us downgrade our ADSs or ordinary shares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238" w:lineRule="exact"/>
        <w:rPr>
          <w:sz w:val="20"/>
          <w:szCs w:val="20"/>
          <w:color w:val="auto"/>
        </w:rPr>
      </w:pPr>
    </w:p>
    <w:p>
      <w:pPr>
        <w:jc w:val="both"/>
        <w:ind w:right="400"/>
        <w:spacing w:after="0" w:line="269" w:lineRule="auto"/>
        <w:rPr>
          <w:sz w:val="20"/>
          <w:szCs w:val="20"/>
          <w:color w:val="auto"/>
        </w:rPr>
      </w:pPr>
      <w:r>
        <w:rPr>
          <w:rFonts w:ascii="Arial" w:cs="Arial" w:eastAsia="Arial" w:hAnsi="Arial"/>
          <w:sz w:val="18"/>
          <w:szCs w:val="18"/>
          <w:b w:val="1"/>
          <w:bCs w:val="1"/>
          <w:color w:val="auto"/>
        </w:rPr>
        <w:t>We believe we will likely be classified as a passive foreign investment company for U.S. federal income tax purposes for the year ended December 31, 2018, which could result in adverse U.S. federal income tax consequences to U.S. investors in our ordinary shares or ADSs.</w:t>
      </w:r>
    </w:p>
    <w:p>
      <w:pPr>
        <w:spacing w:after="0" w:line="2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Because we did not earn revenue from our business operations during the year ended December 31, 2018, and because our sole source of income currently is interest on bank accounts held by us, we believe we will likely be classified as a "passive foreign investment company," or PFIC, for the taxable year ended December 31, 2018.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 is eligible for the benefits of the income tax treaty between the United Kingdom and the United States and is a citizen or individual resident of the United States, a corporation, or other entity taxable as a corporation, created or organized in or under the laws of the United States, any state therein or the District of Columbia; or an estate or trust the income of which is subject to U.S. federal income taxation regardless of its source. See Item 9.E Taxation.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17" w:right="239" w:bottom="1440" w:gutter="0" w:footer="0" w:header="0"/>
        </w:sectPr>
      </w:pPr>
    </w:p>
    <w:bookmarkStart w:id="42" w:name="page43"/>
    <w:bookmarkEnd w:id="42"/>
    <w:p>
      <w:pPr>
        <w:ind w:right="300"/>
        <w:spacing w:after="0" w:line="287" w:lineRule="auto"/>
        <w:rPr>
          <w:sz w:val="20"/>
          <w:szCs w:val="20"/>
          <w:color w:val="auto"/>
        </w:rPr>
      </w:pPr>
      <w:r>
        <w:rPr>
          <w:rFonts w:ascii="Arial" w:cs="Arial" w:eastAsia="Arial" w:hAnsi="Arial"/>
          <w:sz w:val="18"/>
          <w:szCs w:val="18"/>
          <w:b w:val="1"/>
          <w:bCs w:val="1"/>
          <w:color w:val="auto"/>
        </w:rPr>
        <w:t>If a United States person is treated as owning at least 10% of our ordinary shares or ADSs, such holder may be subject to adverse U.S. federal income tax consequences.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If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the reporting and tax paying obligations described in this risk factor. United States shareholders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Our principal office is located at 3 More London Riverside, London SE1 2RE, United Kingdom, and our telephone number is +(44) 203 283 4200. The principal legislation under which we operate is the Companies Act 2006.</w:t>
      </w:r>
    </w:p>
    <w:p>
      <w:pPr>
        <w:spacing w:after="0" w:line="20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Our agent for service of process in the United States is Cogency Global Inc., whose address is 10 E. 40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Street, 10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New York 10016.</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principal capital expenditures for the year ended December 31, 2018 were £0.3 million. These capital expenditures primarily consisted of patent costs. We expect our expenditure on patent costs to increase in the near term as we continue to advance our research and development programs for ensifentrine and grow our operations. We anticipate our capital expenditure in 2019 to be financed from our current cash and short term investments resources. For more information on our capital expenditures, see Item 5.B. Liquidity and Capital Resources —Capital Expenditures.</w:t>
      </w:r>
    </w:p>
    <w:p>
      <w:pPr>
        <w:spacing w:after="0" w:line="9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such as we, that file electronically, with the SEC at </w:t>
      </w:r>
      <w:r>
        <w:rPr>
          <w:rFonts w:ascii="Arial" w:cs="Arial" w:eastAsia="Arial" w:hAnsi="Arial"/>
          <w:sz w:val="18"/>
          <w:szCs w:val="18"/>
          <w:i w:val="1"/>
          <w:iCs w:val="1"/>
          <w:u w:val="single" w:color="auto"/>
          <w:color w:val="0563C1"/>
        </w:rPr>
        <w:t>www.sec.gov</w:t>
      </w:r>
      <w:r>
        <w:rPr>
          <w:rFonts w:ascii="Arial" w:cs="Arial" w:eastAsia="Arial" w:hAnsi="Arial"/>
          <w:sz w:val="18"/>
          <w:szCs w:val="18"/>
          <w:color w:val="auto"/>
        </w:rPr>
        <w:t xml:space="preserve">. Our website address is </w:t>
      </w:r>
      <w:r>
        <w:rPr>
          <w:rFonts w:ascii="Arial" w:cs="Arial" w:eastAsia="Arial" w:hAnsi="Arial"/>
          <w:sz w:val="18"/>
          <w:szCs w:val="18"/>
          <w:i w:val="1"/>
          <w:iCs w:val="1"/>
          <w:color w:val="auto"/>
        </w:rPr>
        <w:t>www.veronapharma.com</w:t>
      </w:r>
      <w:r>
        <w:rPr>
          <w:rFonts w:ascii="Arial" w:cs="Arial" w:eastAsia="Arial" w:hAnsi="Arial"/>
          <w:sz w:val="18"/>
          <w:szCs w:val="18"/>
          <w:color w:val="auto"/>
        </w:rPr>
        <w:t>. Information contained on, or that can be accessed through, our website does not constitute a part of this Annual Report. We have included our website address in this Annual Report solely as an inactive textual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(RPL554) is an investigational, potential first-in-class, inhaled, dual inhibitor of the enzymes phosphodiesterase 3 and 4, or PDE3 and PDE4, that is designed to act as both a bronchodilator and an anti-inflammatory agent. We are not aware of any other product formulated in a single compound in clinical development or approved by the U.S. Food and Drug Administration, or FDA, or the European Medicines Agency, or EMA, for the treatment of respiratory diseases as both a bronchodilator and anti-inflammatory agent. We believe ensifentrine has the potential to be the first novel class of bronchodilator in over 40 years. A nebulized formulation of ensifentrine is currently in Phase 2 clinical development for the treatment of COPD. Successful Phase 1 and 2 studies have been completed with nebulized ensifentrine in healthy volunteers and in patients with cystic fibrosis, or CF, chronic asthma and allergic rhinitis, in addition to COPD. A Phase 2 study in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95" w:right="239" w:bottom="1440" w:gutter="0" w:footer="0" w:header="0"/>
        </w:sectPr>
      </w:pPr>
    </w:p>
    <w:bookmarkStart w:id="43" w:name="page44"/>
    <w:bookmarkEnd w:id="43"/>
    <w:p>
      <w:pPr>
        <w:ind w:right="540"/>
        <w:spacing w:after="0" w:line="256" w:lineRule="auto"/>
        <w:rPr>
          <w:sz w:val="20"/>
          <w:szCs w:val="20"/>
          <w:color w:val="auto"/>
        </w:rPr>
      </w:pPr>
      <w:r>
        <w:rPr>
          <w:rFonts w:ascii="Arial" w:cs="Arial" w:eastAsia="Arial" w:hAnsi="Arial"/>
          <w:sz w:val="18"/>
          <w:szCs w:val="18"/>
          <w:color w:val="auto"/>
        </w:rPr>
        <w:t>COPD with ensifentrine formulated in a dry powder inhaler is ongoing, and a Phase 2 study in COPD with ensifentrine formulated in a pressurized metered dose inhaler is planned to commence in 2019. We intend to first develop ensifentrine as a nebulized therapy for the treatment of COPD.</w:t>
      </w:r>
    </w:p>
    <w:p>
      <w:pPr>
        <w:spacing w:after="0" w:line="2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past 40 years, the treatment of COPD has been dominated by three classes of inhaled therapies approved for use by the FDA or EMA: antimuscarinic agents and beta2-agonists, both available as either short-acting or long-acting bronchodilators, and inhaled corticosteroids, or ICS, known for their anti-inflammatory effects. However, despite existing treatment with one or multiple combinations of these therapies, and owing to the progressive and incurable nature of COPD, many COPD patients on maximum inhaled therapy still experience significant lung function impairment and symptoms for which limited further approved treatment options are available. One such treatment is an oral formulation of a PDE4 inhibitor with anti-inflammatory properties, although frequency of adverse events has limited its use in COPD patients.</w:t>
      </w:r>
    </w:p>
    <w:p>
      <w:pPr>
        <w:spacing w:after="0" w:line="26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Despite treatment with currently approved therapies, many patients with COPD experience daily symptoms impairing their quality of life. Airway obstruction and air trapping due to narrow air passages are major causes of debilitating breathlessness (dyspnea) reducing the patient's physical ability and causing anxiety and depression. Of the patients treated with dual bronchodilator (long-acting antimuscarinic agents, or LAMA/long-acting beta2 agonists, or LABA) and triple therapy (LAMA/LABA/ICS), research suggests that up to 40% (approximately 800,000 patients in the United States alone) are uncontrolled, remaining symptomatic and at an increased risk of exacerbations. Existing anti-inflammatory therapies used in COPD, ICS and the oral PDE4 inhibitor, roflumilast, have been shown to be effective in only subsets of COPD patients. Furthermore, significant side effects and adverse events such as pneumonia are associated with inhaled or systemic corticosteroid use, and significant gastrointestinal side effects are associated with roflumilast, which can limit compliance. Thus we believe there is a need for alternative anti-inflammatory therapies.</w:t>
      </w:r>
    </w:p>
    <w:p>
      <w:pPr>
        <w:spacing w:after="0" w:line="2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Ensifentrine is an investigational, potential first-in-class, inhaled, dual inhibitor of phosphodiesterase, or PDE, enzymes PDE3 and PDE4. PDEs are well known and validated therapeutic targets, and many PDE inhibitors, with different specificities, are currently available in the market for a range of indications. PDE3 is present in airways and the lung, and inhibition of this enzyme is primarily responsible for the bronchodilatory action of ensifentrine. PDE4 is predominantly found in inflammatory and epithelial cells, and inhibition of this enzyme contributes to ensifentrine's anti-inflammatory design. PDEs metabolize the critical signaling molecules, cyclic adenosine monophosphate, or cAMP, and cyclic guanosine monophosphate, or cGMP. By inhibiting PDE3 and PDE4, ensifentrine is designed to increase the levels of cAMP and cGMP, resulting in bronchodilator and anti-inflammatory effects. Ensifentrine is also designed to stimulate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 Ensifentrine is designed to target multiple aspects of respiratory diseases such as COPD and CF through its combined bronchodilatory, anti-inflammatory and mucociliary clearance mechanisms.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17" w:right="2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328930</wp:posOffset>
            </wp:positionV>
            <wp:extent cx="5694045" cy="308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COPD patients are commonly treated with bronchodilators, which seek to relieve airway constriction and make it easier to breathe, and ICS, which seek to reduce lung inflammation. For patients with more severe disease who experience recurrent exacerbations, and for whom ICS are not effective, an oral formulation of a PDE4 inhibitor, which is an anti-inflammatory agent, may also be used. Despite these therapies, many COPD patients continue to suffer exacerbations and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2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our pre-clinical studies, we believe that ensifentrine also has the potential to reduce the deleterious inflammation in CF patients, which seems to be largely driven by neutrophils, to reduce airway obstruction through bronchodilation and to enhance mucociliary clearance through stimulation of the CFTR on airway epithelial cells. We believe the bronchodilator and anti-inflammatory properties of ensifentrine, combined with its ability to decrease mucus viscosity thereby improving mucociliary clearance, suggest that inhibition of PDE3 and PDE4 is an attractive therapeutic strategy to treat CF.</w:t>
      </w:r>
    </w:p>
    <w:p>
      <w:pPr>
        <w:spacing w:after="0" w:line="26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Furthermore, ensifentrine may be a suitable treatment for patients with asthma. Asthma is also an inflammatory disease of the airways and causes symptoms such as shortness of breath and cough that vary over time in their frequency and intensity. These symptoms are associated with patients having difficulty breathing due to reversible airway obstruction, airway wall thickening, and mucus production. Asthma attacks can be triggered by allergens, infections, stress etc and by certain drugs. Such exacerbations may occur even if patients are taking their medications, especially in those that are more severe. We believe ensifentrine’s bronchodilator and anti-inflammatory properties may be useful also in patients with asthma.</w:t>
      </w:r>
    </w:p>
    <w:p>
      <w:pPr>
        <w:spacing w:after="0" w:line="26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have completed 13 Phase 1 and Phase 2 clinical trials with ensifentrine which have enrolled over 800 subjects with COPD, asthma, cystic fibrosis, or allergic rhinitis or healthy volunteers. In our clinical trials, treatment with ensifentrine has been repeatedly observed to result in statistically significant improvements in lung function as compared to placebo, whether dosed alone or in combination with commonly used short- and long-acting classes of bronchodilators, with or without ICS. Statistically significant means that there is a low statistical probability, typically less than 5%, that the observed results occurred by chance alone. In our Phase 2b clinical trial of nebulized ensifentrine as a maintenance treatment for COPD, patients with moderate-to-severe COPD treated with ensifentrine showed clinically meaningful and statistically significant improvements in daily reported COPD symptom scores. In addition, our clinical trials have also shown clinically meaningful and statistically significant additional improvements in certain measures of lung function following combined treatment with ensifentrine as add-on to other approved bronchodilators; COPD patients experienced a marked reduction in residual lung volume, which is believed to be related to one of the most debilitating symptoms, breathlessness. The rapid onset of action observed when adding ensifentrine on top of tiotropium, a commonly used LAMA, was also notable, and may be particularly helpful to those patients suffering from morning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40" w:right="259" w:bottom="1440" w:gutter="0" w:footer="0" w:header="0"/>
        </w:sectPr>
      </w:pPr>
    </w:p>
    <w:bookmarkStart w:id="45" w:name="page46"/>
    <w:bookmarkEnd w:id="45"/>
    <w:p>
      <w:pPr>
        <w:ind w:right="920"/>
        <w:spacing w:after="0" w:line="262" w:lineRule="auto"/>
        <w:rPr>
          <w:sz w:val="20"/>
          <w:szCs w:val="20"/>
          <w:color w:val="auto"/>
        </w:rPr>
      </w:pPr>
      <w:r>
        <w:rPr>
          <w:rFonts w:ascii="Arial" w:cs="Arial" w:eastAsia="Arial" w:hAnsi="Arial"/>
          <w:sz w:val="18"/>
          <w:szCs w:val="18"/>
          <w:color w:val="auto"/>
        </w:rPr>
        <w:t>breathlessness. We believe that the clinical effects observed with ensifentrine are driven by its bronchodilator, anti-inflammatory and mucociliary clearance mechanisms.</w:t>
      </w:r>
    </w:p>
    <w:p>
      <w:pPr>
        <w:spacing w:after="0" w:line="25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Ensifentrine has been observed to be well tolerated in our clinical trials to date and has not been observed to result in the gastrointestinal or other side effects commonly associated with roflumilast (Daxas/Daliresp), the only PDE4 inhibitor currently on the market for the treatment of COPD.</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believe ensifentrine, having shown improvement in forced expiratory volume in one second, or FEV</w:t>
      </w:r>
      <w:r>
        <w:rPr>
          <w:rFonts w:ascii="Arial" w:cs="Arial" w:eastAsia="Arial" w:hAnsi="Arial"/>
          <w:sz w:val="21"/>
          <w:szCs w:val="21"/>
          <w:color w:val="auto"/>
          <w:vertAlign w:val="subscript"/>
        </w:rPr>
        <w:t>1</w:t>
      </w:r>
      <w:r>
        <w:rPr>
          <w:rFonts w:ascii="Arial" w:cs="Arial" w:eastAsia="Arial" w:hAnsi="Arial"/>
          <w:sz w:val="18"/>
          <w:szCs w:val="18"/>
          <w:color w:val="auto"/>
        </w:rPr>
        <w:t>, a measure of lung function, and symptoms (which commonly are a precursor to exacerbations) in clinical trials, may be an attractive additional treatment for COPD patients. In the United States, approximately three million COPD patients are treated with single bronchodilator (either a LAMA or LABA) therapy. In our clinical trials, ensifentrine has been observed to improve lung function, measured by FEV</w:t>
      </w:r>
      <w:r>
        <w:rPr>
          <w:rFonts w:ascii="Arial" w:cs="Arial" w:eastAsia="Arial" w:hAnsi="Arial"/>
          <w:sz w:val="21"/>
          <w:szCs w:val="21"/>
          <w:color w:val="auto"/>
          <w:vertAlign w:val="subscript"/>
        </w:rPr>
        <w:t>1</w:t>
      </w:r>
      <w:r>
        <w:rPr>
          <w:rFonts w:ascii="Arial" w:cs="Arial" w:eastAsia="Arial" w:hAnsi="Arial"/>
          <w:sz w:val="18"/>
          <w:szCs w:val="18"/>
          <w:color w:val="auto"/>
        </w:rPr>
        <w:t>, and residual volume, when used in addition to existing approved bronchodilators, and we believe it is well placed to potentially meet the need for a safe and effective dual bronchodilator/anti-inflammatory treatment regimen as an add-on to, for example, a LAMA. Furthermore, in the United States, approximately another two million COPD patients are treated with dual bronchodilator therapy (LAMA/LABA) with or without ICS. In January 2019, we announced results from our Phase 2 clinical trial evaluating nebulized ensifentrine administered twice daily on top of treatment with tiotropium and olodaterol. Treatment with ensifentrine showed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particularly after the second dose in the evening, which we believe suggests that ensifentrine could be an effective addition to dual bronchodilator therapy, in particular during the second half of the day following treatment, when patients may derive less benefit from their LAMA/LABA dual bronchodilator therapy.</w:t>
      </w:r>
    </w:p>
    <w:p>
      <w:pPr>
        <w:spacing w:after="0" w:line="2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also developing nebulized ensifentrine for the treatment of patients with CF. We believe ensifentrine, if approved, has the potential to become a novel treatment option for these patients. We may also explore, alone or with a collaborator, the development of ensifentrine to treat asthma and other respiratory diseases.</w:t>
      </w:r>
    </w:p>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there is a need for nebulized therapies for COPD, as well as more convenient handheld inhalers such as a dry powder inhaler, or DPI, or pressurized metered-dose inhaler, or pMDI. Initially, we are developing ensifentrine in a nebulized formulation for the maintenance treatment of COPD patients. Patients with moderate to severe COPD, who tend to suffer more frequent symptoms and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w:t>
      </w:r>
    </w:p>
    <w:p>
      <w:pPr>
        <w:spacing w:after="0" w:line="26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also are developing ensifentrine in both DPI, and pMDI, formulations for the maintenance treatment of COPD. Handheld DPI and pMDI devices are the most common forms of drug delivery in non-hospitalized patients with COPD and are well suited for maintenance therapy. About 5.5 million COPD patients in the United States are believed to use such devices. We believe the development of DPI and pMDI formulations has the potential to substantially increase the market opportunity for ensifentrine, if approved, for the maintenance treatment of COPD.</w:t>
      </w:r>
    </w:p>
    <w:p>
      <w:pPr>
        <w:spacing w:after="0" w:line="26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addition, we may explore the development of ensifentrine in DPI and pMDI formulations for the treatment of asthma and other respiratory diseases.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DEVELOPMENT OF NEBULIZED ENSIFENTRINE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of ensifentrine in COPD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five studies with a nebulized suspension formulation of ensifentrine in patients with moderate-to-severe COPD.</w:t>
      </w:r>
    </w:p>
    <w:p>
      <w:pPr>
        <w:spacing w:after="0" w:line="2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conducted a Phase 1 randomized, double-blind, placebo controlled study in which single ascending doses of ensifentrine in the range 1.5 mg to 24 mg were administered to 35 healthy subjects, multiple ascending doses in the range 6 mg to 24 mg twice daily for up to 5.5 days were administered to 21 healthy subjects and multiple ascending doses in the range 1.5 mg to 12 mg twice daily for 5.5 days were administered to 23 COPD patients. In this study, ensifentrine was observed to be well tolerated and showed an increase in FEV1 up to 25% in COPD patients.</w:t>
      </w:r>
    </w:p>
    <w:p>
      <w:pPr>
        <w:spacing w:after="0" w:line="25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conducted a Phase 2, randomized, double-blind, double-dummy, placebo controlled, six-way complete block crossover study in 36 patients with moderate-to-severe COPD. Patients received albuterol (200 mg), ipratropium (40 mg) or placebo pMDI followed immediately by nebulized ensifentrine (6 mg) or placebo. As shown in the graph below, ensifentrine alone was as effective as albuterol or ipratropium as a bronchodilator, and treatment with ensifentrine showed a significant additive bronchodilation (peak and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8 hours) when dosed with either albuterol or ipratropium (p&lt;0.001 compared to albuterol or ipratropium alone). Ensifentrine also resulted in an additive and significant reduction in lung volume and airway resistance.</w:t>
      </w:r>
    </w:p>
    <w:p>
      <w:pPr>
        <w:sectPr>
          <w:pgSz w:w="11900" w:h="16838" w:orient="portrait"/>
          <w:cols w:equalWidth="0" w:num="1">
            <w:col w:w="11420"/>
          </w:cols>
          <w:pgMar w:left="240" w:top="517" w:right="2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17" w:right="23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5694045" cy="3207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We conducted a Phase 2a crossover study in 30 patients with moderate-to-severe COPD to examine the effect of ensifentrine when added to a standard dose of a single bronchodilator (LAMA, tiotropium or Spiriva</w:t>
      </w:r>
      <w:r>
        <w:rPr>
          <w:rFonts w:ascii="Arial" w:cs="Arial" w:eastAsia="Arial" w:hAnsi="Arial"/>
          <w:sz w:val="21"/>
          <w:szCs w:val="21"/>
          <w:color w:val="auto"/>
          <w:vertAlign w:val="superscript"/>
        </w:rPr>
        <w:t>®</w:t>
      </w:r>
      <w:r>
        <w:rPr>
          <w:rFonts w:ascii="Arial" w:cs="Arial" w:eastAsia="Arial" w:hAnsi="Arial"/>
          <w:sz w:val="18"/>
          <w:szCs w:val="18"/>
          <w:color w:val="auto"/>
        </w:rPr>
        <w:t>) in the United Kingdom. Patients received tiotropium 18 µg once daily, plus ensifentrine 1.5 mg, ensifentrine 6 mg or placebo twice daily for 3 days. In this study, we observed a significant increase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when administering ensifentrine on top of tiotropium (103 mL and 127 mL for ensifentrine 1.5 mg and 6 mg, respectively) as compared to tiotropium and placebo.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third day of dosing (0 - 12 hours) of ensifentrine when added on top of tiotropium was larger than that of tiotropium alone (1.5mg, p=0.099; 6 mg, p&lt;0.001), thus the co-primary endpoints of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and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average AUC 0-12h were met. (AUC, or area under the curve, is a measure of effectiveness over a period of time.) As shown in the graph below, there was also significant improvement in both trough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and lung volume, including residual volume and functional residual capacity. The time to onset of ensifentrine and tiotropium was faster than with tiotropium alone (less than 5 minutes versus 37 minutes as shown in the graph below).</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440" w:right="2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5694045" cy="3576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57632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4693920</wp:posOffset>
            </wp:positionV>
            <wp:extent cx="5694045" cy="3696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9019"/>
          </w:cols>
          <w:pgMar w:left="14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5694045" cy="3773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694045"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a Phase 2b parallel group study in 403 patients with COPD in Europe to examine the effect in patients without concomitant bronchodilator therapy. Patients received either placebo or ensifentrine at doses ranging from 0.75 mg to 6 mg twice daily over 4 weeks. Treatment with ensifentrine met the primary endpoint for all doses, showing a statistically significant increase in peak forced expiratory volume in 1 second (FEV</w:t>
      </w:r>
      <w:r>
        <w:rPr>
          <w:rFonts w:ascii="Arial" w:cs="Arial" w:eastAsia="Arial" w:hAnsi="Arial"/>
          <w:sz w:val="21"/>
          <w:szCs w:val="21"/>
          <w:color w:val="auto"/>
          <w:vertAlign w:val="subscript"/>
        </w:rPr>
        <w:t>1</w:t>
      </w:r>
      <w:r>
        <w:rPr>
          <w:rFonts w:ascii="Arial" w:cs="Arial" w:eastAsia="Arial" w:hAnsi="Arial"/>
          <w:sz w:val="18"/>
          <w:szCs w:val="18"/>
          <w:color w:val="auto"/>
        </w:rPr>
        <w:t>) compared to placebo (p&lt;0.001) with absolute changes from baseline &gt;200 mL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after 4 weeks of dosing. In addition, statistically significant improvements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12 hours were observed at all doses after the first administration, and this effect was sustained over 4 weeks. Notably, statistically significant and clinically meaningful improvements in total COPD symptoms (p&lt;0.002) and dyspnea (p&lt;0.02) were shown using the E-RS (EXACT-PRO) - a recognized patient-reported outcome measure for use in clinical studies of COPD, and the Transition Dyspnea Index. We believe that the progressive improvement in COPD symptoms over the 4 week treatment period, which was different from the immediate onset of the bronchodilator response, suggest the involvement of an anti-inflammatory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440" w:right="3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5694045" cy="6603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4045" cy="660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January 2019, we announced top-line data from a Phase 2 three-way crossover study in 79 moderate-to-severe COPD patients to study the effect of ensifentrine when added to dual bronchodilators (LAMA/LABA). The study was conducted in the United States and the United Kingdom. Patients were administered ensifentrine 1.5 mg or 6 mg or placebo twice daily for 3 days in addition to a tiotropium/olodaterol fixed dose combination (Stiolto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Respimat</w:t>
      </w:r>
      <w:r>
        <w:rPr>
          <w:rFonts w:ascii="Arial" w:cs="Arial" w:eastAsia="Arial" w:hAnsi="Arial"/>
          <w:sz w:val="21"/>
          <w:szCs w:val="21"/>
          <w:color w:val="auto"/>
          <w:vertAlign w:val="superscript"/>
        </w:rPr>
        <w:t>®</w:t>
      </w:r>
      <w:r>
        <w:rPr>
          <w:rFonts w:ascii="Arial" w:cs="Arial" w:eastAsia="Arial" w:hAnsi="Arial"/>
          <w:sz w:val="18"/>
          <w:szCs w:val="18"/>
          <w:color w:val="auto"/>
        </w:rPr>
        <w:t>). Patients were allowed to remain on a stable dose of ICS. The study was completed in January 2019, and the final full data set is not yet available. Top line data showed a tolerability and safety profile generally in line with previous studies. This study was conducted in the challenging setting of COPD patients treated with what is thought to be "maximal inhaled therapy". Although the primary endpoint of improvement in morning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third day of dosing was not statistically significant and was not met, improvement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(additional bronchodilation) following the morning dose on the third day (0 - 4 hours) with 1.5 mg of ensifentrine was statistically significant when added on top of Stiolto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Respimat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compared to placebo (1.5 mg, p=0.039). Statistically significant improvements in evening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(additional bronchodilation) on the third day of dosing, and significant reductions in lung volume after the evening dose of ensifentrine were observed with both the 1.5 mg and 6 mg dose groups, compared to placebo, when administered on top of Stiolto</w:t>
      </w:r>
    </w:p>
    <w:p>
      <w:pPr>
        <w:sectPr>
          <w:pgSz w:w="11900" w:h="16838" w:orient="portrait"/>
          <w:cols w:equalWidth="0" w:num="1">
            <w:col w:w="11320"/>
          </w:cols>
          <w:pgMar w:left="240" w:top="1440" w:right="339" w:bottom="1440" w:gutter="0" w:footer="0" w:header="0"/>
        </w:sect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20"/>
          </w:cols>
          <w:pgMar w:left="240" w:top="1440" w:right="339" w:bottom="1440" w:gutter="0" w:footer="0" w:header="0"/>
          <w:type w:val="continuous"/>
        </w:sectPr>
      </w:pPr>
    </w:p>
    <w:bookmarkStart w:id="50" w:name="page51"/>
    <w:bookmarkEnd w:id="50"/>
    <w:p>
      <w:pPr>
        <w:ind w:right="360"/>
        <w:spacing w:after="0" w:line="285" w:lineRule="auto"/>
        <w:rPr>
          <w:sz w:val="20"/>
          <w:szCs w:val="20"/>
          <w:color w:val="auto"/>
        </w:rPr>
      </w:pPr>
      <w:r>
        <w:rPr>
          <w:rFonts w:ascii="Arial" w:cs="Arial" w:eastAsia="Arial" w:hAnsi="Arial"/>
          <w:sz w:val="18"/>
          <w:szCs w:val="18"/>
          <w:color w:val="auto"/>
        </w:rPr>
        <w:t>Respimat (evening peak FEV</w:t>
      </w:r>
      <w:r>
        <w:rPr>
          <w:rFonts w:ascii="Arial" w:cs="Arial" w:eastAsia="Arial" w:hAnsi="Arial"/>
          <w:sz w:val="21"/>
          <w:szCs w:val="21"/>
          <w:color w:val="auto"/>
          <w:vertAlign w:val="subscript"/>
        </w:rPr>
        <w:t>1</w:t>
      </w:r>
      <w:r>
        <w:rPr>
          <w:rFonts w:ascii="Arial" w:cs="Arial" w:eastAsia="Arial" w:hAnsi="Arial"/>
          <w:sz w:val="18"/>
          <w:szCs w:val="18"/>
          <w:color w:val="auto"/>
        </w:rPr>
        <w:t>: 1.5 mg, p&lt;0.001; 6 mg p=0.002 (as shown in the graph below); post-evening dose residual volume: 1.5 mg, p=0.002; 6 mg, p=0.036).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94045" cy="326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404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Ensifentrine has been observed to be well tolerated in our clinical studies performed to date when administered alone and as an add-on therapy to commonly used bronchodilators at dose levels ranging from 0.4 mg to 24 mg. Dose-limiting toxicities have not been observed. To date across all studies and populations, 10 subjects with serious adverse events, or SAEs, have been reported. Of these events, eight were assessed as not related to ensifentrine and two were assessed as possibly related, although relevant mitigating factors were subsequently considered. In our completed clinical trials, we did not observe any gastrointestinal adverse events or cardiovascular effects, other than a small increase in heart rate at the highest doses tested. Ensifentrine had no observed effect on cardiac function as measured by electrocardiograms, including QT intervals, a measure of time between certain waves in the heart's electrical cycle and measure of a potential cardiovascular adverse event. In addition, we did not observe an increase in incidence of any adverse event compared to commonly used bronchodilators when ensifentrine was used alone. In our studies, the most common adverse events have been mild to moderate, and included headache, dizziness, cough, heart palpitation, nausea, dry mouth, parenthesis (tingling), nasopharyngitis (throat irritation) and rash, which occurred with comparable frequency to placebo.</w:t>
      </w:r>
    </w:p>
    <w:p>
      <w:pPr>
        <w:spacing w:after="0" w:line="26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second quarter of 2019 we plan to initiate a dose ranging Phase 2b study with ensifentrine in COPD patients to further support dose selection for our planned Phase 3 clinical trial. This study will evaluate multiple doses of ensifentrine added on to tiotropium. We expect to report data from this study at the end of 2019. We intend to use the data from all our completed studies, including the data from this additional Phase 2b study to be conducted in 2019, to inform our future studies, including the design of our planned Phase 3 program for the maintenance treatment of COPD.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Additional studies have been completed in healthy volunteers, and in patients with asthma and with cystic fibrosis.</w:t>
      </w:r>
    </w:p>
    <w:p>
      <w:pPr>
        <w:spacing w:after="0" w:line="2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a single-dose pharmacokinetic, or PK, trial in 12 healthy volunteers in the United States. A PK trial involves the study of the process of bodily absorption, distribution, metabolism and excretion of a drug. With any inhaled or nebulized medication, a portion of the substance is deposited in the mouth and then swallowed by the patient. The results showed that in the study subjects only 10.4 percent of the inhaled dose of ensifentrine entered the bloodstream via the gastrointestinal tract. The low oral bioavailability of nebulized ensifentrine, as shown in this study, is consistent with optimal inhaled delivery of medications for the treatment of COPD and asthma. Therefore the results from this study support our approach of developing inhalation formulations for the administration of ensifentrine.</w:t>
      </w:r>
    </w:p>
    <w:p>
      <w:pPr>
        <w:spacing w:after="0" w:line="2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Ensifentrine also has shown anti-inflammatory effects in sputum samples from a model of COPD-like lung inflammation in human subjects. In a Phase 1 clinical trial, 21 healthy evaluable subjects were treated with</w:t>
      </w:r>
    </w:p>
    <w:p>
      <w:pPr>
        <w:sectPr>
          <w:pgSz w:w="11900" w:h="16838" w:orient="portrait"/>
          <w:cols w:equalWidth="0" w:num="1">
            <w:col w:w="11420"/>
          </w:cols>
          <w:pgMar w:left="240" w:top="462"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62" w:right="239" w:bottom="1440" w:gutter="0" w:footer="0" w:header="0"/>
          <w:type w:val="continuous"/>
        </w:sectPr>
      </w:pPr>
    </w:p>
    <w:bookmarkStart w:id="51" w:name="page52"/>
    <w:bookmarkEnd w:id="51"/>
    <w:p>
      <w:pPr>
        <w:spacing w:after="0" w:line="251" w:lineRule="auto"/>
        <w:rPr>
          <w:sz w:val="20"/>
          <w:szCs w:val="20"/>
          <w:color w:val="auto"/>
        </w:rPr>
      </w:pPr>
      <w:r>
        <w:rPr>
          <w:rFonts w:ascii="Arial" w:cs="Arial" w:eastAsia="Arial" w:hAnsi="Arial"/>
          <w:sz w:val="18"/>
          <w:szCs w:val="18"/>
          <w:color w:val="auto"/>
        </w:rPr>
        <w:t>either ensifentrine or placebo once daily for six days before airway challenge with aerosolized lipopolysaccharide, or LPS. LPS challenge induces an inflammatory response in the lung with a large proportion of neutrophils, which is a common type of white blood cell widely recognized as the most important inflammatory cell in COPD. LPS challenge is a well-validated and commonly used measure to assess the anti-inflammatory effects of novel compounds and is of particular relevance to drugs used in the treatment of COPD. Subjects treated with ensifentrine were observed to have significantly lower absolute numbers of neutrophils in sputum collected six hours after LPS challenge, and a significant reduction in the absolute numbers of other inflammatory cells, including lymphocytes, macrophages and eosinophils, at the same time point (as shown in the graph below). Eosinophils are prevalent in the lungs of some patients with COPD and in the vast majority of patients with asthma. These observations suggest that ensifentrine has the potential to target the chronic inflammatory processes in COPD, CF and other respiratory diseases, including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5694045" cy="3224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404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of Ensifentrine in Cystic Fibrosis and Asthma</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a Phase 2, double -blind, placebo-controlled, seven-way complete block crossover study in 29 patients with mild-to-moderate chronic asthma. Patients received four single doses of ensifentrine (0.4 mg, 1.5 mg, 6 mg and 24 mg), two doses of nebulized albuterol (2.5 mg and 7.5 mg) and placebo in a randomized sequence. ensifentrine produced a dose dependent bronchodilation with a magnitude that was comparable to a maximal dose of albuterol.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March 2018, we reported top-line data from a Phase 2a single-dose PK and pharmacodynamics, or PD, trial in the United</w:t>
      </w:r>
    </w:p>
    <w:p>
      <w:pPr>
        <w:spacing w:after="0" w:line="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Kingdom evaluating ensifentrine in ten CF patients. A PD trial involves the study of the biochemical and physiological effects of a drug and its mechanism of action. The PK profile was consistent with that observed in patients with COPD, although with lower peak serum levels of ensifentrine in CF patients. The serum half-life was dose dependent: 7.5 to 10.1 hours for 1.5 mg and 6 mg, respectively. Ensifentrine elicited a statistically significant increase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in treated patients for 1.5 mg (all time points, p&lt;0.01) and 6 mg (all time points p&lt;0.05) at 4, 6 and 8 hour time points. Ensifentrine was observed to be well-tolerated in this patient group with an adverse event profile consistent with other studies with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1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FURTHER INFORMATION</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In some cases, patients with COPD experience exacerbations, which are estimated to cause approximately 1.5 million emergency department visits, 687,000 hospitalizations and 129,000 deaths per year in the United States alone. According to the World Health Organization, COPD is expected to become the third leading cause of death globally by 2030, with 210 million people worldwide suffering from the disease. It is estimated that there are 24 million people with COPD in the United States, only about half of whom have been diagnosed. Of those diagnosed with COPD in the United States, more than 2 million suffer from severe or very severe forms of the disease. Total annual medical costs relating to COPD in the United States were estimated to be $32 billion in 2010 and are projected to rise to $49 billion in 2020. While the number of patients diagnosed with COPD in the United States continues to increase annually, the growth in numbers in countries like China is significantly higher. The prevalence of COPD in China is estimated to be about 8% of the population aged over 40, and this percentage is expected to increase in coming years. Global sales of drugs currently indicated for COPD in major markets were approximately $15 billion in 2015 and are expected to grow to $20 billion by 2025.</w:t>
      </w:r>
    </w:p>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although current therapies are leading to longer lifespans the median age of death for CF patients is still only around 40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ensifentrine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Asthma is widely seen as a result of chronic inflammation in the lungs. In the United States 18 million people are diagnosed with asthma and the 2015 prescription medicine market sales totaled $13 billion. Established treatments include those adopted from the treatment of COPD (for example, bronchodilators and ICS), anti-IgE agents and leukotriene inhibitors. Approximately 1 million patients in the United States are refractory asthmatic patients who remain uncontrolled on established therapies. These patients are the target for injectable biologic anti-IL-5 agents. Sales of biologics in the United States for the treatment of asthma are forecast to exceed $1.0 billion by 2025.</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worldwide commercialization rights for ensifentrine. Our intellectual property portfolio includes granted and issued patents as well as pending patent applications. These patents and patent applications include claims directed to ensifentrine composition of matter, new dosage formulations and a crystalline polymorph, as well as methods of making and using ensifentrine in the treatment of respiratory diseases, with expected expiry dates between 2020 and 2037, as described further below.</w:t>
      </w:r>
    </w:p>
    <w:p>
      <w:pPr>
        <w:spacing w:after="0" w:line="1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were incorporated in February 2005 and are headquartered in the United Kingdom. Since September 2006, our ordinary shares have traded on AIM, a market of the London Stock Exchange, under the symbol "VRP". We have raised approximately £145 million in gross proceeds from investors since such listing, of which approximately £70.3 million was raised in our initial public offering of our American Depositary Shares, or ADSs, in April and May 2017, which are listed on The Nasdaq Global Market, or Nasdaq, under the symbol “VRNA,” and the accompanying private offering in Europe of our ordinary shares, or the global offering, and a concurrent private placement to certain shareholders of our ordinary shares, or the shareholder private placement, and £45 million was raised in our July 2016 private placement of equity securities with a number of European and U.S.-based healthcare specialist investment firms, or the July 2016 Placement Members of our management team and board of directors have extensive experience in large pharmaceutical and biotechnology companies in respiratory product development from drug discovery through commercialization and have played important roles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95" w:right="259" w:bottom="1440" w:gutter="0" w:footer="0" w:header="0"/>
        </w:sectPr>
      </w:pPr>
    </w:p>
    <w:bookmarkStart w:id="53" w:name="page54"/>
    <w:bookmarkEnd w:id="53"/>
    <w:p>
      <w:pPr>
        <w:ind w:right="160"/>
        <w:spacing w:after="0" w:line="262" w:lineRule="auto"/>
        <w:rPr>
          <w:sz w:val="20"/>
          <w:szCs w:val="20"/>
          <w:color w:val="auto"/>
        </w:rPr>
      </w:pPr>
      <w:r>
        <w:rPr>
          <w:rFonts w:ascii="Arial" w:cs="Arial" w:eastAsia="Arial" w:hAnsi="Arial"/>
          <w:sz w:val="18"/>
          <w:szCs w:val="18"/>
          <w:color w:val="auto"/>
        </w:rPr>
        <w:t>in the development and commercialization of several approved respiratory treatments, including Symbicort, Daliresp/Daxas, Flutiform, Advair, Incruse Ellipta and Anoro Ellipta.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potential indications for ensifentrine and their current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694045" cy="3542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4045"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company has the following key distinguishing characteristics:</w:t>
      </w:r>
    </w:p>
    <w:p>
      <w:pPr>
        <w:spacing w:after="0" w:line="257" w:lineRule="exact"/>
        <w:rPr>
          <w:sz w:val="20"/>
          <w:szCs w:val="20"/>
          <w:color w:val="auto"/>
        </w:rPr>
      </w:pPr>
    </w:p>
    <w:p>
      <w:pPr>
        <w:ind w:left="660" w:hanging="328"/>
        <w:spacing w:after="0" w:line="255" w:lineRule="auto"/>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Potential for multiple targeted indications, formulations and add-on therapies. </w:t>
      </w:r>
      <w:r>
        <w:rPr>
          <w:rFonts w:ascii="Arial" w:cs="Arial" w:eastAsia="Arial" w:hAnsi="Arial"/>
          <w:sz w:val="18"/>
          <w:szCs w:val="18"/>
          <w:color w:val="auto"/>
        </w:rPr>
        <w:t>We are initially developing ensifentrine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nebulized formulation for the maintenance treatment of COPD patients. While ensifentrine can be used as a standalone treatment in these patients, we are focusing on COPD patients who are symptomatic despite using currently available standard-of-care COPD treatments, because ensifentrine has shown improvements in lung function when administered as an add-on therapy to single and dual bronchodilators. We also are developing ensifentrine in both DPI and pMDI formulations for the maintenance treatment of COPD. In addition, we may explore the development of ensifentrine in inhaled formulations for the treatment of CF, asthma and other respiratory diseases. Based on the favorable properties of ensifentrine that we have observed in our clinical trials, we believe ensifentrine has broad potential applicability in the treatment of other respiratory diseases, either as a single agent or as an add-on therapy.</w:t>
      </w:r>
    </w:p>
    <w:p>
      <w:pPr>
        <w:spacing w:after="0" w:line="104" w:lineRule="exact"/>
        <w:rPr>
          <w:rFonts w:ascii="Arial" w:cs="Arial" w:eastAsia="Arial" w:hAnsi="Arial"/>
          <w:sz w:val="18"/>
          <w:szCs w:val="18"/>
          <w:b w:val="1"/>
          <w:bCs w:val="1"/>
          <w:i w:val="1"/>
          <w:iCs w:val="1"/>
          <w:color w:val="auto"/>
        </w:rPr>
      </w:pPr>
    </w:p>
    <w:p>
      <w:pPr>
        <w:ind w:left="660" w:hanging="328"/>
        <w:spacing w:after="0" w:line="254" w:lineRule="auto"/>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Observed benefit and favorable tolerability as a single agent and as an add-on therapy in clinical trials. </w:t>
      </w:r>
      <w:r>
        <w:rPr>
          <w:rFonts w:ascii="Arial" w:cs="Arial" w:eastAsia="Arial" w:hAnsi="Arial"/>
          <w:sz w:val="18"/>
          <w:szCs w:val="18"/>
          <w:color w:val="auto"/>
        </w:rPr>
        <w:t>We have reported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thirteen Phase 1 and 2 clinical trials for ensifentrine with over 800 subjects enrolled. We have observed statistically significant improvements in lung function as compared to placebo, as well as clinically meaningful and statistically significant improvements in lung function when ensifentrine is added to several commonly used bronchodilators as compared to such bronchodilators administered as a single agent or in combination. In addition, we observed a more rapid time of onset of bronchodilation when ensifentrine was administered as an add-on therapy to these bronchodilators. We have also observed in a four-week study in COPD patients statistically significant improvements in COPD patient symptom scores. Notably, statistically significant and clinically meaningful improvements in total COPD symptoms (p&lt;0.002) and dyspnea (p&lt;0.02) were shown using the E-RS (EXACT-PRO) - a recognized patient-reported outcome measure for use in clinical studies of COPD, and the Transition Dyspnea Index. We believe that the progressive improvement in COPD symptoms over the 4 week treatment period, which was different from the immediate onset of the</w:t>
      </w:r>
    </w:p>
    <w:p>
      <w:pPr>
        <w:sectPr>
          <w:pgSz w:w="11900" w:h="16838" w:orient="portrait"/>
          <w:cols w:equalWidth="0" w:num="1">
            <w:col w:w="11400"/>
          </w:cols>
          <w:pgMar w:left="240" w:top="517" w:right="259"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517" w:right="259" w:bottom="1440" w:gutter="0" w:footer="0" w:header="0"/>
          <w:type w:val="continuous"/>
        </w:sectPr>
      </w:pPr>
    </w:p>
    <w:bookmarkStart w:id="54" w:name="page55"/>
    <w:bookmarkEnd w:id="54"/>
    <w:p>
      <w:pPr>
        <w:jc w:val="both"/>
        <w:ind w:left="660" w:right="60"/>
        <w:spacing w:after="0" w:line="273" w:lineRule="auto"/>
        <w:rPr>
          <w:sz w:val="20"/>
          <w:szCs w:val="20"/>
          <w:color w:val="auto"/>
        </w:rPr>
      </w:pPr>
      <w:r>
        <w:rPr>
          <w:rFonts w:ascii="Arial" w:cs="Arial" w:eastAsia="Arial" w:hAnsi="Arial"/>
          <w:sz w:val="22"/>
          <w:szCs w:val="22"/>
          <w:color w:val="auto"/>
        </w:rPr>
        <w:t xml:space="preserve">bronchodilator response, suggest the involvement of an anti-inflammatory effect. </w:t>
      </w:r>
      <w:r>
        <w:rPr>
          <w:rFonts w:ascii="Arial" w:cs="Arial" w:eastAsia="Arial" w:hAnsi="Arial"/>
          <w:sz w:val="18"/>
          <w:szCs w:val="18"/>
          <w:color w:val="auto"/>
        </w:rPr>
        <w:t>Ensifentrine has been observed to be</w:t>
      </w:r>
      <w:r>
        <w:rPr>
          <w:rFonts w:ascii="Arial" w:cs="Arial" w:eastAsia="Arial" w:hAnsi="Arial"/>
          <w:sz w:val="22"/>
          <w:szCs w:val="22"/>
          <w:color w:val="auto"/>
        </w:rPr>
        <w:t xml:space="preserve"> </w:t>
      </w:r>
      <w:r>
        <w:rPr>
          <w:rFonts w:ascii="Arial" w:cs="Arial" w:eastAsia="Arial" w:hAnsi="Arial"/>
          <w:sz w:val="18"/>
          <w:szCs w:val="18"/>
          <w:color w:val="auto"/>
        </w:rPr>
        <w:t>well tolerated in our clinical trials, and has not been observed to result in the gastrointestinal or other side effects commonly associated with roflumilast, the only PDE4 inhibitor currently on the market approved for treatment of COPD. In addition, ensifentrine has not been observed to result in any cardiovascular effects, other than a small increase in heart rate at the highest doses tested.</w:t>
      </w:r>
    </w:p>
    <w:p>
      <w:pPr>
        <w:spacing w:after="0" w:line="99" w:lineRule="exact"/>
        <w:rPr>
          <w:sz w:val="20"/>
          <w:szCs w:val="20"/>
          <w:color w:val="auto"/>
        </w:rPr>
      </w:pPr>
    </w:p>
    <w:p>
      <w:pPr>
        <w:ind w:left="660" w:hanging="328"/>
        <w:spacing w:after="0" w:line="254" w:lineRule="auto"/>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Differentiated mechanism of action in a single compound. </w:t>
      </w:r>
      <w:r>
        <w:rPr>
          <w:rFonts w:ascii="Arial" w:cs="Arial" w:eastAsia="Arial" w:hAnsi="Arial"/>
          <w:sz w:val="18"/>
          <w:szCs w:val="18"/>
          <w:color w:val="auto"/>
        </w:rPr>
        <w:t>Ensifentrine is an investigational potential first-in-class, inhaled, 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inhibitor of PDE3 and PDE4 that is designed to act as both a bronchodilator and an anti-inflammatory agent in a single compound and stimulate the CFTR.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 CF and asthma. In addition, through this dual mechanism, ensifentrine is also designed to stimulate the CFTR, which we believe is important in the treatment of CF and potentially COPD. We believe that ensifentrine, if successfully developed and approved, has the potential to be a more effective and better tolerated treatment of COPD than existing treatments, including roflumilast, the only currently approved PDE4 inhibitor. This dual mechanism of action also suggests that ensifentrine could be a useful treatment for patients with moderate to severe asthma and symptomatic despite being treated with standard-of-care.</w:t>
      </w:r>
    </w:p>
    <w:p>
      <w:pPr>
        <w:spacing w:after="0" w:line="105" w:lineRule="exact"/>
        <w:rPr>
          <w:rFonts w:ascii="Arial" w:cs="Arial" w:eastAsia="Arial" w:hAnsi="Arial"/>
          <w:sz w:val="18"/>
          <w:szCs w:val="18"/>
          <w:b w:val="1"/>
          <w:bCs w:val="1"/>
          <w:i w:val="1"/>
          <w:iCs w:val="1"/>
          <w:color w:val="auto"/>
        </w:rPr>
      </w:pPr>
    </w:p>
    <w:p>
      <w:pPr>
        <w:ind w:left="660" w:right="60" w:hanging="328"/>
        <w:spacing w:after="0" w:line="249" w:lineRule="auto"/>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Established regulatory pathway and well-defined clinical endpoints. </w:t>
      </w:r>
      <w:r>
        <w:rPr>
          <w:rFonts w:ascii="Arial" w:cs="Arial" w:eastAsia="Arial" w:hAnsi="Arial"/>
          <w:sz w:val="18"/>
          <w:szCs w:val="18"/>
          <w:color w:val="auto"/>
        </w:rPr>
        <w:t>Our planned clinical trials for ensifentrine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treatment of COPD will be designed to evaluate the effect on FEV</w:t>
      </w:r>
      <w:r>
        <w:rPr>
          <w:rFonts w:ascii="Arial" w:cs="Arial" w:eastAsia="Arial" w:hAnsi="Arial"/>
          <w:sz w:val="21"/>
          <w:szCs w:val="21"/>
          <w:color w:val="auto"/>
          <w:vertAlign w:val="subscript"/>
        </w:rPr>
        <w:t>1</w:t>
      </w:r>
      <w:r>
        <w:rPr>
          <w:rFonts w:ascii="Arial" w:cs="Arial" w:eastAsia="Arial" w:hAnsi="Arial"/>
          <w:sz w:val="18"/>
          <w:szCs w:val="18"/>
          <w:color w:val="auto"/>
        </w:rPr>
        <w:t>, COPD symptoms, exacerbations and duration of action of ensifentrine. We will also monitor COPD-like symptoms as an improvement would be considered very important to these patients. These clinical endpoints are commonly used in clinical trials for respiratory diseases and have been used by other companies in obtaining FDA approval of drugs addressing respiratory diseases.</w:t>
      </w:r>
    </w:p>
    <w:p>
      <w:pPr>
        <w:spacing w:after="0" w:line="105" w:lineRule="exact"/>
        <w:rPr>
          <w:rFonts w:ascii="Arial" w:cs="Arial" w:eastAsia="Arial" w:hAnsi="Arial"/>
          <w:sz w:val="18"/>
          <w:szCs w:val="18"/>
          <w:b w:val="1"/>
          <w:bCs w:val="1"/>
          <w:i w:val="1"/>
          <w:iCs w:val="1"/>
          <w:color w:val="auto"/>
        </w:rPr>
      </w:pPr>
    </w:p>
    <w:p>
      <w:pPr>
        <w:ind w:left="660" w:right="180" w:hanging="328"/>
        <w:spacing w:after="0" w:line="255" w:lineRule="auto"/>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Addressing significant market opportunities. </w:t>
      </w:r>
      <w:r>
        <w:rPr>
          <w:rFonts w:ascii="Arial" w:cs="Arial" w:eastAsia="Arial" w:hAnsi="Arial"/>
          <w:sz w:val="18"/>
          <w:szCs w:val="18"/>
          <w:color w:val="auto"/>
        </w:rPr>
        <w:t>Despite the availability of bronchodilators and anti-inflammatory corticosteroid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PDE4 inhibitor treatments for COPD, many patients continue to suffer from significant symptoms and may experience acute exacerbations leading to hospitalization. Furthermore, current therapies have not demonstrated an ability to change the progressive decline in lung function or reduce the mortality associated with COPD. We believe a large market opportunity with significant unmet medical need exists in COPD and especially in moderate to severe patients with limited further treatment alternatives. We believe the properties of ensifentrine, bronchodilation, and reduction of COPD-like symptoms, make it attractive as an important and novel potential treatment of patients with COPD, as well as for patients with CF and asthma. We plan to seek orphan drug designation of ensifentrine for the treatment of CF.</w:t>
      </w:r>
    </w:p>
    <w:p>
      <w:pPr>
        <w:spacing w:after="0" w:line="104" w:lineRule="exact"/>
        <w:rPr>
          <w:rFonts w:ascii="Arial" w:cs="Arial" w:eastAsia="Arial" w:hAnsi="Arial"/>
          <w:sz w:val="18"/>
          <w:szCs w:val="18"/>
          <w:b w:val="1"/>
          <w:bCs w:val="1"/>
          <w:i w:val="1"/>
          <w:iCs w:val="1"/>
          <w:color w:val="auto"/>
        </w:rPr>
      </w:pPr>
    </w:p>
    <w:p>
      <w:pPr>
        <w:ind w:left="660" w:right="80" w:hanging="328"/>
        <w:spacing w:after="0" w:line="259" w:lineRule="auto"/>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Members of our management team and board of directors have extensive experience in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and biotechnology companies in respiratory product development from drug discovery through commercialization and have played important roles in the development and commercialization of several approved respiratory treatments. We believe that the experience of our management team and our network of relationships within the industry and medical community provides us with insight into product development and identification of other opportunities in the respiratory field.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0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28" w:lineRule="exact"/>
        <w:rPr>
          <w:sz w:val="20"/>
          <w:szCs w:val="20"/>
          <w:color w:val="auto"/>
        </w:rPr>
      </w:pPr>
    </w:p>
    <w:p>
      <w:pPr>
        <w:ind w:left="660" w:right="40" w:hanging="328"/>
        <w:spacing w:after="0" w:line="220" w:lineRule="exact"/>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Advance the development of nebulized ensifentrine for the maintenance treatment of COPD. </w:t>
      </w:r>
      <w:r>
        <w:rPr>
          <w:rFonts w:ascii="Arial" w:cs="Arial" w:eastAsia="Arial" w:hAnsi="Arial"/>
          <w:sz w:val="18"/>
          <w:szCs w:val="18"/>
          <w:color w:val="auto"/>
        </w:rPr>
        <w:t>We intend to initially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nebulized ensifentrine for the maintenance treatment of COPD. We believe there is a large market opportunity for ensifentrine as a maintenance treatment as many of the moderate-to-severe COPD patients continue to be uncontrolled and symptomatic despite treatment with currently available medications. In order to further validate dose and commercial positioning, we will conduct a four</w:t>
      </w:r>
      <w:r>
        <w:rPr>
          <w:rFonts w:ascii="MS PGothic" w:cs="MS PGothic" w:eastAsia="MS PGothic" w:hAnsi="MS PGothic"/>
          <w:sz w:val="18"/>
          <w:szCs w:val="18"/>
          <w:color w:val="auto"/>
        </w:rPr>
        <w:t>‑</w:t>
      </w:r>
      <w:r>
        <w:rPr>
          <w:rFonts w:ascii="Arial" w:cs="Arial" w:eastAsia="Arial" w:hAnsi="Arial"/>
          <w:sz w:val="18"/>
          <w:szCs w:val="18"/>
          <w:color w:val="auto"/>
        </w:rPr>
        <w:t>week Phase 2b dose ranging clinical trial in COPD patients who are symptomatic despite treatment with tiotropium. In this trial, we will compare the use of ensifentrine in a nebulized formulation to placebo, when added to tiotropium, in approximately 400 patients. We expect to commence this study in the second quarter of 2019.</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25" w:right="239" w:bottom="1440" w:gutter="0" w:footer="0" w:header="0"/>
        </w:sectPr>
      </w:pPr>
    </w:p>
    <w:bookmarkStart w:id="55" w:name="page56"/>
    <w:bookmarkEnd w:id="55"/>
    <w:p>
      <w:pPr>
        <w:ind w:left="660" w:right="80" w:hanging="328"/>
        <w:spacing w:after="0" w:line="257"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have shown that ensifentrine can provide additional bronchodilation as add-on to patients treated with maximum approved bronchodilator therapy (LAMA/LABA), as measured by FEV</w:t>
      </w:r>
      <w:r>
        <w:rPr>
          <w:rFonts w:ascii="Arial" w:cs="Arial" w:eastAsia="Arial" w:hAnsi="Arial"/>
          <w:sz w:val="20"/>
          <w:szCs w:val="20"/>
          <w:color w:val="auto"/>
          <w:vertAlign w:val="subscript"/>
        </w:rPr>
        <w:t>1</w:t>
      </w:r>
      <w:r>
        <w:rPr>
          <w:rFonts w:ascii="Arial" w:cs="Arial" w:eastAsia="Arial" w:hAnsi="Arial"/>
          <w:sz w:val="17"/>
          <w:szCs w:val="17"/>
          <w:color w:val="auto"/>
        </w:rPr>
        <w:t xml:space="preserve"> and residual volume, both in the morning and, in particular, following the evening dose. This data is very encouraging in a large but hard-to-treat population who have very limited alternative treatment options.</w:t>
      </w:r>
    </w:p>
    <w:p>
      <w:pPr>
        <w:spacing w:after="0" w:line="118" w:lineRule="exact"/>
        <w:rPr>
          <w:rFonts w:ascii="Arial" w:cs="Arial" w:eastAsia="Arial" w:hAnsi="Arial"/>
          <w:sz w:val="17"/>
          <w:szCs w:val="17"/>
          <w:color w:val="auto"/>
        </w:rPr>
      </w:pPr>
    </w:p>
    <w:p>
      <w:pPr>
        <w:ind w:left="660" w:right="240" w:hanging="328"/>
        <w:spacing w:after="0" w:line="25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Taking into account the data from all clinical trials conducted with ensifentrine to date, interactions with regulatory authorities and our commercial assessment of different development options for nebulized ensifentrine, we are focusing our development plans on proceeding rapidly towards Phase 3 clinical trials with nebulized ensifentrine for the maintenance treatment of COPD. Therefore our focus is currently on the COPD maintenance market as a priority in the short term over progressing our planned trials to evaluate nebulized ensifentrine as a treatment for acute exacerbations of COPD hospitalized patients and as a treatment for CF and asthma patients.</w:t>
      </w:r>
    </w:p>
    <w:p>
      <w:pPr>
        <w:spacing w:after="0" w:line="106" w:lineRule="exact"/>
        <w:rPr>
          <w:sz w:val="20"/>
          <w:szCs w:val="20"/>
          <w:color w:val="auto"/>
        </w:rPr>
      </w:pPr>
    </w:p>
    <w:p>
      <w:pPr>
        <w:ind w:left="660" w:hanging="328"/>
        <w:spacing w:after="0" w:line="262" w:lineRule="auto"/>
        <w:tabs>
          <w:tab w:leader="none" w:pos="6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Adapt the current nebulized formulation and presentation of ensifentrine. </w:t>
      </w:r>
      <w:r>
        <w:rPr>
          <w:rFonts w:ascii="Arial" w:cs="Arial" w:eastAsia="Arial" w:hAnsi="Arial"/>
          <w:sz w:val="18"/>
          <w:szCs w:val="18"/>
          <w:color w:val="auto"/>
        </w:rPr>
        <w:t>Ensifentrine for nebulized administration is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a glass vial with a flip, tear-up cap. This format is adequate for clinical trials but patient acceptance in a commercial setting is expected to be improved by a switch to presenting the suspension formulation of ensifentrine in plastic ampules, which is also more cost effective for manufacturing in larger volumes. This development work is ongoing.</w:t>
      </w:r>
    </w:p>
    <w:p>
      <w:pPr>
        <w:spacing w:after="0" w:line="96" w:lineRule="exact"/>
        <w:rPr>
          <w:sz w:val="20"/>
          <w:szCs w:val="20"/>
          <w:color w:val="auto"/>
        </w:rPr>
      </w:pPr>
    </w:p>
    <w:p>
      <w:pPr>
        <w:ind w:left="660" w:right="60" w:hanging="328"/>
        <w:spacing w:after="0" w:line="222" w:lineRule="exact"/>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Develop ensifentrine for the treatment of CF. </w:t>
      </w:r>
      <w:r>
        <w:rPr>
          <w:rFonts w:ascii="Arial" w:cs="Arial" w:eastAsia="Arial" w:hAnsi="Arial"/>
          <w:sz w:val="18"/>
          <w:szCs w:val="18"/>
          <w:color w:val="auto"/>
        </w:rPr>
        <w:t>We have completed a Phase 2a single</w:t>
      </w:r>
      <w:r>
        <w:rPr>
          <w:rFonts w:ascii="MS PGothic" w:cs="MS PGothic" w:eastAsia="MS PGothic" w:hAnsi="MS PGothic"/>
          <w:sz w:val="18"/>
          <w:szCs w:val="18"/>
          <w:color w:val="auto"/>
        </w:rPr>
        <w:t>‑</w:t>
      </w:r>
      <w:r>
        <w:rPr>
          <w:rFonts w:ascii="Arial" w:cs="Arial" w:eastAsia="Arial" w:hAnsi="Arial"/>
          <w:sz w:val="18"/>
          <w:szCs w:val="18"/>
          <w:color w:val="auto"/>
        </w:rPr>
        <w:t>dose trial in the United Kingdom of ensifentrine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ten CF patients to evaluate the PK and PD profile and tolerability of ensifentrine, as well as examine the effect on lung function. Ensifentrine demonstrated a statistically significant bronchodilator effect, a PK profile that is consistent with that observed in patients with COPD while being well tolerated.</w:t>
      </w:r>
    </w:p>
    <w:p>
      <w:pPr>
        <w:spacing w:after="0" w:line="112" w:lineRule="exact"/>
        <w:rPr>
          <w:rFonts w:ascii="Arial" w:cs="Arial" w:eastAsia="Arial" w:hAnsi="Arial"/>
          <w:sz w:val="18"/>
          <w:szCs w:val="18"/>
          <w:b w:val="1"/>
          <w:bCs w:val="1"/>
          <w:i w:val="1"/>
          <w:iCs w:val="1"/>
          <w:color w:val="auto"/>
        </w:rPr>
      </w:pPr>
    </w:p>
    <w:p>
      <w:pPr>
        <w:ind w:left="660" w:right="40" w:hanging="328"/>
        <w:spacing w:after="0" w:line="257"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Develop DPI and pMDI formulations of ensifentrine. </w:t>
      </w:r>
      <w:r>
        <w:rPr>
          <w:rFonts w:ascii="Arial" w:cs="Arial" w:eastAsia="Arial" w:hAnsi="Arial"/>
          <w:sz w:val="18"/>
          <w:szCs w:val="18"/>
          <w:color w:val="auto"/>
        </w:rPr>
        <w:t>In addition to our nebulized formulation of ensifentrine, 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ensifentrine in both DPI and pMDI formulations for the maintenance treatment of COPD. We believe the development of DPI and pMDI formulations has the potential to substantially increase the market opportunity for ensifentrine, if approved, for the maintenance treatment of COPD. We have now developed DPI and MDI formulations of ensifentrine, and initiated the first DPI clinical trial in COPD patients in December 2018. We plan to start clinical trials with the pMDI formulation in the first half of 2019. In addition, we may explore the development of ensifentrine in these formulations for the treatment of asthma and other respiratory diseases.</w:t>
      </w:r>
    </w:p>
    <w:p>
      <w:pPr>
        <w:spacing w:after="0" w:line="101" w:lineRule="exact"/>
        <w:rPr>
          <w:rFonts w:ascii="Arial" w:cs="Arial" w:eastAsia="Arial" w:hAnsi="Arial"/>
          <w:sz w:val="18"/>
          <w:szCs w:val="18"/>
          <w:b w:val="1"/>
          <w:bCs w:val="1"/>
          <w:i w:val="1"/>
          <w:iCs w:val="1"/>
          <w:color w:val="auto"/>
        </w:rPr>
      </w:pPr>
    </w:p>
    <w:p>
      <w:pPr>
        <w:ind w:left="660" w:hanging="328"/>
        <w:spacing w:after="0" w:line="262"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Pursue development of ensifentrine in other forms of respiratory disease. </w:t>
      </w:r>
      <w:r>
        <w:rPr>
          <w:rFonts w:ascii="Arial" w:cs="Arial" w:eastAsia="Arial" w:hAnsi="Arial"/>
          <w:sz w:val="18"/>
          <w:szCs w:val="18"/>
          <w:color w:val="auto"/>
        </w:rPr>
        <w:t>We believe that ensifentrine's properties as an inhaled,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dual inhibitor of PDE3 and PDE4 give it broad potential applicability in the treatment of other respiratory diseases. We may explore development of ensifentrine to treat other forms of respiratory disease following development of ensifentrine for the treatment of COPD, CF and asthma.</w:t>
      </w:r>
    </w:p>
    <w:p>
      <w:pPr>
        <w:spacing w:after="0" w:line="95" w:lineRule="exact"/>
        <w:rPr>
          <w:rFonts w:ascii="Arial" w:cs="Arial" w:eastAsia="Arial" w:hAnsi="Arial"/>
          <w:sz w:val="18"/>
          <w:szCs w:val="18"/>
          <w:b w:val="1"/>
          <w:bCs w:val="1"/>
          <w:i w:val="1"/>
          <w:iCs w:val="1"/>
          <w:color w:val="auto"/>
        </w:rPr>
      </w:pPr>
    </w:p>
    <w:p>
      <w:pPr>
        <w:ind w:left="660" w:right="100" w:hanging="328"/>
        <w:spacing w:after="0" w:line="259"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Seek strategic collaborative relationships. </w:t>
      </w:r>
      <w:r>
        <w:rPr>
          <w:rFonts w:ascii="Arial" w:cs="Arial" w:eastAsia="Arial" w:hAnsi="Arial"/>
          <w:sz w:val="18"/>
          <w:szCs w:val="18"/>
          <w:color w:val="auto"/>
        </w:rPr>
        <w:t>We may seek strategic collaborations with market-leading biopharmaceutical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develop and commercialize ensifentrine. We believe these collaborations could provide significant funding to advance the development of ensifentrine while allowing us to benefit from the development or commercialization expertise of our collaborators.</w:t>
      </w:r>
    </w:p>
    <w:p>
      <w:pPr>
        <w:jc w:val="both"/>
        <w:ind w:left="660" w:right="100" w:hanging="328"/>
        <w:spacing w:after="0" w:line="256"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identify and in-license or acquire additional clinical-stage product candidates that we believe have the potential to become novel treatments for respiratory diseases with significant unmet medical needs.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Ligand (formerly Vernalis) Agreement</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February 2005, Rhinopharma Limited, or Rhinopharma, entered into an assignment and license agreement with Vernalis Development Limited, or Vernalis (in October 2018, Vernalis was acquired by, and became a wholly owned subsidiary of, Ligand Pharmaceuticals, Inc., or Ligand). We refer to the assignment and license agreement as the Ligand Agreement. In 2006, we acquired Rhinopharma and all of its rights and obligations under the Ligand Agreement. Pursuant to the Ligand Agreement, Ligand has assigned to us all of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17" w:right="239" w:bottom="1440" w:gutter="0" w:footer="0" w:header="0"/>
        </w:sectPr>
      </w:pPr>
    </w:p>
    <w:bookmarkStart w:id="56" w:name="page57"/>
    <w:bookmarkEnd w:id="56"/>
    <w:p>
      <w:pPr>
        <w:ind w:right="20"/>
        <w:spacing w:after="0" w:line="252" w:lineRule="auto"/>
        <w:rPr>
          <w:sz w:val="20"/>
          <w:szCs w:val="20"/>
          <w:color w:val="auto"/>
        </w:rPr>
      </w:pPr>
      <w:r>
        <w:rPr>
          <w:rFonts w:ascii="Arial" w:cs="Arial" w:eastAsia="Arial" w:hAnsi="Arial"/>
          <w:sz w:val="18"/>
          <w:szCs w:val="18"/>
          <w:color w:val="auto"/>
        </w:rPr>
        <w:t>Under the Ligand Agreement, we are obligated to pay Ligand a milestone payment of £5.0 million upon the first approval of any regulatory authority for the commercialization of any Licensed Product, and a portion equal to a percentage in the mid-twenties of any consideration received from any of our sublicensees for Ligand Patents or Ligand know-how, excluding royalties. We must also pay Ligand,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Ligand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Ligand Agreement continues until terminated by either party in accordance with its terms. Either party may terminate the Ligand Agreement for an uncured material breach, bankruptcy or insolvency of the other party.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little experience in product candidate formulation or manufacturing, and no in-house manufacturing capability. We rely on, and expect to continue to rely, on third-party contract manufacturing organizations, or CMOs, for the supply of current good manufacturing practices, or cGMP, compliant clinical trial materials of ensifentrine and any future product candidates, as well as for commercial quantities of ensifentrine and any future product candidates, if approved. We currently do not have any agreements for the commercial production of ensifentrine. While we may contract with other CMOs in the future, we currently contract with only one pharmaceuticals CMO for the manufacture of ensifentrine drug substance. For ensifentrine drug product in our nebulized formulation, we currently have one CMO for the manufacture in glass vials and one CMO with which we are developing a presentation of the same nebulized formulation in plastic ampules. Similarly, we currently have one CMO for our DPI development and manufacturing program and one CMO for our pMDI development and manufacturing program. We believe that the ensifentrine manufacturing processes can be transferred to other CMOs for the production of clinical and commercial supplies of ensifentrine in the ordinary course of business.</w:t>
      </w:r>
    </w:p>
    <w:p>
      <w:pPr>
        <w:spacing w:after="0" w:line="10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Manufacturing of any product candidate is subject to extensive regulations that impose various procedural and documentation requirements governing record-keeping, manufacturing processes and controls, personnel, quality control, quality assurance, and quality by design among others. We require that all of our CMOs will manufacture ensifentrine in accordance with cGMP guidelines.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ensifentrine, if successfully developed and approved, has the potential to address the unmet clinical need in a number of commercially attractive respiratory conditions and markets including the treatment of COPD in the maintenance and acute settings, asthma and CF. Based on market research, we believe that the key markets for ensifentrine, if approved, are the United States, European Union and China. Our commercial priority is to develop and launch ensifentrine for the U.S. COPD maintenance setting, initially delivered via a standard jet nebulizer.</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Ensifentrine's clinical profile offers the potential to further reduce COPD symptoms and exacerbations when added on top of current therapies. US physicians, responding to Verona Pharma market research, reported a willingness to prescribe ensifentrine on top of current therapies including patients currently receiving maximum available dual bronchodilatory therapy (LAMA plus LABA, with or without ICS). We believe 2 million US COPD patients are currently treated with dual bronchodilatory therapy, and of these approximately 800,000 have uncontrolled disease and continue to experience debilitating symptoms of breathlessness and flare ups of disease called 'exacerbations', requiring hospitalization.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Ensifentrine is a unique, first-in-class drug candidate with both bronchodilator and anti-inflammatory properties. No other dual PDE3 and PDE4 inhibitor is on the market nor in clinical development, as far as we can ascertain. Generically, we consider ensifentrine's current closest potential competitors in the nebulized maintenance treatment of COPD in the U.S. market to be long-acting beta2-agonist bronchodilators and long-acting anti-muscarinic bronchodilators. However, neither class of drug provides an anti-inflammatory effect. We consider ensifentrine's current closest potential competitors in the DPI/pMDI maintenance treatment of COPD to be Symbicort, a combination of a long-acting beta2-agonist bronchodilator and ICS marketed by AstraZeneca plc, Spiriva, a long-acting anti-muscarinic bronchodilator marketed by Boehringer IngelheimGmbH, Advair, a combination of a long-acting beta2-agonist bronchodilator and ICS marketed by GlaxoSmithKline plc, or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82" w:right="239" w:bottom="1440" w:gutter="0" w:footer="0" w:header="0"/>
        </w:sectPr>
      </w:pPr>
    </w:p>
    <w:bookmarkStart w:id="57" w:name="page58"/>
    <w:bookmarkEnd w:id="57"/>
    <w:p>
      <w:pPr>
        <w:spacing w:after="0" w:line="253" w:lineRule="auto"/>
        <w:rPr>
          <w:sz w:val="20"/>
          <w:szCs w:val="20"/>
          <w:color w:val="auto"/>
        </w:rPr>
      </w:pPr>
      <w:r>
        <w:rPr>
          <w:rFonts w:ascii="Arial" w:cs="Arial" w:eastAsia="Arial" w:hAnsi="Arial"/>
          <w:sz w:val="18"/>
          <w:szCs w:val="18"/>
          <w:color w:val="auto"/>
        </w:rPr>
        <w:t>GlaxoSmithKline, Utibron Neohaler, a combination of a long-acting beta2-agonist and long-acting anti -muscarinic bronchodilator marketed by Novartis International AG, Breo, a combination of a long-acting beta2-agonist bronchodilator and ICS marketed by GlaxoSmithKline, and Anoro, a combination of a long-acting beta2-agonist bronchodilator and long -acting anti-muscarinic bronchodilator marketed by GlaxoSmithKline. A triple-combination therapy of a LAMA, a LABA and ICS, developed by GlaxoSmithKline and Chiesi Farmaceutici S.p.A. has been approved in the United States and the European Union and AstraZeneca also has a triple-therapy combination product in development.</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compete directly with biotechnology and pharmaceutical companies that focus on the treatment of respiratory diseases. We also face competition from academic research institutions, governmental agencies and other various public and private research institutions. We expect to face increasingly intense competition as new technologies become available. Any product candidates, including ensifentrine, that we successfully develop and commercialize will compete with existing therapies and new therapies that may become available in the future.</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competitive factors affecting the success of ensifentrine, if approved, are likely to be its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less expensive, more convenient or easier to administer, or have fewer or less severe side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ensifentrine achieves marketing approval, it may be priced at a significant premium over competitive products or be priced at a level that makes it difficult for us to supply ensifentrine in a cost-efficient and profitable way.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February 11, 2019 our patent portfolio consisted of eight issued U.S. patents, five pending U.S. patent applications, twenty-nine issued foreign patents and fifty-four pending foreign applications including one patent application made under the Patent Cooperation Treaty. These patents and patent applications include claims directed to ensifentrine (RPL554) composition of matter, new dosage formulations and a crystalline polymorph, as well as methods of making and using ensifentrine in the treatment of respiratory diseases, with expected expiry dates between 2020 and 2039.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 relating to ensifentrine includes nine patent families:</w:t>
      </w:r>
    </w:p>
    <w:p>
      <w:pPr>
        <w:spacing w:after="0" w:line="99" w:lineRule="exact"/>
        <w:rPr>
          <w:sz w:val="20"/>
          <w:szCs w:val="20"/>
          <w:color w:val="auto"/>
        </w:rPr>
      </w:pPr>
    </w:p>
    <w:p>
      <w:pPr>
        <w:jc w:val="both"/>
        <w:ind w:left="980" w:right="20" w:hanging="324"/>
        <w:spacing w:after="0" w:line="26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first of these patent families relates to ensifentrine </w:t>
      </w:r>
      <w:r>
        <w:rPr>
          <w:rFonts w:ascii="Arial" w:cs="Arial" w:eastAsia="Arial" w:hAnsi="Arial"/>
          <w:sz w:val="18"/>
          <w:szCs w:val="18"/>
          <w:i w:val="1"/>
          <w:iCs w:val="1"/>
          <w:color w:val="auto"/>
        </w:rPr>
        <w:t>per se</w:t>
      </w:r>
      <w:r>
        <w:rPr>
          <w:rFonts w:ascii="Arial" w:cs="Arial" w:eastAsia="Arial" w:hAnsi="Arial"/>
          <w:sz w:val="18"/>
          <w:szCs w:val="18"/>
          <w:color w:val="auto"/>
        </w:rPr>
        <w:t>. As of February 11, 2019, this patent family includes granted patents in Australia, Brazil, Canada, China, Europe, Japan, Mexico as well as four granted patents in the United States. We expect patents in this family to expire in March 2020.</w:t>
      </w:r>
    </w:p>
    <w:p>
      <w:pPr>
        <w:spacing w:after="0" w:line="86" w:lineRule="exact"/>
        <w:rPr>
          <w:rFonts w:ascii="Arial" w:cs="Arial" w:eastAsia="Arial" w:hAnsi="Arial"/>
          <w:sz w:val="18"/>
          <w:szCs w:val="18"/>
          <w:color w:val="auto"/>
        </w:rPr>
      </w:pPr>
    </w:p>
    <w:p>
      <w:pPr>
        <w:ind w:left="980" w:right="240" w:hanging="324"/>
        <w:spacing w:after="0" w:line="25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second of these patent families relates to a crystalline polymorph of ensifentrine. As of February 11, 2019, this patent family included granted patents in Australia, Canada, China, Europe, Indonesia, Israel, Japan, South Korea, Malaysia, Mexico, the Philippines, Russia, the United States and Taiwan and patent applications in Thailand and the Gulf Cooperation Council. We expect patents in this family to expire in August 2031.</w:t>
      </w:r>
    </w:p>
    <w:p>
      <w:pPr>
        <w:spacing w:after="0" w:line="96" w:lineRule="exact"/>
        <w:rPr>
          <w:rFonts w:ascii="Arial" w:cs="Arial" w:eastAsia="Arial" w:hAnsi="Arial"/>
          <w:sz w:val="18"/>
          <w:szCs w:val="18"/>
          <w:color w:val="auto"/>
        </w:rPr>
      </w:pPr>
    </w:p>
    <w:p>
      <w:pPr>
        <w:ind w:left="980" w:right="60" w:hanging="324"/>
        <w:spacing w:after="0" w:line="217" w:lineRule="exact"/>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third of these patent families relates to the combination of ensifentrine with a beta</w:t>
      </w:r>
      <w:r>
        <w:rPr>
          <w:rFonts w:ascii="MS PGothic" w:cs="MS PGothic" w:eastAsia="MS PGothic" w:hAnsi="MS PGothic"/>
          <w:sz w:val="18"/>
          <w:szCs w:val="18"/>
          <w:color w:val="auto"/>
        </w:rPr>
        <w:t>‑</w:t>
      </w:r>
      <w:r>
        <w:rPr>
          <w:rFonts w:ascii="Arial" w:cs="Arial" w:eastAsia="Arial" w:hAnsi="Arial"/>
          <w:sz w:val="18"/>
          <w:szCs w:val="18"/>
          <w:color w:val="auto"/>
        </w:rPr>
        <w:t>adrenergic receptor agonist. As of February 11, 2019, this patent family included granted patents in Europe and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82" w:right="259" w:bottom="1440" w:gutter="0" w:footer="0" w:header="0"/>
        </w:sectPr>
      </w:pPr>
    </w:p>
    <w:bookmarkStart w:id="58" w:name="page59"/>
    <w:bookmarkEnd w:id="58"/>
    <w:p>
      <w:pPr>
        <w:ind w:left="980"/>
        <w:spacing w:after="0"/>
        <w:rPr>
          <w:sz w:val="20"/>
          <w:szCs w:val="20"/>
          <w:color w:val="auto"/>
        </w:rPr>
      </w:pPr>
      <w:r>
        <w:rPr>
          <w:rFonts w:ascii="Arial" w:cs="Arial" w:eastAsia="Arial" w:hAnsi="Arial"/>
          <w:sz w:val="18"/>
          <w:szCs w:val="18"/>
          <w:color w:val="auto"/>
        </w:rPr>
        <w:t>the United States and a patent application in Canada. We expect patents in this family to expire in March 2034.</w:t>
      </w:r>
    </w:p>
    <w:p>
      <w:pPr>
        <w:spacing w:after="0" w:line="131" w:lineRule="exact"/>
        <w:rPr>
          <w:sz w:val="20"/>
          <w:szCs w:val="20"/>
          <w:color w:val="auto"/>
        </w:rPr>
      </w:pPr>
    </w:p>
    <w:p>
      <w:pPr>
        <w:jc w:val="both"/>
        <w:ind w:left="980" w:right="100" w:hanging="324"/>
        <w:spacing w:after="0" w:line="25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fourth of these patent families relates to the combination of ensifentrine with a muscarinic receptor antagonist. As of February 11, 2019, this patent family included granted patents in Australia, Europe, Russia and the United States and patent applications in Canada, China, India, Japan, South Korea, Mexico, Thailand and the United States (continuation application). We expect patents in this family to expire in March 2034.</w:t>
      </w:r>
    </w:p>
    <w:p>
      <w:pPr>
        <w:spacing w:after="0" w:line="96" w:lineRule="exact"/>
        <w:rPr>
          <w:rFonts w:ascii="Arial" w:cs="Arial" w:eastAsia="Arial" w:hAnsi="Arial"/>
          <w:sz w:val="18"/>
          <w:szCs w:val="18"/>
          <w:color w:val="auto"/>
        </w:rPr>
      </w:pPr>
    </w:p>
    <w:p>
      <w:pPr>
        <w:ind w:left="980" w:right="40" w:hanging="324"/>
        <w:spacing w:after="0" w:line="25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fifth of these patent families relates to certain specific salts of ensifentrine. As of February 11, 2019, this patent family included patent applications in Australia, Canada, China, Europe, Israel, Japan, Mexico, New Zealand, the United States and South Africa. We expect patents in this family to expire in February 2036.</w:t>
      </w:r>
    </w:p>
    <w:p>
      <w:pPr>
        <w:spacing w:after="0" w:line="93" w:lineRule="exact"/>
        <w:rPr>
          <w:rFonts w:ascii="Arial" w:cs="Arial" w:eastAsia="Arial" w:hAnsi="Arial"/>
          <w:sz w:val="18"/>
          <w:szCs w:val="18"/>
          <w:color w:val="auto"/>
        </w:rPr>
      </w:pPr>
    </w:p>
    <w:p>
      <w:pPr>
        <w:ind w:left="980" w:right="20" w:hanging="324"/>
        <w:spacing w:after="0" w:line="25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sixth of these patent families relates to use of ensifentrine to treat certain diseases associated with the function of CFTR (including CF). As of February 11, 2019, this patent family included a granted patent in Europe and patent applications in Australia, Canada, Europe (divisional application), Israel, Mexico, Russia, the United States and South Africa. We expect patents in this family to expire in May 2035.</w:t>
      </w:r>
    </w:p>
    <w:p>
      <w:pPr>
        <w:spacing w:after="0" w:line="96" w:lineRule="exact"/>
        <w:rPr>
          <w:rFonts w:ascii="Arial" w:cs="Arial" w:eastAsia="Arial" w:hAnsi="Arial"/>
          <w:sz w:val="18"/>
          <w:szCs w:val="18"/>
          <w:color w:val="auto"/>
        </w:rPr>
      </w:pPr>
    </w:p>
    <w:p>
      <w:pPr>
        <w:ind w:left="980" w:hanging="324"/>
        <w:spacing w:after="0" w:line="252"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seventh of these patent families relates to an inhalable formulation of ensifentrine. As of February 11, 2019, this patent family included granted patents in Europe, Hong Kong, the United States, Singapore and South Africa and patent applications in Australia (parent and divisional applications), Brazil, Canada, China (parent and divisional applications), Europe (two divisional applications), Hong Kong (divisional application), Indonesia, Israel, India, Japan (parent and divisional applications), South Korea, Mexico, Malaysia, New Zealand, the Philippines, Russia, Thailand and the United States (continuation application). A notice of allowance has been received on the European divisional application. We expect patents in this family to expire in September 2035.</w:t>
      </w:r>
    </w:p>
    <w:p>
      <w:pPr>
        <w:spacing w:after="0" w:line="100" w:lineRule="exact"/>
        <w:rPr>
          <w:rFonts w:ascii="Arial" w:cs="Arial" w:eastAsia="Arial" w:hAnsi="Arial"/>
          <w:sz w:val="18"/>
          <w:szCs w:val="18"/>
          <w:color w:val="auto"/>
        </w:rPr>
      </w:pPr>
    </w:p>
    <w:p>
      <w:pPr>
        <w:ind w:left="980" w:hanging="324"/>
        <w:spacing w:after="0" w:line="25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eighth of these patent families relates to a new intermediate for the manufacture of ensifentrine and to processes useful for the production of ensifentrine and related compounds. As of February 11, 2019, this patent family included a PCT application and patent applications in China, Europe, India, Japan, United States and Taiwan. We expect patents in this family to expire in July 2037.</w:t>
      </w:r>
    </w:p>
    <w:p>
      <w:pPr>
        <w:spacing w:after="0" w:line="96" w:lineRule="exact"/>
        <w:rPr>
          <w:rFonts w:ascii="Arial" w:cs="Arial" w:eastAsia="Arial" w:hAnsi="Arial"/>
          <w:sz w:val="18"/>
          <w:szCs w:val="18"/>
          <w:color w:val="auto"/>
        </w:rPr>
      </w:pPr>
    </w:p>
    <w:p>
      <w:pPr>
        <w:ind w:left="980" w:right="140" w:hanging="324"/>
        <w:spacing w:after="0" w:line="25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ninth of these patent families relates to a formulation comprising ensifentrine for a pMDI. As of February 11, 2019, this patent family included a pending, unpublished patent application in the United Kingdom. We expect patents in this family to expire in October 2039.</w:t>
      </w:r>
    </w:p>
    <w:p>
      <w:pPr>
        <w:spacing w:after="0" w:line="94"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w:t>
      </w:r>
      <w:r>
        <w:rPr>
          <w:rFonts w:ascii="MS PGothic" w:cs="MS PGothic" w:eastAsia="MS PGothic" w:hAnsi="MS PGothic"/>
          <w:sz w:val="18"/>
          <w:szCs w:val="18"/>
          <w:color w:val="auto"/>
        </w:rPr>
        <w:t>‑</w:t>
      </w:r>
      <w:r>
        <w:rPr>
          <w:rFonts w:ascii="Arial" w:cs="Arial" w:eastAsia="Arial" w:hAnsi="Arial"/>
          <w:sz w:val="18"/>
          <w:szCs w:val="18"/>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w:t>
      </w:r>
      <w:r>
        <w:rPr>
          <w:rFonts w:ascii="MS PGothic" w:cs="MS PGothic" w:eastAsia="MS PGothic" w:hAnsi="MS PGothic"/>
          <w:sz w:val="18"/>
          <w:szCs w:val="18"/>
          <w:color w:val="auto"/>
        </w:rPr>
        <w:t>‑</w:t>
      </w:r>
      <w:r>
        <w:rPr>
          <w:rFonts w:ascii="Arial" w:cs="Arial" w:eastAsia="Arial" w:hAnsi="Arial"/>
          <w:sz w:val="18"/>
          <w:szCs w:val="18"/>
          <w:color w:val="auto"/>
        </w:rPr>
        <w:t>related extensions, the availability of legal remedies in a particular country and the validity and enforceability of the patent.</w:t>
      </w:r>
    </w:p>
    <w:p>
      <w:pPr>
        <w:spacing w:after="0" w:line="113" w:lineRule="exact"/>
        <w:rPr>
          <w:sz w:val="20"/>
          <w:szCs w:val="20"/>
          <w:color w:val="auto"/>
        </w:rPr>
      </w:pPr>
    </w:p>
    <w:p>
      <w:pPr>
        <w:ind w:right="100"/>
        <w:spacing w:after="0" w:line="216" w:lineRule="exact"/>
        <w:rPr>
          <w:sz w:val="20"/>
          <w:szCs w:val="20"/>
          <w:color w:val="auto"/>
        </w:rPr>
      </w:pPr>
      <w:r>
        <w:rPr>
          <w:rFonts w:ascii="Arial" w:cs="Arial" w:eastAsia="Arial" w:hAnsi="Arial"/>
          <w:sz w:val="17"/>
          <w:szCs w:val="17"/>
          <w:color w:val="auto"/>
        </w:rPr>
        <w:t>Furthermore, we rely upon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7"/>
          <w:szCs w:val="17"/>
          <w:color w:val="auto"/>
        </w:rPr>
        <w:t>‑</w:t>
      </w:r>
      <w:r>
        <w:rPr>
          <w:rFonts w:ascii="Arial" w:cs="Arial" w:eastAsia="Arial" w:hAnsi="Arial"/>
          <w:sz w:val="17"/>
          <w:szCs w:val="17"/>
          <w:color w:val="auto"/>
        </w:rPr>
        <w:t>how and inventions.</w:t>
      </w:r>
    </w:p>
    <w:p>
      <w:pPr>
        <w:spacing w:after="0" w:line="110" w:lineRule="exact"/>
        <w:rPr>
          <w:sz w:val="20"/>
          <w:szCs w:val="20"/>
          <w:color w:val="auto"/>
        </w:rPr>
      </w:pPr>
    </w:p>
    <w:p>
      <w:pPr>
        <w:jc w:val="both"/>
        <w:ind w:right="620"/>
        <w:spacing w:after="0" w:line="216" w:lineRule="exact"/>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8"/>
          <w:szCs w:val="18"/>
          <w:color w:val="auto"/>
        </w:rPr>
        <w:t>‑</w:t>
      </w:r>
      <w:r>
        <w:rPr>
          <w:rFonts w:ascii="Arial" w:cs="Arial" w:eastAsia="Arial" w:hAnsi="Arial"/>
          <w:sz w:val="18"/>
          <w:szCs w:val="18"/>
          <w:color w:val="auto"/>
        </w:rPr>
        <w:t>party patent would require us to alter our development or commercial strategies, or our drugs or processes, obtain licenses or cease certain activities. Our breach of any</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09" w:right="259" w:bottom="1440" w:gutter="0" w:footer="0" w:header="0"/>
        </w:sectPr>
      </w:pPr>
    </w:p>
    <w:bookmarkStart w:id="59" w:name="page60"/>
    <w:bookmarkEnd w:id="59"/>
    <w:p>
      <w:pPr>
        <w:ind w:right="60"/>
        <w:spacing w:after="0" w:line="254" w:lineRule="auto"/>
        <w:rPr>
          <w:sz w:val="20"/>
          <w:szCs w:val="20"/>
          <w:color w:val="auto"/>
        </w:rPr>
      </w:pPr>
      <w:r>
        <w:rPr>
          <w:rFonts w:ascii="Arial" w:cs="Arial" w:eastAsia="Arial" w:hAnsi="Arial"/>
          <w:sz w:val="18"/>
          <w:szCs w:val="18"/>
          <w:color w:val="auto"/>
        </w:rPr>
        <w:t>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“Item 3.D. Risk Factors - Risks Related to Intellectual Property and Information Technology.”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660" w:right="64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88"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8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17" w:lineRule="exact"/>
        <w:rPr>
          <w:sz w:val="20"/>
          <w:szCs w:val="20"/>
          <w:color w:val="auto"/>
        </w:rPr>
      </w:pPr>
    </w:p>
    <w:p>
      <w:pPr>
        <w:ind w:left="660" w:right="80" w:hanging="328"/>
        <w:spacing w:after="0" w:line="29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66" w:lineRule="exact"/>
        <w:rPr>
          <w:rFonts w:ascii="Arial" w:cs="Arial" w:eastAsia="Arial" w:hAnsi="Arial"/>
          <w:sz w:val="17"/>
          <w:szCs w:val="17"/>
          <w:color w:val="auto"/>
        </w:rPr>
      </w:pPr>
    </w:p>
    <w:p>
      <w:pPr>
        <w:ind w:left="660" w:right="280" w:hanging="328"/>
        <w:spacing w:after="0" w:line="29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66"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special protocol assessment, or SPA, process is designed to facilitate the FDA's review and approval of drugs by allowing the FDA to evaluate issues related to the adequacy of certain clinical trials, including Phase 3 clinical trials that are intended to form the primary basis for a drug product's efficacy claim in an NDA. Upon 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9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8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health concerns emerge that were unrecognized at the time of the protocol assessment:</w:t>
      </w:r>
    </w:p>
    <w:p>
      <w:pPr>
        <w:spacing w:after="0" w:line="11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 of the review division determines that a substantial scientific issue essential to determining safety or efficacy has been identified after testing has begun;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sponsor fails to follow a protocol that was agreed upon with the FDA; or</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9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0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privacy laws and implementation of corporate compliance programs and reporting of payments or other transfers of value to healthcare professionals.</w:t>
      </w:r>
    </w:p>
    <w:p>
      <w:pPr>
        <w:spacing w:after="0" w:line="96"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In order to market our future products in the EEA (which is comprised of the 28 Member States of the EU plus Norway, Iceland and Liechtenstein)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77" w:lineRule="exact"/>
        <w:rPr>
          <w:sz w:val="20"/>
          <w:szCs w:val="20"/>
          <w:color w:val="auto"/>
        </w:rPr>
      </w:pPr>
    </w:p>
    <w:p>
      <w:pPr>
        <w:ind w:left="660" w:hanging="328"/>
        <w:spacing w:after="0" w:line="252"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human medicinal products, such as medicines derived from biotechnology processes, advanced therapy medicinal products (such as gene therapy, somatic cell therapy and tissue engineered products), orphan designated medicinal products, products that contain a new active substance indicated for the treatment of certain diseases such as HIV/AIDS, cancer,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0" w:right="239" w:bottom="1440" w:gutter="0" w:footer="0" w:header="0"/>
        </w:sectPr>
      </w:pPr>
    </w:p>
    <w:bookmarkStart w:id="63" w:name="page64"/>
    <w:bookmarkEnd w:id="63"/>
    <w:p>
      <w:pPr>
        <w:ind w:left="660" w:right="40"/>
        <w:spacing w:after="0" w:line="299" w:lineRule="auto"/>
        <w:rPr>
          <w:sz w:val="20"/>
          <w:szCs w:val="20"/>
          <w:color w:val="auto"/>
        </w:rPr>
      </w:pPr>
      <w:r>
        <w:rPr>
          <w:rFonts w:ascii="Arial" w:cs="Arial" w:eastAsia="Arial" w:hAnsi="Arial"/>
          <w:sz w:val="18"/>
          <w:szCs w:val="18"/>
          <w:color w:val="auto"/>
        </w:rPr>
        <w:t>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Committee for Medicinal Products for Human Use, or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 and</w:t>
      </w:r>
    </w:p>
    <w:p>
      <w:pPr>
        <w:spacing w:after="0" w:line="71" w:lineRule="exact"/>
        <w:rPr>
          <w:sz w:val="20"/>
          <w:szCs w:val="20"/>
          <w:color w:val="auto"/>
        </w:rPr>
      </w:pPr>
    </w:p>
    <w:p>
      <w:pPr>
        <w:ind w:left="660" w:right="60" w:hanging="328"/>
        <w:spacing w:after="0" w:line="25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9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0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also subject to privacy laws in the jurisdictions in which we are established or in which we sell or market our products or run clinical trials.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EU rules with</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09" w:right="259" w:bottom="1440" w:gutter="0" w:footer="0" w:header="0"/>
        </w:sectPr>
      </w:pPr>
    </w:p>
    <w:bookmarkStart w:id="64" w:name="page65"/>
    <w:bookmarkEnd w:id="64"/>
    <w:p>
      <w:pPr>
        <w:ind w:right="80"/>
        <w:spacing w:after="0" w:line="253" w:lineRule="auto"/>
        <w:rPr>
          <w:sz w:val="20"/>
          <w:szCs w:val="20"/>
          <w:color w:val="auto"/>
        </w:rPr>
      </w:pPr>
      <w:r>
        <w:rPr>
          <w:rFonts w:ascii="Arial" w:cs="Arial" w:eastAsia="Arial" w:hAnsi="Arial"/>
          <w:sz w:val="18"/>
          <w:szCs w:val="18"/>
          <w:color w:val="auto"/>
        </w:rPr>
        <w:t>respect to cross-border transfers of personal data out of the EU and EEA. We are subject to the supervision of local data protection authorities in those EU jurisdictions where we are established or otherwise subject to the GDPR. Fines for certain breaches of the GDPR are significant: up to the greater of €20 million or 4% of total global annual turnover. In addition to the foregoing, a breach of the GDPR could result in regulatory investigations, reputational damage, orders to cease/change our use of data, enforcement notices, as well potential civil claims including class action type litigation where individuals suffer harm.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0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82" w:right="259" w:bottom="1440" w:gutter="0" w:footer="0" w:header="0"/>
        </w:sectPr>
      </w:pPr>
    </w:p>
    <w:bookmarkStart w:id="65" w:name="page66"/>
    <w:bookmarkEnd w:id="65"/>
    <w:p>
      <w:pPr>
        <w:jc w:val="both"/>
        <w:ind w:right="260"/>
        <w:spacing w:after="0" w:line="256" w:lineRule="auto"/>
        <w:rPr>
          <w:sz w:val="20"/>
          <w:szCs w:val="20"/>
          <w:color w:val="auto"/>
        </w:rPr>
      </w:pPr>
      <w:r>
        <w:rPr>
          <w:rFonts w:ascii="Arial" w:cs="Arial" w:eastAsia="Arial" w:hAnsi="Arial"/>
          <w:sz w:val="18"/>
          <w:szCs w:val="18"/>
          <w:color w:val="auto"/>
        </w:rPr>
        <w:t>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$165,786 per year and up to an aggregate of $ 1.105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82" w:right="239" w:bottom="1440" w:gutter="0" w:footer="0" w:header="0"/>
        </w:sectPr>
      </w:pPr>
    </w:p>
    <w:bookmarkStart w:id="66" w:name="page67"/>
    <w:bookmarkEnd w:id="66"/>
    <w:p>
      <w:pPr>
        <w:ind w:right="140"/>
        <w:spacing w:after="0" w:line="254" w:lineRule="auto"/>
        <w:rPr>
          <w:sz w:val="20"/>
          <w:szCs w:val="20"/>
          <w:color w:val="auto"/>
        </w:rPr>
      </w:pPr>
      <w:r>
        <w:rPr>
          <w:rFonts w:ascii="Arial" w:cs="Arial" w:eastAsia="Arial" w:hAnsi="Arial"/>
          <w:sz w:val="18"/>
          <w:szCs w:val="18"/>
          <w:color w:val="auto"/>
        </w:rPr>
        <w:t>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 In addition, Congress could consider subsequent legislation to replace those elements of the ACA if so repealed. Further,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Centers for Medicare &amp; Medicaid Services, have stated that this ruling will have no immediate effect, it is unclear how this decision, subsequent appeals, and other efforts to repeal and replace the ACA will impact the law. The ultimate content, timing or effect of any healthcare reform legislation on the U.S. healthcare industry is unclear.</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10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Additionally, on August 2, 2011, the Budget Control Act of 2011 created measures for spending reductions was enacted, which, among other things, included aggregate reductions of Medicare payments to providers of 2%</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382" w:right="279" w:bottom="1440" w:gutter="0" w:footer="0" w:header="0"/>
        </w:sectPr>
      </w:pPr>
    </w:p>
    <w:bookmarkStart w:id="67" w:name="page68"/>
    <w:bookmarkEnd w:id="67"/>
    <w:p>
      <w:pPr>
        <w:ind w:right="40"/>
        <w:spacing w:after="0" w:line="252" w:lineRule="auto"/>
        <w:rPr>
          <w:sz w:val="20"/>
          <w:szCs w:val="20"/>
          <w:color w:val="auto"/>
        </w:rPr>
      </w:pPr>
      <w:r>
        <w:rPr>
          <w:rFonts w:ascii="Arial" w:cs="Arial" w:eastAsia="Arial" w:hAnsi="Arial"/>
          <w:sz w:val="18"/>
          <w:szCs w:val="18"/>
          <w:color w:val="auto"/>
        </w:rPr>
        <w:t>per fiscal year, which went into effect on April 1, 2013 and, due to subsequent legislative amendments to the statute, will stay in effect through 2027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December 31, 2018, we had 15 employees. None of our employees is subject to a collective bargaining agreement or represented by a trade or labor union.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principal office is located at 3 More London Riverside, London, SE1 2RE, United Kingdom, where we lease office space under leases that terminate in early 2020. We also lease office space at 434 West 33rd Street, New York City, New York, under leases that terminate in 2019. We intend to add new facilities as we add employees, and we believe that suitable additional or substitute space will be available as needed to accommodate any such expansion of our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13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We have two wholly-owned subsidiaries, Verona Pharma Inc., which is incorporated in the United States in the State of Delaware, and Rhinopharma Ltd., which is incorporated in Canada.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principal office is located at 3 More London Riverside, London SE1 2RE, United Kingdom, where we lease office space. We also lease office space in Manhattan, New York. The office space in these two locations is held under six leases that terminate between October 2019 and January 2020. We intend to add new facilities as we add employees, and we believe that suitable additional or substitute space will be available as needed to accommodate any such expansion of our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13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 xml:space="preserve">For information on environmental issues that may affect our utilization of our facilities, see Item 3.D. Risk Factors — Risks Related to Healthcare Laws and Other Legal Compliance Matters — </w:t>
      </w:r>
      <w:r>
        <w:rPr>
          <w:rFonts w:ascii="Arial" w:cs="Arial" w:eastAsia="Arial" w:hAnsi="Arial"/>
          <w:sz w:val="18"/>
          <w:szCs w:val="18"/>
          <w:i w:val="1"/>
          <w:iCs w:val="1"/>
          <w:color w:val="auto"/>
        </w:rPr>
        <w:t>We are subject to environmental, health and safety laws and regulations, and we</w:t>
      </w:r>
      <w:r>
        <w:rPr>
          <w:rFonts w:ascii="Arial" w:cs="Arial" w:eastAsia="Arial" w:hAnsi="Arial"/>
          <w:sz w:val="18"/>
          <w:szCs w:val="18"/>
          <w:color w:val="auto"/>
        </w:rPr>
        <w:t xml:space="preserve"> </w:t>
      </w:r>
      <w:r>
        <w:rPr>
          <w:rFonts w:ascii="Arial" w:cs="Arial" w:eastAsia="Arial" w:hAnsi="Arial"/>
          <w:sz w:val="18"/>
          <w:szCs w:val="18"/>
          <w:i w:val="1"/>
          <w:iCs w:val="1"/>
          <w:color w:val="auto"/>
        </w:rPr>
        <w:t>may become exposed to liability and substantial expenses in connection with environmental compliance or remediation activities</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82"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(RPL554) is an investigational, potential first-in-class, inhaled, dual inhibitor of the enzymes phosphodiesterase 3 and 4, or PDE3 and PDE4, that is designed to act as both a bronchodilator and an anti-inflammatory agent. We are not aware of any other product formulated in a single compound in clinical development or approved by the U.S. Food and Drug Administration, or FDA, or the European Medicines Agency, or EMA, for the treatment of respiratory diseases as both a bronchodilator and anti-inflammatory agent. We believe ensifentrine has the potential to be the first novel class of bronchodilator in over 40 years. A nebulized formulation of ensifentrine is currently in Phase 2 clinical development for the treatment of COPD. Successful Phase 1 and 2 studies have been completed with nebulized ensifentrine in healthy volunteers and in patients with cystic fibrosis, or CF, chronic asthma and allergic rhinitis, in addition to COPD. A Phase 2 study in COPD with ensifentrine formulated in a dry powder inhaler is ongoing, and a Phase 2 study in COPD with ensifentrine formulated in a pressurized metered dose inhaler is planned to commence in 2019. We intend to first develop ensifentrine as a nebulized therapy for the treatment of COPD.</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 past 40 years, the treatment of COPD has been dominated by three classes of inhaled therapies approved for use by the FDA or EMA: antimuscarinic agents and beta2-agonists, both available as either short-acting or long-acting bronchodilators, and inhaled corticosteroids, or ICS, known for their anti-inflammatory effects. However, despite existing treatment with one or multiple combinations of these therapies, and owing to the progressive and incurable nature of COPD, many COPD patients on maximum inhaled therapy still experience significant lung function impairment and symptoms for which limited further approved treatment options are available. One such treatment is an oral formulation of a PDE4 inhibitor with anti-inflammatory properties, although frequency of adverse events has limited its use in COPD patients.</w:t>
      </w:r>
    </w:p>
    <w:p>
      <w:pPr>
        <w:spacing w:after="0" w:line="1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have completed 13 Phase 1 and Phase 2 clinical trials with ensifentrine which have enrolled over 800 subjects with COPD, asthma, cystic fibrosis, or allergic rhinitis or healthy volunteers. In our clinical trials, treatment with ensifentrine has been repeatedly observed to result in statistically significant improvements in lung function as compared to placebo, whether dosed alone or in combination with commonly used short- and long-acting classes of bronchodilators, with or without ICS. Statistically significant means that there is a low statistical probability, typically less than 5%, that the observed results occurred by chance alone. In our Phase 2b clinical trial of nebulized ensifentrine as a maintenance treatment for COPD, patients with moderate-to-severe COPD treated with ensifentrine showed clinically meaningful and statistically significant improvements in daily reported COPD symptom scores. In addition, our clinical trials have also shown clinically meaningful and statistically significant additional improvements in certain measures of lung function following combined treatment with ensifentrine as add-on to other approved bronchodilators; COPD patients experienced a marked reduction in residual lung volume, which is believed to be related to one of the most debilitating symptoms, breathlessness. The rapid onset of action observed when adding ensifentrine on top of tiotropium, a commonly used LAMA, was also notable, and may be particularly helpful to those patients suffering from morning breathlessness. We believe that the clinical effects observed with ensifentrine are driven by its bronchodilator, anti-inflammatory and mucociliary clearance mechanisms.</w:t>
      </w:r>
    </w:p>
    <w:p>
      <w:pPr>
        <w:spacing w:after="0" w:line="10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Ensifentrine has been observed to be well tolerated in our clinical trials to date and has not been observed to result in the gastrointestinal or other side effects commonly associated with roflumilast (Daxas/Daliresp), the only PDE4 inhibitor currently on the market for the treatment of COPD.</w:t>
      </w:r>
    </w:p>
    <w:p>
      <w:pPr>
        <w:spacing w:after="0" w:line="3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believe ensifentrine, having shown improvement in forced expiratory volume in one second, or FEV</w:t>
      </w:r>
      <w:r>
        <w:rPr>
          <w:rFonts w:ascii="Arial" w:cs="Arial" w:eastAsia="Arial" w:hAnsi="Arial"/>
          <w:sz w:val="21"/>
          <w:szCs w:val="21"/>
          <w:color w:val="auto"/>
          <w:vertAlign w:val="subscript"/>
        </w:rPr>
        <w:t>1</w:t>
      </w:r>
      <w:r>
        <w:rPr>
          <w:rFonts w:ascii="Arial" w:cs="Arial" w:eastAsia="Arial" w:hAnsi="Arial"/>
          <w:sz w:val="18"/>
          <w:szCs w:val="18"/>
          <w:color w:val="auto"/>
        </w:rPr>
        <w:t>, a measure of lung function, and symptoms (which commonly are a precursor to exacerbations) in clinical trials, may be an attractive additional treatment for COPD patients. In the United States, approximately three million COPD patients are treated with single bronchodilator (either a LAMA or LABA) therapy. In our clinical trials, ensifentrine has been observed to improve lung function, measured by FEV</w:t>
      </w:r>
      <w:r>
        <w:rPr>
          <w:rFonts w:ascii="Arial" w:cs="Arial" w:eastAsia="Arial" w:hAnsi="Arial"/>
          <w:sz w:val="21"/>
          <w:szCs w:val="21"/>
          <w:color w:val="auto"/>
          <w:vertAlign w:val="subscript"/>
        </w:rPr>
        <w:t>1</w:t>
      </w:r>
      <w:r>
        <w:rPr>
          <w:rFonts w:ascii="Arial" w:cs="Arial" w:eastAsia="Arial" w:hAnsi="Arial"/>
          <w:sz w:val="18"/>
          <w:szCs w:val="18"/>
          <w:color w:val="auto"/>
        </w:rPr>
        <w:t>, and residual volume, when used in addition to existing approved bronchodilators, and we believe it is well placed to potentially meet the need for a safe and effective dual bronchodilator/anti-inflammatory treatment regimen as an add-on to, for example, a LAMA.We are also developing nebulized ensifentrine for the treatment of patients with CF. We believe ensifentrine, if approved, has the potential to become a novel treatment option for these patients. We may also explore, alone or with a collaborator, the development of ensifentrine to treat asthma and other respiratory diseases.</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2018, earlier than expected, we reported data from our Phase 2b parallel group study in 403 patients with COPD in Europe to examine the effect in patients without concomitant bronchodilator therapy. The patients received either placebo or ensifentrine at doses ranging from 0.75 mg to 6 mg twice daily over 4 weeks .</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360" w:right="279" w:bottom="1440" w:gutter="0" w:footer="0" w:header="0"/>
        </w:sectPr>
      </w:pPr>
    </w:p>
    <w:bookmarkStart w:id="69" w:name="page70"/>
    <w:bookmarkEnd w:id="69"/>
    <w:p>
      <w:pPr>
        <w:ind w:right="120"/>
        <w:spacing w:after="0" w:line="255" w:lineRule="auto"/>
        <w:rPr>
          <w:sz w:val="20"/>
          <w:szCs w:val="20"/>
          <w:color w:val="auto"/>
        </w:rPr>
      </w:pPr>
      <w:r>
        <w:rPr>
          <w:rFonts w:ascii="Arial" w:cs="Arial" w:eastAsia="Arial" w:hAnsi="Arial"/>
          <w:sz w:val="18"/>
          <w:szCs w:val="18"/>
          <w:color w:val="auto"/>
        </w:rPr>
        <w:t>Treatment with ensifentrine met the primary endpoint for all doses, showing a statistically significant increase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compared to placebo (p&lt;0.001) with absolute changes from baseline &gt;200 mL in peak FEV1 after 4 weeks of dosing. In addition, statistically significant improvements in average FEV1 over 12 hours were observed at all doses after the first administration, and this effect was sustained over 4 weeks. Notably, statistically significant and clinically meaningful improvements in total COPD symptoms (p&lt;0.002) and dyspnea (p&lt;0.02) were shown using the E-RS (EXACT-PRO) - a recognized patient-reported outcome measure for use in clinical studies of COPD, and the Transition Dyspnea Index. We believe that the progressive improvement in COPD symptoms over the 4 week treatment period, which was different from the immediate onset of the bronchodilator response, suggest the involvement of an anti-inflammatory effect.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March 2018, we reported top-line data from a Phase 2a single-dose PK and pharmacodynamics, or PD, trial in the United</w:t>
      </w:r>
    </w:p>
    <w:p>
      <w:pPr>
        <w:spacing w:after="0" w:line="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Kingdom evaluating ensifentrine in ten CF patients. A PD trial involves the study of the biochemical and physiological effects of a drug and its mechanism of action. The PK profile was consistent with that observed in patients with COPD, although with lower peak serum levels of ensifentrine in CF patients. The serum half-life was dose dependent: 7.5 to 10.1 hours for 1.5 mg and 6 mg, respectively. Ensifentrine elicited a statistically significant increase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in treated patients for 1.5 mg (all time points, p&lt;0.01) and 6 mg (all time points p&lt;0.05) at 4, 6 and 8 hour time points. Ensifentrine was observed to be well-tolerated in this patient group with an adverse event profile consistent with other studies with ensifentrine.</w:t>
      </w:r>
    </w:p>
    <w:p>
      <w:pPr>
        <w:spacing w:after="0" w:line="1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or otherwise. Ensifentrine is our only current product candidate and our ability to generate revenue sufficient to achieve profitability will depend on our successful development and eventual commercialization of ensifentrine, if approved, for one or more of its targeted indications. Since our inception, we have incurred significant operating losses. For the years ended December 31, 2017 and 2018 we incurred net losses of £20.5 million and £19.9 million, respectively. As of December 31, 2018, we had an accumulated loss of £69.1 million.</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ensifentrine, and seek regulatory approval and pursue commercialization of ensifentrine, if approved. In addition, if we obtain regulatory approval for ensifentrine, we expect to incur significant commercialization expenses related to product manufacturing, marketing, sales and distribution. In addition, we may incur expenses in connection with the in-license or acquisition of additional product candidates and the potential clinical development of any such product candidates.</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were incorporated in February 2005 and are headquartered in the United Kingdom. Since September 2006, our ordinary shares have traded on AIM, a market of the London Stock Exchange, under the symbol "VRP". We have raised approximately £145 million in gross proceeds from investors since such listing, of which approximately £70.3 million was raised in our initial public offering of our American Depositary Shares, or ADSs, in April and May 2017, which are listed on The Nasdaq Global Market, or Nasdaq, under the symbol “VRNA,” and the accompanying private offering in Europe of our ordinary shares, or the global offering, and a concurrent private placement to certain shareholders of our ordinary shares, or the shareholder private placement, and £45 million was raised in our July 2016 private placement of equity securities with a number of European and U.S.-based healthcare specialist investment firms, or the July 2016 Placement.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Ligand (formerly Vernalis)</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February 2005, Rhinopharma Limited, or Rhinopharma, entered into an assignment and license agreement with Vernalis Development Limited, or Vernalis (in October 2018, Vernalis was acquired by, and became a wholly owned subsidiary of, Ligand Pharmaceuticals, Inc., or Ligand). We refer to the assignment and license agreement as the Ligand Agreement. In 2006, we acquired Rhinopharma and all of its rights and obligations under the Ligand Agreement. Pursuant to the Ligand Agreement, Ligand has assigned to us all of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27" w:right="239" w:bottom="1440" w:gutter="0" w:footer="0" w:header="0"/>
        </w:sectPr>
      </w:pPr>
    </w:p>
    <w:bookmarkStart w:id="70" w:name="page71"/>
    <w:bookmarkEnd w:id="70"/>
    <w:p>
      <w:pPr>
        <w:spacing w:after="0" w:line="251" w:lineRule="auto"/>
        <w:rPr>
          <w:sz w:val="20"/>
          <w:szCs w:val="20"/>
          <w:color w:val="auto"/>
        </w:rPr>
      </w:pPr>
      <w:r>
        <w:rPr>
          <w:rFonts w:ascii="Arial" w:cs="Arial" w:eastAsia="Arial" w:hAnsi="Arial"/>
          <w:sz w:val="18"/>
          <w:szCs w:val="18"/>
          <w:color w:val="auto"/>
        </w:rPr>
        <w:t>Under the Ligand Agreement, we are obligated to pay Ligand a milestone payment of £5.0 million upon the first approval of any regulatory authority for the commercialization of any Licensed Product, and a portion equal to a percentage in the mid-twenties of any consideration received from any of our sublicensees for Ligand Patents or Ligand know-how, excluding royalties. We must also pay Ligand,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Ligand Patents covering the development, manufacture or commercialization of such Licensed Product in such country. Prior to the first commercial sale of each Licensed Product, such royalties also are due in the same percentages for any named patient sales. See "Business — Vernalis Agreement" for further information regarding this agreement.</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recorded a liability in our statement of financial position reflecting the contingent obligation we assumed from Rhinopharma to make payments to Ligand under the Ligand Agreement. Cost relating to the unwinding of the discount rate of the carrying value of this assumed contingent obligation in any reporting period is recorded as finance expense or finance income in our statement of comprehensive income. See "— Financial Operations Overview — Finance Income and Expense" and Note 2.12 of our Annual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do not have any approved products. Accordingly, we have not generated any revenue, and we do not expect to generate any revenue from the sale of any products unless or until we obtain regulatory approvals of and commercialize ensifentrine or any other product candidate we may develop in the future, which may never occur.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include:</w:t>
      </w:r>
    </w:p>
    <w:p>
      <w:pPr>
        <w:spacing w:after="0" w:line="117" w:lineRule="exact"/>
        <w:rPr>
          <w:sz w:val="20"/>
          <w:szCs w:val="20"/>
          <w:color w:val="auto"/>
        </w:rPr>
      </w:pPr>
    </w:p>
    <w:p>
      <w:pPr>
        <w:ind w:left="660" w:right="84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 for our research and development personnel;</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for production of drug substance by contract manufacturing organizations;</w:t>
      </w:r>
    </w:p>
    <w:p>
      <w:pPr>
        <w:spacing w:after="0" w:line="117"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and other costs paid to contract research organizations and consultants to conduct our clinical trials and pre-clinical and non-clinical studies;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of related facilities, materials and equipment;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associated with obtaining and maintaining patents and other intellectual property;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amortization and depreciation of intangible and tangible fixed assets used to develop ensifentrine.</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Research and development activities will continue to be central to our business model. Product candidates in later stages of clinical development, such as ensifentrine for the maintenance treatment of COPD, generally have higher development costs than those in earlier stages of clinical development, primarily due to the increased size and duration of later-stage clinical trials. We expect our research and development costs to be significant over the next several years as we hire additional research and development personnel and increase compensation costs, advance the clinical development of ensifentrine, develop new formulations of ensifentrine for the treatment of COPD, continue the clinical development of ensifentrine for the treatment of CF and asthma and potentially pursue the development of ensifentrine for other forms of respiratory disease.</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successful development and commercialization of ensifentrine is highly uncertain. At this time, we cannot reasonably estimate the nature, timing and estimated costs of the efforts that will be necessary to complete the development of, or the period, if any, in which material net cash inflows may commence from, ensifentrine or any future product candidates. This is due to numerous risks and uncertainties associated with developing drugs, including the uncertainty of:</w:t>
      </w:r>
    </w:p>
    <w:p>
      <w:pPr>
        <w:spacing w:after="0" w:line="9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progress and results of clinical trials and pre-clinical and non-clinical studies;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ensifentrine or any other future product candidate, if approved.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382" w:right="259" w:bottom="1440" w:gutter="0" w:footer="0" w:header="0"/>
        </w:sectPr>
      </w:pPr>
    </w:p>
    <w:bookmarkStart w:id="71" w:name="page72"/>
    <w:bookmarkEnd w:id="71"/>
    <w:p>
      <w:pPr>
        <w:spacing w:after="0" w:line="253" w:lineRule="auto"/>
        <w:rPr>
          <w:sz w:val="20"/>
          <w:szCs w:val="20"/>
          <w:color w:val="auto"/>
        </w:rPr>
      </w:pPr>
      <w:r>
        <w:rPr>
          <w:rFonts w:ascii="Arial" w:cs="Arial" w:eastAsia="Arial" w:hAnsi="Arial"/>
          <w:sz w:val="18"/>
          <w:szCs w:val="18"/>
          <w:color w:val="auto"/>
        </w:rPr>
        <w:t>Any of these variables with respect to the development of ensifentrine or any other future product candidate that we may develop could result in a significant change in the costs and timing associated with the development of ensifentrine or such future product candidate. For example, if the FDA, the EMA or 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general and administrative costs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requirements of being a listed public company on AIM and Nasdaq. 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Additionally, we anticipate continued increased costs associated with being a U.S. public company, including expenses related to services associated with maintaining compliance with Nasdaq rules and SEC requirements, director compensation, insurance and investor relation costs. If ensifentrine obtains regulatory approval for marketing, we expect that we will incur expenses associated with building a sales and marketing team. In addition, we expect to continue to grant share-based compensation awards to key management personnel and other employees.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Expense</w:t>
      </w:r>
    </w:p>
    <w:p>
      <w:pPr>
        <w:spacing w:after="0" w:line="13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Finance income consists of interest earned on our cash and cash equivalents and any decrease in the fair value of the derivative financial liability related to the 31,115,926 units issued by us to new and existing institutional and other investors in the July 2016 Placement.</w:t>
      </w:r>
    </w:p>
    <w:p>
      <w:pPr>
        <w:spacing w:after="0" w:line="8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Finance expense consists of any increase in the carrying value resulting from the unwinding of the discount factor related to the assumed contingent arrangement under the Ligand Agreement and any increase in the fair value of the derivative financial liability related to the July 2016 Placement.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a company that carries out extensive research and development activities, we benefit from the U.K. research and development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consumables and certain internal overhead costs incurred as part of research projects. In the event we generate revenues in the future, we may benefit from the "patent box" initiative that allows profits attributable to revenues from patents or patented products to be taxed at a lower rate than other revenue of 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discussion and analysis of our financial condition and results of operations is based on our financial statements, which we have prepared in accordance with IFRS as issued by the IASB.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significant accounting policies are more fully described in the notes to our financial statements appearing elsewhere in this Annual Report. We believe that the following accounting policies are the most critical to aid you in fully understanding and evaluating our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Contingent Obligation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significant management estimate relates to the probability, amount and timing of any payment relating to the assumed contingent obligation under the Ligand Agreement, a provision for which is recorded in our statement of financial position. See “- License Agreement with Ligand,” “Item 4.B. Business Overview - Ligand Agreement” and Note 18 to our Annual Consolidated Financial Statements included elsewhere in this Annual Report. A change in the probability and timing of any payment relating to the assumed contingent obligation could result in a significant fluctuation in our financial results in future periods.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8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Valuation of Derivative Financial Liability</w:t>
      </w:r>
    </w:p>
    <w:p>
      <w:pPr>
        <w:spacing w:after="0" w:line="13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connection with the July 2016 Placement, we issued 31,115,926 warrants to new and existing institutional and other investors. Each warrant is entitled to purchase 0.4 of an ordinary share at a price of £1.7238. Each warrant became exercisable upon the closing of the global offering and will expire on the fifth anniversary of the closing of the global offering.</w:t>
      </w:r>
    </w:p>
    <w:p>
      <w:pPr>
        <w:spacing w:after="0" w:line="94"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classify these warrants as a derivative financial liability to be presented on our consolidated statement of financial position. The fair value of these warrants is determined by applying the Black</w:t>
      </w:r>
      <w:r>
        <w:rPr>
          <w:rFonts w:ascii="MS PGothic" w:cs="MS PGothic" w:eastAsia="MS PGothic" w:hAnsi="MS PGothic"/>
          <w:sz w:val="18"/>
          <w:szCs w:val="18"/>
          <w:color w:val="auto"/>
        </w:rPr>
        <w:t>‑</w:t>
      </w:r>
      <w:r>
        <w:rPr>
          <w:rFonts w:ascii="Arial" w:cs="Arial" w:eastAsia="Arial" w:hAnsi="Arial"/>
          <w:sz w:val="18"/>
          <w:szCs w:val="18"/>
          <w:color w:val="auto"/>
        </w:rPr>
        <w:t>Scholes model. Assumptions are made on inputs such as time to maturity, the share price, volatility and risk free rate, in order to determine the fair value per warrant. For valuation purposes at recognition of the liability, we used the closing share price of our ordinary shares as reported on AIM on July 29, 2016, the date of issuance of the warrants.</w:t>
      </w:r>
    </w:p>
    <w:p>
      <w:pPr>
        <w:spacing w:after="0" w:line="1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At the date of issuance of the warrants we calculated a fair value and recorded a derivative financial liability, which on initial recognition was offset against the share premium in relation to the funds received in connection with the July 2016 Placement. Subsequent updates to the fair value of the derivative financial liability will not result in changes to share premium, but will result in an adjusting entry in the consolidated derivative financial liability statement of comprehensive income. We will continue to adjust the derivative financial liability until the earlier of the exercise of the warrants or expiration of the warrants occurs.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refer to Note 2.18 to our Annual Consolidated Financial Statements for the year ended December 31, 2018 included elsewhere in this Annual Report for a discussion of new standards and interpretations not yet adopted by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107(b) of the Jumpstart Our Business Startups Act of 2012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3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preparation for our listing on Nasdaq, we reassessed our critical accounting policies to ensure compliance with IFRS. As part of this reassessment, we identified errors relating to the recognition of assumed liabilities and goodwill in connection with the acquisition of Rhinopharma in September 2006.</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concluded that a lack of adequate controls surrounding our historical accounting for business combinations constituted a material weakness in our internal control over financial reporting, as defined in the standards established by the U.S. Public Accounting Oversight Board, or the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remediated this material weakness by the hiring of our chief financial officer in September 2016 and enhancing our financial reporting team. We also instituted a program of controls over financial reporting that will ensure we manage our financial reporting in accordance with good business practice and Sarbanes-Oxley legislation. However, we cannot be certain that these efforts will prevent future material weaknesses or significant deficiencies from occurring.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36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2018 and 2017</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following table sets forth our results of operations for the periods indicated. For the convenience of the reader, we have translated pound sterling amounts as of December 31, 2018 at the noon buying rate of the Federal Reserve Bank of New York on December 31, 2018, which was £ 1.00 to $1.2763. These translations should not be considered representations that any such amounts have been, could have been or could be converted into U.S. dollars at that or any other exchange rate as of that or any other date.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spacing w:after="0"/>
              <w:rPr>
                <w:sz w:val="22"/>
                <w:szCs w:val="22"/>
                <w:color w:val="auto"/>
              </w:rPr>
            </w:pPr>
          </w:p>
        </w:tc>
      </w:tr>
      <w:tr>
        <w:trPr>
          <w:trHeight w:val="264"/>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center"/>
              <w:ind w:right="213"/>
              <w:spacing w:after="0"/>
              <w:rPr>
                <w:sz w:val="20"/>
                <w:szCs w:val="20"/>
                <w:color w:val="auto"/>
              </w:rPr>
            </w:pPr>
            <w:r>
              <w:rPr>
                <w:rFonts w:ascii="Arial" w:cs="Arial" w:eastAsia="Arial" w:hAnsi="Arial"/>
                <w:sz w:val="14"/>
                <w:szCs w:val="14"/>
                <w:b w:val="1"/>
                <w:bCs w:val="1"/>
                <w:color w:val="auto"/>
                <w:w w:val="99"/>
              </w:rPr>
              <w:t>£000's</w:t>
            </w:r>
          </w:p>
        </w:tc>
        <w:tc>
          <w:tcPr>
            <w:tcW w:w="460" w:type="dxa"/>
            <w:vAlign w:val="bottom"/>
          </w:tcPr>
          <w:p>
            <w:pPr>
              <w:spacing w:after="0"/>
              <w:rPr>
                <w:sz w:val="22"/>
                <w:szCs w:val="22"/>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£000's</w:t>
            </w:r>
          </w:p>
        </w:tc>
        <w:tc>
          <w:tcPr>
            <w:tcW w:w="400" w:type="dxa"/>
            <w:vAlign w:val="bottom"/>
          </w:tcPr>
          <w:p>
            <w:pPr>
              <w:spacing w:after="0"/>
              <w:rPr>
                <w:sz w:val="22"/>
                <w:szCs w:val="22"/>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$000's</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w:t>
            </w:r>
          </w:p>
        </w:tc>
        <w:tc>
          <w:tcPr>
            <w:tcW w:w="4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(24,625)</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7,018</w:t>
            </w:r>
          </w:p>
        </w:tc>
        <w:tc>
          <w:tcPr>
            <w:tcW w:w="46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2,783</w:t>
            </w:r>
          </w:p>
        </w:tc>
        <w:tc>
          <w:tcPr>
            <w:tcW w:w="4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3,552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4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(25,203)</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(24,133)</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(30,801)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4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4,232</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5,401</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(20,497)</w:t>
            </w: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(19,901)</w:t>
            </w:r>
          </w:p>
        </w:tc>
        <w:tc>
          <w:tcPr>
            <w:tcW w:w="4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(25,400)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 income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owners of the company</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4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year ended December 31, 2018 was £25.6 million (2017: £29.8 million) and the loss after tax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was £19.9 million (2017: £20.5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9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Research and development costs were £19.3 million for the year ended December 31, 2018 as compared to £23.7 million for the year ended December 31, 2017, a decrease of £4.4 million. The cost of clinical trials reduced by £5.9 million as there were four active trials in the year ended December 31, 2017, including a four week Phase 2b trial for COPD maintenance treatment, compared to two clinical trials in the year ended December 31, 2018. Pre-clinical costs also reduced by £0.4 million. These reductions were offset by a £2.0 million increase in contract manufacturing and formulation development costs. Personnel related costs increased by £0.1 million in the year ended December 31, 2018, compared to the prior year.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General and administrative costs were £6.3 million for the year ended December 31, 2018 as compared to £6.0 million for the year ended December 31, 2017, an increase of £0.3 million. The increase was primarily attributable to a £0.3 million increase in the non-cash share-based payment charge, a £0.2 million increase in personnel related costs and a £0.4 million increase in other overhead costs. This was offset by a £0.6 million decrease in commercial research costs and a decrease in professional fees related to the global offering and shareholder private placement, which occurred in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Finance income was £2.8 million for the year ended December 31, 2018 and £7.0 million for the year ended December 31, 2017. The decrease was primarily due to an increase in the fair value of the warrant liability in the year ended December 31, 2018 (which is a non-cash item, recorded as a finance expense) compared to a decrease in the liability in the year ended December 31, 2017, which resulted in a non-cash gain (recorded as finance income) of £6.7 million in 2017. There was a foreign exchange gain on cash and short term investments of £1.9 million in the year ended December 31, 2018, and a loss in the prior year (recorded in finance expense). Furthermore, £0.9 million of interest was received in the year ended December 31, 2018 (2017: £0.3 million).</w:t>
      </w:r>
    </w:p>
    <w:p>
      <w:pPr>
        <w:spacing w:after="0" w:line="2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Finance expense was £1.3 million for the year ended December 31, 2018 as compared to £2.5 million for the year ended December 31, 2017. The movement was due to an increase in the fair value of the warrant liability of £1.2 million, recorded in finance expense, compared to a reduction in the value of the liability in 2017 (recorded in finance income), both non-cash items. In addition, there was a foreign exchange loss on cash and short-term investments in 2017 of £2.4 million. In the year ended December 31, 2018, there was a foreign exchange gain (recorded in finance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there was approximately £19.8 million in cash and cash equivalents (2017: £31.4 million) and £44.9 million in 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investments (2017: £48.8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Taxation for the year ended December 31, 2018 amounted to a credit of £4.2 million as compared to a credit of £4.7 million for the year ended December 31, 2017, a decrease in the credit amount of £0.5 million. The credits are obtained at a rate of 14.5% of 230% of our qualifying research and development expenditure, and the decrease in the credit amount was primarily attributable to our reduced expenditure on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9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2017 and 2016</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08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340" w:type="dxa"/>
            <w:vAlign w:val="bottom"/>
          </w:tcPr>
          <w:p>
            <w:pPr>
              <w:spacing w:after="0"/>
              <w:rPr>
                <w:sz w:val="18"/>
                <w:szCs w:val="18"/>
                <w:color w:val="auto"/>
              </w:rPr>
            </w:pP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64"/>
        </w:trPr>
        <w:tc>
          <w:tcPr>
            <w:tcW w:w="8340" w:type="dxa"/>
            <w:vAlign w:val="bottom"/>
          </w:tcPr>
          <w:p>
            <w:pPr>
              <w:spacing w:after="0"/>
              <w:rPr>
                <w:sz w:val="22"/>
                <w:szCs w:val="22"/>
                <w:color w:val="auto"/>
              </w:rPr>
            </w:pPr>
          </w:p>
        </w:tc>
        <w:tc>
          <w:tcPr>
            <w:tcW w:w="1780" w:type="dxa"/>
            <w:vAlign w:val="bottom"/>
          </w:tcPr>
          <w:p>
            <w:pPr>
              <w:jc w:val="right"/>
              <w:ind w:right="734"/>
              <w:spacing w:after="0"/>
              <w:rPr>
                <w:sz w:val="20"/>
                <w:szCs w:val="20"/>
                <w:color w:val="auto"/>
              </w:rPr>
            </w:pPr>
            <w:r>
              <w:rPr>
                <w:rFonts w:ascii="Arial" w:cs="Arial" w:eastAsia="Arial" w:hAnsi="Arial"/>
                <w:sz w:val="14"/>
                <w:szCs w:val="14"/>
                <w:b w:val="1"/>
                <w:bCs w:val="1"/>
                <w:color w:val="auto"/>
              </w:rPr>
              <w:t>£000's</w:t>
            </w: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rPr>
              <w:t>£000's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(23,717)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7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(6,039)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7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(29,756)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780" w:type="dxa"/>
            <w:vAlign w:val="bottom"/>
          </w:tcPr>
          <w:p>
            <w:pPr>
              <w:jc w:val="right"/>
              <w:ind w:right="314"/>
              <w:spacing w:after="0"/>
              <w:rPr>
                <w:sz w:val="20"/>
                <w:szCs w:val="20"/>
                <w:color w:val="auto"/>
              </w:rPr>
            </w:pPr>
            <w:r>
              <w:rPr>
                <w:rFonts w:ascii="Arial" w:cs="Arial" w:eastAsia="Arial" w:hAnsi="Arial"/>
                <w:sz w:val="18"/>
                <w:szCs w:val="18"/>
                <w:color w:val="auto"/>
              </w:rPr>
              <w:t>7,018</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1,841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7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(2,465)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(25,203)</w:t>
            </w:r>
          </w:p>
        </w:tc>
        <w:tc>
          <w:tcPr>
            <w:tcW w:w="1300" w:type="dxa"/>
            <w:vAlign w:val="bottom"/>
          </w:tcPr>
          <w:p>
            <w:pPr>
              <w:jc w:val="right"/>
              <w:spacing w:after="0"/>
              <w:rPr>
                <w:sz w:val="20"/>
                <w:szCs w:val="20"/>
                <w:color w:val="auto"/>
              </w:rPr>
            </w:pPr>
            <w:r>
              <w:rPr>
                <w:rFonts w:ascii="Arial" w:cs="Arial" w:eastAsia="Arial" w:hAnsi="Arial"/>
                <w:sz w:val="18"/>
                <w:szCs w:val="18"/>
                <w:color w:val="auto"/>
              </w:rPr>
              <w:t>(5,973)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7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4,706</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780" w:type="dxa"/>
            <w:vAlign w:val="bottom"/>
          </w:tcPr>
          <w:p>
            <w:pPr>
              <w:jc w:val="right"/>
              <w:ind w:right="254"/>
              <w:spacing w:after="0"/>
              <w:rPr>
                <w:sz w:val="20"/>
                <w:szCs w:val="20"/>
                <w:color w:val="auto"/>
              </w:rPr>
            </w:pPr>
            <w:r>
              <w:rPr>
                <w:rFonts w:ascii="Arial" w:cs="Arial" w:eastAsia="Arial" w:hAnsi="Arial"/>
                <w:sz w:val="18"/>
                <w:szCs w:val="18"/>
                <w:color w:val="auto"/>
              </w:rPr>
              <w:t>(20,497)</w:t>
            </w:r>
          </w:p>
        </w:tc>
        <w:tc>
          <w:tcPr>
            <w:tcW w:w="1300" w:type="dxa"/>
            <w:vAlign w:val="bottom"/>
          </w:tcPr>
          <w:p>
            <w:pPr>
              <w:jc w:val="right"/>
              <w:spacing w:after="0"/>
              <w:rPr>
                <w:sz w:val="20"/>
                <w:szCs w:val="20"/>
                <w:color w:val="auto"/>
              </w:rPr>
            </w:pPr>
            <w:r>
              <w:rPr>
                <w:rFonts w:ascii="Arial" w:cs="Arial" w:eastAsia="Arial" w:hAnsi="Arial"/>
                <w:sz w:val="18"/>
                <w:szCs w:val="18"/>
                <w:color w:val="auto"/>
              </w:rPr>
              <w:t>(5,019)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 income:</w:t>
            </w:r>
          </w:p>
        </w:tc>
        <w:tc>
          <w:tcPr>
            <w:tcW w:w="17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7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(29)</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owners of the company</w:t>
            </w:r>
          </w:p>
        </w:tc>
        <w:tc>
          <w:tcPr>
            <w:tcW w:w="17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(20,526)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0"/>
        </w:trPr>
        <w:tc>
          <w:tcPr>
            <w:tcW w:w="8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year ended December 31, 2017 was £29.8 million (2016: £7.0 million) and the loss after tax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was £20.5 million (2016: £5.0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9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Research and development costs were £23.7 million for the year ended December 31, 2017 as compared to £4.5 million for the year ended December 31, 2016, an increase of £19.2 million. The increase was attributable to a £12.3 million increase in clinical trial expenses related to the initiation of four, and completion of two, Phase 2 clinical trials of ensifentrine. In addition, spending on contract manufacturing and other formulation work increased by £2.7 million and toxicology and other pre-clinical development by £1.2 million. Salary costs increased by £0.3 million and share-based payment charge by £1.2 million as we expanded our team and initiated a new long term incentive plan to drive development of ensifentrine. Furthermore, expenses for third-party consultants increased by £0.8 million and patent and other costs by £0.3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General and administrative costs were £6.0 million for the year ended December 31, 2017 as compared to £2.5 million for the year ended December 31, 2016, an increase of £3.5 million. The increase was attributable to £0.8 million increase in our salary costs and a £1.1 million increase in share-based payment charge as we built the team to support our activities. There was an increase of £1.3 million of costs in preparation for and relating to the global offering, as well as ongoing compliance and other costs due to listing our ADSs on Nasdaq. We also incurred costs of £0.4 million developing our commercial strategy for ensifentrine.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Finance income was £ 7.0 million for the year ended December 31, 2017 and £1.8 million for the year ended December 31, 2016. The increase in finance income was primarily due to a decrease in the fair value of the warrant liability of £6.6 million caused by changes in the underlying assumptions for measuring the liability of the warrants issued in the July 2016 Placement, including the price and volatility of our ordinary shares and the unwinding of the expected life of the warrants.</w:t>
      </w:r>
    </w:p>
    <w:p>
      <w:pPr>
        <w:spacing w:after="0" w:line="2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Finance expense was £2.5 million for the year ended December 31, 2017 as compared to £0.8 million for the year ended December 31, 2016. The increase was primarily due to the foreign exchange loss on translation of foreign currency denominated cash and cash equivalents and short-term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was approximately £31.4 million in cash and cash equivalents (2016: £39.8 million) and £48.8 million in 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investments (2016: £nil).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Taxation for the year ended December 31, 2017 amounted to a credit of £ 4.7 million as compared to a credit of £ 1.0 million for the year ended December 31, 2016, an increase in the credit amount of £3.7 million. The credits are obtained at a rate of 14.5% of 230% of our qualifying research and development expenditure, and the</w:t>
      </w:r>
    </w:p>
    <w:p>
      <w:pPr>
        <w:sectPr>
          <w:pgSz w:w="11900" w:h="16838" w:orient="portrait"/>
          <w:cols w:equalWidth="0" w:num="1">
            <w:col w:w="11420"/>
          </w:cols>
          <w:pgMar w:left="240" w:top="360" w:right="239" w:bottom="948"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360" w:right="239" w:bottom="948"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color w:val="auto"/>
        </w:rPr>
        <w:t>increase in the credit amount was primarily attributable to our increased expenditure on research and development.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our inception, we have incurred significant operating losses. We anticipate that we will continue to incur losses for at least the next several years. We expect that our research and development and general and administrative costs will increase in connection with conducting clinical trials for ensifentrine and seeking marketing approval for ensifentrine in the United States and Europe as well as other jurisdictions. As a result, we will need additional capital to fund our operations, which we may obtain from additional financings, research funding, collaborations, contract and grant revenue or other sources.</w:t>
      </w:r>
    </w:p>
    <w:p>
      <w:pPr>
        <w:spacing w:after="0" w:line="26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including warrants. Since our inception, we raised gross proceeds of approximately £145 million from sales of equity securities, of which approximately £70.3 million was raised in April and May 2017 in the global offering and shareholder private placement and £45 million was raised in the July 2016 Placement. As of December 31, 2018, we had cash and cash equivalents of £19.8 million and short-term investments (representing bank deposits with maturities of greater than three months at inception) of £44.9 million.</w:t>
      </w:r>
    </w:p>
    <w:p>
      <w:pPr>
        <w:spacing w:after="0" w:line="26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01"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The table below summaries our cash flows for each of the periods presented. For the convenience of the reader, we have translated pound sterling amounts as of December 31, 2018 at the noon buying rate of the Federal Reserve Bank of New York on December 31, 2018, which was £ 1.00 to $1.2763. These translations should not be considered representations that any such amounts have been, could have been or could be converted into U.S. dollars at that or any other exchange rate as of that or any other date.</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cash (used in) / generated from investing activities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from financing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spacing w:after="0"/>
              <w:rPr>
                <w:sz w:val="17"/>
                <w:szCs w:val="17"/>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£000's</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£000's</w:t>
            </w: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$000's</w:t>
            </w:r>
          </w:p>
        </w:tc>
      </w:tr>
      <w:tr>
        <w:trPr>
          <w:trHeight w:val="256"/>
        </w:trPr>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(20,696)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(18,111)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(23,115)</w:t>
            </w:r>
          </w:p>
        </w:tc>
      </w:tr>
      <w:tr>
        <w:trPr>
          <w:trHeight w:val="270"/>
        </w:trPr>
        <w:tc>
          <w:tcPr>
            <w:tcW w:w="36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(49,469)</w:t>
            </w:r>
          </w:p>
        </w:tc>
        <w:tc>
          <w:tcPr>
            <w:tcW w:w="500" w:type="dxa"/>
            <w:vAlign w:val="bottom"/>
          </w:tcPr>
          <w:p>
            <w:pPr>
              <w:spacing w:after="0"/>
              <w:rPr>
                <w:sz w:val="23"/>
                <w:szCs w:val="23"/>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5,281</w:t>
            </w:r>
          </w:p>
        </w:tc>
        <w:tc>
          <w:tcPr>
            <w:tcW w:w="5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6,740</w:t>
            </w:r>
          </w:p>
        </w:tc>
      </w:tr>
      <w:tr>
        <w:trPr>
          <w:trHeight w:val="277"/>
        </w:trPr>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63,246</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(6,919)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-908685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-548005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6020" w:space="720"/>
            <w:col w:w="4680"/>
          </w:cols>
          <w:pgMar w:left="240" w:top="517" w:right="239" w:bottom="1440" w:gutter="0" w:footer="0" w:header="0"/>
          <w:type w:val="continuous"/>
        </w:sectPr>
      </w:pPr>
    </w:p>
    <w:p>
      <w:pPr>
        <w:ind w:right="100"/>
        <w:spacing w:after="0" w:line="254" w:lineRule="auto"/>
        <w:rPr>
          <w:sz w:val="20"/>
          <w:szCs w:val="20"/>
          <w:color w:val="auto"/>
        </w:rPr>
      </w:pPr>
      <w:r>
        <w:rPr>
          <w:rFonts w:ascii="Arial" w:cs="Arial" w:eastAsia="Arial" w:hAnsi="Arial"/>
          <w:sz w:val="18"/>
          <w:szCs w:val="18"/>
          <w:color w:val="auto"/>
        </w:rPr>
        <w:t>The decrease in net cash used in operating activities to £18.1 million for the year ended December 31, 2018 from £20.7 million for the year ended December 31, 2017 was due to a decrease in operating activities of £4.2 million and an increase in net tax inflow of £3.8 million relating principally to cash received from UK research and development tax credits. Offsetting this was a £5.4 million movement in timing of supplier payments.</w:t>
      </w:r>
    </w:p>
    <w:p>
      <w:pPr>
        <w:spacing w:after="0" w:line="1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cash (used in) / generated from investing activities predominantly reflects the net movement of cash being placed on deposit for more than three months and such deposits maturing, because deposits of more than three months are disclosed as short-term investments, separately from cash. Net cash generated from investing activities was £5.3 million for the year ended December 31, 2018, compared to net cash used in investing activities of £49.5 million for the year ended December 31, 2017. This reflects the placement of a significant proportion of the proceeds from the global offering on deposit as short-term investments in 2017. In 2018, there was a net decrease in short-term deposits of three months or more reflecting a higher value of short-term deposits maturing, and being transferred to cash, than being placed. We balance the objective of obtaining higher interest income from longer-term deposits with short-term liquidity requirements.</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was no net cash received from financing activities for the year ended December 31, 2018. The £63.2 million received for the year ended December 31, 2017 was the cash raised from the global offering and shareholder private placement.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17"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301"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As of December 31, 2018, we had an accumulated loss of £69.1 million. We expect to continue to incur significant operating losses for the foreseeable future as we continue our research and development efforts and seek to obtain regulatory approval and commercialization of ensifentrine and any future product candidate we develop.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27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initiate and conduct any clinical trials for ensifentrine for the maintenance treatment of COPD and as a treatment for acute COPD;</w:t>
      </w:r>
    </w:p>
    <w:p>
      <w:pPr>
        <w:spacing w:after="0" w:line="27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the clinical development of our DPI and pMDI formulations of ensifentrine and research and develop other formulations of ensifentrine;</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initiate and conduct clinical trials for ensifentrine for the treatment of CF or any other indication;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initiate and progress pre-clinical studies relating to other potential indications of ensifentrine;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279"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continuing operations as a UK and U.S. public company; and</w:t>
      </w:r>
    </w:p>
    <w:p>
      <w:pPr>
        <w:spacing w:after="0" w:line="25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expect that our existing cash, cash equivalents and short-term investments will enable us to fund our operating expenses and capital expenditure requirements through the end of our Phase 2 development of nebulized ensifentrine for the maintenance treatment of COPD, as well as preparatory activities to enable us to undertake Phase 3 development in this indication, pending regulatory review. We have based this estimate on assumptions that may prove to be wrong, and we may use our available capital resources sooner than we currently expect. Because of the numerous risks and uncertainties associated with the development of ensifentrine and any future product candidates and because the extent to which we may enter into collaborations with third parties for development of ensifentrine is unknown, we are unable to estimate the amounts of increased capital outlays and operating expenses associated with completing the research and development of ensifentrine. Our future capital requirements for ensifentrine or any future product candidates will depend on many factors, including:</w:t>
      </w:r>
    </w:p>
    <w:p>
      <w:pPr>
        <w:spacing w:after="0" w:line="260" w:lineRule="exact"/>
        <w:rPr>
          <w:sz w:val="20"/>
          <w:szCs w:val="20"/>
          <w:color w:val="auto"/>
        </w:rPr>
      </w:pPr>
    </w:p>
    <w:p>
      <w:pPr>
        <w:ind w:left="660" w:right="3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decide to in-license and develop;</w:t>
      </w:r>
    </w:p>
    <w:p>
      <w:pPr>
        <w:spacing w:after="0" w:line="144" w:lineRule="exact"/>
        <w:rPr>
          <w:rFonts w:ascii="Arial" w:cs="Arial" w:eastAsia="Arial" w:hAnsi="Arial"/>
          <w:sz w:val="18"/>
          <w:szCs w:val="18"/>
          <w:color w:val="auto"/>
        </w:rPr>
      </w:pPr>
    </w:p>
    <w:p>
      <w:pPr>
        <w:ind w:left="660" w:right="14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ensifentrine or any future product candidates;</w:t>
      </w:r>
    </w:p>
    <w:p>
      <w:pPr>
        <w:spacing w:after="0" w:line="11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115" w:lineRule="exact"/>
        <w:rPr>
          <w:rFonts w:ascii="Arial" w:cs="Arial" w:eastAsia="Arial" w:hAnsi="Arial"/>
          <w:sz w:val="18"/>
          <w:szCs w:val="18"/>
          <w:color w:val="auto"/>
        </w:rPr>
      </w:pPr>
    </w:p>
    <w:p>
      <w:pPr>
        <w:ind w:left="660" w:right="24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licensing or milestone fees we might have to pay during future development of ensifentrine or any future product candidates;</w:t>
      </w:r>
    </w:p>
    <w:p>
      <w:pPr>
        <w:spacing w:after="0" w:line="144"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ectPr>
          <w:pgSz w:w="11900" w:h="16838" w:orient="portrait"/>
          <w:cols w:equalWidth="0" w:num="1">
            <w:col w:w="11420"/>
          </w:cols>
          <w:pgMar w:left="240" w:top="495"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95" w:right="239" w:bottom="1440" w:gutter="0" w:footer="0" w:header="0"/>
          <w:type w:val="continuous"/>
        </w:sectPr>
      </w:pPr>
    </w:p>
    <w:bookmarkStart w:id="78" w:name="page79"/>
    <w:bookmarkEnd w:id="78"/>
    <w:p>
      <w:pPr>
        <w:ind w:left="660" w:right="14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ensifentrine or any future product candidates, if approved.</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commercial revenues, if any, will be derived from sales of products that we do not expect to be commercially available for many years, if ever. Accordingly, we will need to obtain substantial additional funds to achieve our business objective.</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securityholders’ ownership interests.</w:t>
      </w:r>
    </w:p>
    <w:p>
      <w:pPr>
        <w:spacing w:after="0" w:line="2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 and Licenses, etc.</w:t>
      </w:r>
    </w:p>
    <w:p>
      <w:pPr>
        <w:spacing w:after="0" w:line="27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For a discussion of our research and development activities, including amounts spent on company-sponsored research and development activities for the last three financial years, see Item 4.B. Business Overview and Item 5.A.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Other than as disclosed elsewhere in this Annual Report, we are not aware of any trends, uncertainties, demands, commitments or events that are reasonably likely to have a material adverse effect on our net revenues, income from continuing operations, profitability, liquidity or capital resources, or that would cause the disclosed financial information to be not necessarily indicative of future operating results or financial conditions. For more information, see Item 4.B. Business Overview, Item 5.A. Operating Results, and Item 5.B. 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presented, we did not, and we do not currently, have any off-balance sheet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 and Commitments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contractual obligations at December 31, 2018.</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Payments Due by Period</w:t>
            </w:r>
          </w:p>
        </w:tc>
        <w:tc>
          <w:tcPr>
            <w:tcW w:w="1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4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194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1 - 3</w:t>
            </w:r>
          </w:p>
        </w:tc>
        <w:tc>
          <w:tcPr>
            <w:tcW w:w="1300" w:type="dxa"/>
            <w:vAlign w:val="bottom"/>
          </w:tcPr>
          <w:p>
            <w:pPr>
              <w:jc w:val="right"/>
              <w:ind w:right="659"/>
              <w:spacing w:after="0"/>
              <w:rPr>
                <w:sz w:val="20"/>
                <w:szCs w:val="20"/>
                <w:color w:val="auto"/>
              </w:rPr>
            </w:pPr>
            <w:r>
              <w:rPr>
                <w:rFonts w:ascii="Arial" w:cs="Arial" w:eastAsia="Arial" w:hAnsi="Arial"/>
                <w:sz w:val="14"/>
                <w:szCs w:val="14"/>
                <w:b w:val="1"/>
                <w:bCs w:val="1"/>
                <w:color w:val="auto"/>
              </w:rPr>
              <w:t>3 - 5</w:t>
            </w:r>
          </w:p>
        </w:tc>
        <w:tc>
          <w:tcPr>
            <w:tcW w:w="1260" w:type="dxa"/>
            <w:vAlign w:val="bottom"/>
          </w:tcPr>
          <w:p>
            <w:pPr>
              <w:jc w:val="center"/>
              <w:ind w:right="19"/>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120" w:type="dxa"/>
            <w:vAlign w:val="bottom"/>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1 year</w:t>
            </w:r>
          </w:p>
        </w:tc>
        <w:tc>
          <w:tcPr>
            <w:tcW w:w="1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8"/>
              </w:rPr>
              <w:t>years</w:t>
            </w:r>
          </w:p>
        </w:tc>
        <w:tc>
          <w:tcPr>
            <w:tcW w:w="1300" w:type="dxa"/>
            <w:vAlign w:val="bottom"/>
            <w:tcBorders>
              <w:bottom w:val="single" w:sz="8" w:color="auto"/>
            </w:tcBorders>
          </w:tcPr>
          <w:p>
            <w:pPr>
              <w:jc w:val="center"/>
              <w:ind w:right="399"/>
              <w:spacing w:after="0"/>
              <w:rPr>
                <w:sz w:val="20"/>
                <w:szCs w:val="20"/>
                <w:color w:val="auto"/>
              </w:rPr>
            </w:pPr>
            <w:r>
              <w:rPr>
                <w:rFonts w:ascii="Arial" w:cs="Arial" w:eastAsia="Arial" w:hAnsi="Arial"/>
                <w:sz w:val="14"/>
                <w:szCs w:val="14"/>
                <w:b w:val="1"/>
                <w:bCs w:val="1"/>
                <w:color w:val="auto"/>
              </w:rPr>
              <w:t>years</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5 years</w:t>
            </w:r>
          </w:p>
        </w:tc>
      </w:tr>
      <w:tr>
        <w:trPr>
          <w:trHeight w:val="250"/>
        </w:trPr>
        <w:tc>
          <w:tcPr>
            <w:tcW w:w="4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40" w:type="dxa"/>
            <w:vAlign w:val="bottom"/>
          </w:tcPr>
          <w:p>
            <w:pPr>
              <w:jc w:val="center"/>
              <w:ind w:right="122"/>
              <w:spacing w:after="0"/>
              <w:rPr>
                <w:sz w:val="20"/>
                <w:szCs w:val="20"/>
                <w:color w:val="auto"/>
              </w:rPr>
            </w:pPr>
            <w:r>
              <w:rPr>
                <w:rFonts w:ascii="Arial" w:cs="Arial" w:eastAsia="Arial" w:hAnsi="Arial"/>
                <w:sz w:val="14"/>
                <w:szCs w:val="14"/>
                <w:b w:val="1"/>
                <w:bCs w:val="1"/>
                <w:color w:val="auto"/>
              </w:rPr>
              <w:t>(£000's)</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9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94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w:t>
            </w: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1240" w:type="dxa"/>
            <w:vAlign w:val="bottom"/>
          </w:tcPr>
          <w:p>
            <w:pPr>
              <w:jc w:val="right"/>
              <w:spacing w:after="0"/>
              <w:rPr>
                <w:sz w:val="20"/>
                <w:szCs w:val="20"/>
                <w:color w:val="auto"/>
              </w:rPr>
            </w:pPr>
            <w:r>
              <w:rPr>
                <w:rFonts w:ascii="Arial" w:cs="Arial" w:eastAsia="Arial" w:hAnsi="Arial"/>
                <w:sz w:val="18"/>
                <w:szCs w:val="18"/>
                <w:color w:val="auto"/>
              </w:rPr>
              <w:t>572</w:t>
            </w:r>
          </w:p>
        </w:tc>
        <w:tc>
          <w:tcPr>
            <w:tcW w:w="1940" w:type="dxa"/>
            <w:vAlign w:val="bottom"/>
          </w:tcPr>
          <w:p>
            <w:pPr>
              <w:jc w:val="right"/>
              <w:ind w:right="422"/>
              <w:spacing w:after="0"/>
              <w:rPr>
                <w:sz w:val="20"/>
                <w:szCs w:val="20"/>
                <w:color w:val="auto"/>
              </w:rPr>
            </w:pPr>
            <w:r>
              <w:rPr>
                <w:rFonts w:ascii="Arial" w:cs="Arial" w:eastAsia="Arial" w:hAnsi="Arial"/>
                <w:sz w:val="18"/>
                <w:szCs w:val="18"/>
                <w:color w:val="auto"/>
              </w:rPr>
              <w:t>28</w:t>
            </w:r>
          </w:p>
        </w:tc>
        <w:tc>
          <w:tcPr>
            <w:tcW w:w="1300" w:type="dxa"/>
            <w:vAlign w:val="bottom"/>
          </w:tcPr>
          <w:p>
            <w:pPr>
              <w:ind w:left="880"/>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r>
      <w:tr>
        <w:trPr>
          <w:trHeight w:val="20"/>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table above does not include assumed contingent obligation payments we may be required to make under the Ligand Agreement because the amount, timing and likelihood of payment are not known. Such additional payment obligations may be material. See sections titled "— License Agreement with Ligand" and "Business — Ligand Agreement."</w:t>
      </w:r>
    </w:p>
    <w:p>
      <w:pPr>
        <w:spacing w:after="0" w:line="25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addition, we enter into contracts in the ordinary course of business with contract research organizations ("CROs")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1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Executive Officers and Directors</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information about our executive officers, directors, and other key members of management, including their ages as of the date of this Annual Report: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rPr>
              <w:t>Age</w:t>
            </w:r>
          </w:p>
        </w:tc>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Executive Officers</w:t>
            </w:r>
          </w:p>
        </w:tc>
        <w:tc>
          <w:tcPr>
            <w:tcW w:w="120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spacing w:after="0"/>
              <w:rPr>
                <w:sz w:val="21"/>
                <w:szCs w:val="21"/>
                <w:color w:val="auto"/>
              </w:rPr>
            </w:pP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Jan-Anders Karlsson, Ph.D.</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64</w:t>
            </w:r>
          </w:p>
        </w:tc>
        <w:tc>
          <w:tcPr>
            <w:tcW w:w="7400" w:type="dxa"/>
            <w:vAlign w:val="bottom"/>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Piers Morgan</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52</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Claire Poll</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51</w:t>
            </w:r>
          </w:p>
        </w:tc>
        <w:tc>
          <w:tcPr>
            <w:tcW w:w="7400" w:type="dxa"/>
            <w:vAlign w:val="bottom"/>
          </w:tcPr>
          <w:p>
            <w:pPr>
              <w:ind w:left="40"/>
              <w:spacing w:after="0"/>
              <w:rPr>
                <w:sz w:val="20"/>
                <w:szCs w:val="20"/>
                <w:color w:val="auto"/>
              </w:rPr>
            </w:pPr>
            <w:r>
              <w:rPr>
                <w:rFonts w:ascii="Arial" w:cs="Arial" w:eastAsia="Arial" w:hAnsi="Arial"/>
                <w:sz w:val="18"/>
                <w:szCs w:val="18"/>
                <w:color w:val="auto"/>
              </w:rPr>
              <w:t>General Counsel</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Kathleen Rickard, M.D.</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60</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Medical Officer</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Other Key Management</w:t>
            </w:r>
          </w:p>
        </w:tc>
        <w:tc>
          <w:tcPr>
            <w:tcW w:w="1200" w:type="dxa"/>
            <w:vAlign w:val="bottom"/>
          </w:tcPr>
          <w:p>
            <w:pPr>
              <w:spacing w:after="0"/>
              <w:rPr>
                <w:sz w:val="21"/>
                <w:szCs w:val="21"/>
                <w:color w:val="auto"/>
              </w:rPr>
            </w:pPr>
          </w:p>
        </w:tc>
        <w:tc>
          <w:tcPr>
            <w:tcW w:w="7400" w:type="dxa"/>
            <w:vAlign w:val="bottom"/>
          </w:tcPr>
          <w:p>
            <w:pPr>
              <w:spacing w:after="0"/>
              <w:rPr>
                <w:sz w:val="21"/>
                <w:szCs w:val="21"/>
                <w:color w:val="auto"/>
              </w:rPr>
            </w:pPr>
          </w:p>
        </w:tc>
      </w:tr>
      <w:tr>
        <w:trPr>
          <w:trHeight w:val="27"/>
        </w:trPr>
        <w:tc>
          <w:tcPr>
            <w:tcW w:w="2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Hennings</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49</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Director</w:t>
            </w: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Desiree Luthman</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59</w:t>
            </w:r>
          </w:p>
        </w:tc>
        <w:tc>
          <w:tcPr>
            <w:tcW w:w="7400" w:type="dxa"/>
            <w:vAlign w:val="bottom"/>
          </w:tcPr>
          <w:p>
            <w:pPr>
              <w:ind w:left="40"/>
              <w:spacing w:after="0"/>
              <w:rPr>
                <w:sz w:val="20"/>
                <w:szCs w:val="20"/>
                <w:color w:val="auto"/>
              </w:rPr>
            </w:pPr>
            <w:r>
              <w:rPr>
                <w:rFonts w:ascii="Arial" w:cs="Arial" w:eastAsia="Arial" w:hAnsi="Arial"/>
                <w:sz w:val="18"/>
                <w:szCs w:val="18"/>
                <w:color w:val="auto"/>
              </w:rPr>
              <w:t>Vice President, Regulatory Affairs</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Tara Rheault</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43</w:t>
            </w:r>
          </w:p>
        </w:tc>
        <w:tc>
          <w:tcPr>
            <w:tcW w:w="7400" w:type="dxa"/>
            <w:vAlign w:val="bottom"/>
          </w:tcPr>
          <w:p>
            <w:pPr>
              <w:ind w:left="40"/>
              <w:spacing w:after="0"/>
              <w:rPr>
                <w:sz w:val="20"/>
                <w:szCs w:val="20"/>
                <w:color w:val="auto"/>
              </w:rPr>
            </w:pPr>
            <w:r>
              <w:rPr>
                <w:rFonts w:ascii="Arial" w:cs="Arial" w:eastAsia="Arial" w:hAnsi="Arial"/>
                <w:sz w:val="18"/>
                <w:szCs w:val="18"/>
                <w:color w:val="auto"/>
              </w:rPr>
              <w:t>Vice President, R&amp;D Operations and Global Project Management</w:t>
            </w:r>
          </w:p>
        </w:tc>
      </w:tr>
      <w:tr>
        <w:trPr>
          <w:trHeight w:val="263"/>
        </w:trPr>
        <w:tc>
          <w:tcPr>
            <w:tcW w:w="2800" w:type="dxa"/>
            <w:vAlign w:val="bottom"/>
          </w:tcPr>
          <w:p>
            <w:pPr>
              <w:ind w:left="40"/>
              <w:spacing w:after="0"/>
              <w:rPr>
                <w:sz w:val="20"/>
                <w:szCs w:val="20"/>
                <w:color w:val="auto"/>
              </w:rPr>
            </w:pPr>
            <w:r>
              <w:rPr>
                <w:rFonts w:ascii="Arial" w:cs="Arial" w:eastAsia="Arial" w:hAnsi="Arial"/>
                <w:sz w:val="18"/>
                <w:szCs w:val="18"/>
                <w:color w:val="auto"/>
              </w:rPr>
              <w:t>Peter Spargo</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57</w:t>
            </w:r>
          </w:p>
        </w:tc>
        <w:tc>
          <w:tcPr>
            <w:tcW w:w="7400" w:type="dxa"/>
            <w:vAlign w:val="bottom"/>
          </w:tcPr>
          <w:p>
            <w:pPr>
              <w:ind w:left="40"/>
              <w:spacing w:after="0"/>
              <w:rPr>
                <w:sz w:val="20"/>
                <w:szCs w:val="20"/>
                <w:color w:val="auto"/>
              </w:rPr>
            </w:pPr>
            <w:r>
              <w:rPr>
                <w:rFonts w:ascii="Arial" w:cs="Arial" w:eastAsia="Arial" w:hAnsi="Arial"/>
                <w:sz w:val="18"/>
                <w:szCs w:val="18"/>
                <w:color w:val="auto"/>
              </w:rPr>
              <w:t>Senior Vice President, Chemistry Manufacturing and Controls</w:t>
            </w:r>
          </w:p>
        </w:tc>
      </w:tr>
      <w:tr>
        <w:trPr>
          <w:trHeight w:val="27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Non-Executive Directors</w:t>
            </w:r>
          </w:p>
        </w:tc>
        <w:tc>
          <w:tcPr>
            <w:tcW w:w="1200" w:type="dxa"/>
            <w:vAlign w:val="bottom"/>
            <w:shd w:val="clear" w:color="auto" w:fill="CCEEFF"/>
          </w:tcPr>
          <w:p>
            <w:pPr>
              <w:spacing w:after="0"/>
              <w:rPr>
                <w:sz w:val="24"/>
                <w:szCs w:val="24"/>
                <w:color w:val="auto"/>
              </w:rPr>
            </w:pPr>
          </w:p>
        </w:tc>
        <w:tc>
          <w:tcPr>
            <w:tcW w:w="7400" w:type="dxa"/>
            <w:vAlign w:val="bottom"/>
            <w:shd w:val="clear" w:color="auto" w:fill="CCEEFF"/>
          </w:tcPr>
          <w:p>
            <w:pPr>
              <w:spacing w:after="0"/>
              <w:rPr>
                <w:sz w:val="24"/>
                <w:szCs w:val="24"/>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Ken Cunningham, M.D.</w:t>
            </w:r>
            <w:r>
              <w:rPr>
                <w:rFonts w:ascii="Arial" w:cs="Arial" w:eastAsia="Arial" w:hAnsi="Arial"/>
                <w:sz w:val="21"/>
                <w:szCs w:val="21"/>
                <w:color w:val="auto"/>
                <w:vertAlign w:val="superscript"/>
              </w:rPr>
              <w:t>(2)</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66</w:t>
            </w:r>
          </w:p>
        </w:tc>
        <w:tc>
          <w:tcPr>
            <w:tcW w:w="7400" w:type="dxa"/>
            <w:vAlign w:val="bottom"/>
          </w:tcPr>
          <w:p>
            <w:pPr>
              <w:ind w:left="4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Ebsworth, Ph.D.</w:t>
            </w:r>
            <w:r>
              <w:rPr>
                <w:rFonts w:ascii="Arial" w:cs="Arial" w:eastAsia="Arial" w:hAnsi="Arial"/>
                <w:sz w:val="21"/>
                <w:szCs w:val="21"/>
                <w:color w:val="auto"/>
                <w:vertAlign w:val="superscript"/>
              </w:rPr>
              <w:t>(1,2,3)</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64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 of the Board</w:t>
            </w: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Rishi Gupta</w:t>
            </w:r>
            <w:r>
              <w:rPr>
                <w:rFonts w:ascii="Arial" w:cs="Arial" w:eastAsia="Arial" w:hAnsi="Arial"/>
                <w:sz w:val="21"/>
                <w:szCs w:val="21"/>
                <w:color w:val="auto"/>
                <w:vertAlign w:val="superscript"/>
              </w:rPr>
              <w:t>(2)</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41</w:t>
            </w:r>
          </w:p>
        </w:tc>
        <w:tc>
          <w:tcPr>
            <w:tcW w:w="7400" w:type="dxa"/>
            <w:vAlign w:val="bottom"/>
          </w:tcPr>
          <w:p>
            <w:pPr>
              <w:ind w:left="4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Mahendra Shah, Ph.D.</w:t>
            </w:r>
            <w:r>
              <w:rPr>
                <w:rFonts w:ascii="Arial" w:cs="Arial" w:eastAsia="Arial" w:hAnsi="Arial"/>
                <w:sz w:val="21"/>
                <w:szCs w:val="21"/>
                <w:color w:val="auto"/>
                <w:vertAlign w:val="superscript"/>
              </w:rPr>
              <w:t>(3)</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74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tcPr>
          <w:p>
            <w:pPr>
              <w:ind w:left="40"/>
              <w:spacing w:after="0"/>
              <w:rPr>
                <w:sz w:val="20"/>
                <w:szCs w:val="20"/>
                <w:color w:val="auto"/>
              </w:rPr>
            </w:pPr>
            <w:r>
              <w:rPr>
                <w:rFonts w:ascii="Arial" w:cs="Arial" w:eastAsia="Arial" w:hAnsi="Arial"/>
                <w:sz w:val="18"/>
                <w:szCs w:val="18"/>
                <w:color w:val="auto"/>
              </w:rPr>
              <w:t>Andrew Sinclair, Ph.D.</w:t>
            </w:r>
            <w:r>
              <w:rPr>
                <w:rFonts w:ascii="Arial" w:cs="Arial" w:eastAsia="Arial" w:hAnsi="Arial"/>
                <w:sz w:val="21"/>
                <w:szCs w:val="21"/>
                <w:color w:val="auto"/>
                <w:vertAlign w:val="superscript"/>
              </w:rPr>
              <w:t>(1)</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47</w:t>
            </w:r>
          </w:p>
        </w:tc>
        <w:tc>
          <w:tcPr>
            <w:tcW w:w="7400" w:type="dxa"/>
            <w:vAlign w:val="bottom"/>
          </w:tcPr>
          <w:p>
            <w:pPr>
              <w:ind w:left="40"/>
              <w:spacing w:after="0"/>
              <w:rPr>
                <w:sz w:val="20"/>
                <w:szCs w:val="20"/>
                <w:color w:val="auto"/>
              </w:rPr>
            </w:pPr>
            <w:r>
              <w:rPr>
                <w:rFonts w:ascii="Arial" w:cs="Arial" w:eastAsia="Arial" w:hAnsi="Arial"/>
                <w:sz w:val="18"/>
                <w:szCs w:val="18"/>
                <w:color w:val="auto"/>
              </w:rPr>
              <w:t>Non-executive Director</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Vikas Sinha</w:t>
            </w:r>
            <w:r>
              <w:rPr>
                <w:rFonts w:ascii="Arial" w:cs="Arial" w:eastAsia="Arial" w:hAnsi="Arial"/>
                <w:sz w:val="21"/>
                <w:szCs w:val="21"/>
                <w:color w:val="auto"/>
                <w:vertAlign w:val="superscript"/>
              </w:rPr>
              <w:t>(1)</w:t>
            </w:r>
          </w:p>
        </w:tc>
        <w:tc>
          <w:tcPr>
            <w:tcW w:w="12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55</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Non-executive Director</w:t>
            </w:r>
          </w:p>
        </w:tc>
      </w:tr>
      <w:tr>
        <w:trPr>
          <w:trHeight w:val="314"/>
        </w:trPr>
        <w:tc>
          <w:tcPr>
            <w:tcW w:w="2800" w:type="dxa"/>
            <w:vAlign w:val="bottom"/>
          </w:tcPr>
          <w:p>
            <w:pPr>
              <w:ind w:left="40"/>
              <w:spacing w:after="0"/>
              <w:rPr>
                <w:sz w:val="20"/>
                <w:szCs w:val="20"/>
                <w:color w:val="auto"/>
              </w:rPr>
            </w:pPr>
            <w:r>
              <w:rPr>
                <w:rFonts w:ascii="Arial" w:cs="Arial" w:eastAsia="Arial" w:hAnsi="Arial"/>
                <w:sz w:val="18"/>
                <w:szCs w:val="18"/>
                <w:color w:val="auto"/>
              </w:rPr>
              <w:t>Anders Ullman, Ph.D.</w:t>
            </w:r>
            <w:r>
              <w:rPr>
                <w:rFonts w:ascii="Arial" w:cs="Arial" w:eastAsia="Arial" w:hAnsi="Arial"/>
                <w:sz w:val="21"/>
                <w:szCs w:val="21"/>
                <w:color w:val="auto"/>
                <w:vertAlign w:val="superscript"/>
              </w:rPr>
              <w:t>(3)</w:t>
            </w:r>
          </w:p>
        </w:tc>
        <w:tc>
          <w:tcPr>
            <w:tcW w:w="1200" w:type="dxa"/>
            <w:vAlign w:val="bottom"/>
          </w:tcPr>
          <w:p>
            <w:pPr>
              <w:jc w:val="center"/>
              <w:ind w:left="111"/>
              <w:spacing w:after="0"/>
              <w:rPr>
                <w:sz w:val="20"/>
                <w:szCs w:val="20"/>
                <w:color w:val="auto"/>
              </w:rPr>
            </w:pPr>
            <w:r>
              <w:rPr>
                <w:rFonts w:ascii="Arial" w:cs="Arial" w:eastAsia="Arial" w:hAnsi="Arial"/>
                <w:sz w:val="18"/>
                <w:szCs w:val="18"/>
                <w:color w:val="auto"/>
                <w:w w:val="99"/>
              </w:rPr>
              <w:t>63</w:t>
            </w:r>
          </w:p>
        </w:tc>
        <w:tc>
          <w:tcPr>
            <w:tcW w:w="7400" w:type="dxa"/>
            <w:vAlign w:val="bottom"/>
          </w:tcPr>
          <w:p>
            <w:pPr>
              <w:ind w:left="40"/>
              <w:spacing w:after="0"/>
              <w:rPr>
                <w:sz w:val="20"/>
                <w:szCs w:val="20"/>
                <w:color w:val="auto"/>
              </w:rPr>
            </w:pPr>
            <w:r>
              <w:rPr>
                <w:rFonts w:ascii="Arial" w:cs="Arial" w:eastAsia="Arial" w:hAnsi="Arial"/>
                <w:sz w:val="18"/>
                <w:szCs w:val="18"/>
                <w:color w:val="auto"/>
              </w:rPr>
              <w:t>Non-executive Director</w:t>
            </w:r>
          </w:p>
        </w:tc>
      </w:tr>
    </w:tbl>
    <w:p>
      <w:pPr>
        <w:spacing w:after="0" w:line="137" w:lineRule="exact"/>
        <w:rPr>
          <w:sz w:val="20"/>
          <w:szCs w:val="20"/>
          <w:color w:val="auto"/>
        </w:rPr>
      </w:pPr>
    </w:p>
    <w:p>
      <w:pPr>
        <w:ind w:left="840" w:hanging="832"/>
        <w:spacing w:after="0"/>
        <w:tabs>
          <w:tab w:leader="none" w:pos="8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Audit and Risk Committee member</w:t>
      </w:r>
    </w:p>
    <w:p>
      <w:pPr>
        <w:spacing w:after="0" w:line="365" w:lineRule="exact"/>
        <w:rPr>
          <w:rFonts w:ascii="Arial" w:cs="Arial" w:eastAsia="Arial" w:hAnsi="Arial"/>
          <w:sz w:val="14"/>
          <w:szCs w:val="14"/>
          <w:color w:val="auto"/>
        </w:rPr>
      </w:pPr>
    </w:p>
    <w:p>
      <w:pPr>
        <w:ind w:left="840" w:hanging="832"/>
        <w:spacing w:after="0"/>
        <w:tabs>
          <w:tab w:leader="none" w:pos="8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Remuneration Committee member</w:t>
      </w:r>
    </w:p>
    <w:p>
      <w:pPr>
        <w:spacing w:after="0" w:line="365" w:lineRule="exact"/>
        <w:rPr>
          <w:rFonts w:ascii="Arial" w:cs="Arial" w:eastAsia="Arial" w:hAnsi="Arial"/>
          <w:sz w:val="14"/>
          <w:szCs w:val="14"/>
          <w:color w:val="auto"/>
        </w:rPr>
      </w:pPr>
    </w:p>
    <w:p>
      <w:pPr>
        <w:ind w:left="840" w:hanging="832"/>
        <w:spacing w:after="0"/>
        <w:tabs>
          <w:tab w:leader="none" w:pos="8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Governance Committee member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2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Jan-Anders Karlsson, Ph.D. </w:t>
      </w:r>
      <w:r>
        <w:rPr>
          <w:rFonts w:ascii="Arial" w:cs="Arial" w:eastAsia="Arial" w:hAnsi="Arial"/>
          <w:sz w:val="18"/>
          <w:szCs w:val="18"/>
          <w:color w:val="auto"/>
        </w:rPr>
        <w:t>Dr. Karlsson has served as our Chief Executive Officer and on our board of directors since June 2012.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Karlsson has over 30 years of experience in leadership experience in the pharmaceutical industry, with successes in drug discovery and development in both large pharmaceutical and biotech companies where he built entrepreneurial drug discovery and development cultures. Prior to joining Verona Pharma, Dr. Karlsson was the Chief Executive Officer of S*BIO Pte Ltd, a biotechnology company in Singapore. Prior to S*BIO, Dr. Karlsson was Executive Vice President and head of Pharma Global Research at Bayer HealthCare AG in Germany. Dr. Karlsson received an M.Sc. in pharmacy from Uppsala University and a Doctor of Medical Science (Ph.D.) in clinical experimental pharmacology from the University of Lund.</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Piers Morgan. </w:t>
      </w:r>
      <w:r>
        <w:rPr>
          <w:rFonts w:ascii="Arial" w:cs="Arial" w:eastAsia="Arial" w:hAnsi="Arial"/>
          <w:sz w:val="18"/>
          <w:szCs w:val="18"/>
          <w:color w:val="auto"/>
        </w:rPr>
        <w:t>Mr. Morgan has served as our Chief Financial Officer since September 2016. From November 2015 to September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Morgan was an independent consultant. From May 2014 to November 2015, Mr. Morgan was the Chief Executive Officer of C4X Discovery plc, a biotechnology company. Prior to C4X, Mr. Morgan co-founded uniQure N.V., a biotechnology company, in Amsterdam, where he served as Chief Financial Officer from December 2009 to May 2014. Mr. Morgan is a member of the Institute of Chartered Accountants in England and Wales and received an M.A. in law and management studies from the University of Cambridge.</w:t>
      </w:r>
    </w:p>
    <w:p>
      <w:pPr>
        <w:spacing w:after="0" w:line="23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i w:val="1"/>
          <w:iCs w:val="1"/>
          <w:color w:val="auto"/>
        </w:rPr>
        <w:t xml:space="preserve">Kathleen Rickard, M.D. </w:t>
      </w:r>
      <w:r>
        <w:rPr>
          <w:rFonts w:ascii="Arial" w:cs="Arial" w:eastAsia="Arial" w:hAnsi="Arial"/>
          <w:sz w:val="17"/>
          <w:szCs w:val="17"/>
          <w:color w:val="auto"/>
        </w:rPr>
        <w:t>Dr. Rickard has served as our Chief Medical Officer since February 2019. Prior to joining Verona Pharma, Dr. Rickard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in multiple roles, most recently at Aerocrine AB, a medical diagnostics product company, where she directed clinical and regulatory strategies. Prior to Aerocrine, Dr. Rickard was Vice President Clinical Development and Medical Affairs of GlaxoSmithKline’s Respiratory Medicines Development Centre and, over a period of 15 years, held a number of other leadership positions in clinical development across GlaxoSmithKline’s global respiratory franchise. Dr. Rickard received an M.D. from Hahnemann University Hospital, Philadelphia.</w:t>
      </w:r>
    </w:p>
    <w:p>
      <w:pPr>
        <w:sectPr>
          <w:pgSz w:w="11900" w:h="16838" w:orient="portrait"/>
          <w:cols w:equalWidth="0" w:num="1">
            <w:col w:w="11420"/>
          </w:cols>
          <w:pgMar w:left="240" w:top="495" w:right="2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95" w:right="239" w:bottom="1440" w:gutter="0" w:footer="0" w:header="0"/>
          <w:type w:val="continuous"/>
        </w:sectPr>
      </w:pPr>
    </w:p>
    <w:bookmarkStart w:id="80" w:name="page81"/>
    <w:bookmarkEnd w:id="80"/>
    <w:p>
      <w:pPr>
        <w:ind w:right="380"/>
        <w:spacing w:after="0" w:line="262" w:lineRule="auto"/>
        <w:rPr>
          <w:sz w:val="20"/>
          <w:szCs w:val="20"/>
          <w:color w:val="auto"/>
        </w:rPr>
      </w:pPr>
      <w:r>
        <w:rPr>
          <w:rFonts w:ascii="Arial" w:cs="Arial" w:eastAsia="Arial" w:hAnsi="Arial"/>
          <w:sz w:val="18"/>
          <w:szCs w:val="18"/>
          <w:b w:val="1"/>
          <w:bCs w:val="1"/>
          <w:i w:val="1"/>
          <w:iCs w:val="1"/>
          <w:color w:val="auto"/>
        </w:rPr>
        <w:t xml:space="preserve">Claire Poll. </w:t>
      </w:r>
      <w:r>
        <w:rPr>
          <w:rFonts w:ascii="Arial" w:cs="Arial" w:eastAsia="Arial" w:hAnsi="Arial"/>
          <w:sz w:val="18"/>
          <w:szCs w:val="18"/>
          <w:color w:val="auto"/>
        </w:rPr>
        <w:t>Ms. Poll has served as General Counsel since September 2016. From September 2015 to August 2016, Ms. Poll served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to 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2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David Ebsworth, Ph.D. </w:t>
      </w:r>
      <w:r>
        <w:rPr>
          <w:rFonts w:ascii="Arial" w:cs="Arial" w:eastAsia="Arial" w:hAnsi="Arial"/>
          <w:sz w:val="18"/>
          <w:szCs w:val="18"/>
          <w:color w:val="auto"/>
        </w:rPr>
        <w:t>Dr. Ebsworth has served as the Non-Executive Chairman of our board of directors since December 2014.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2009 to August 2014, Dr. Ebsworth 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in 2003. Dr. Ebsworth received a Ph.D. in industrial relations from the University of Surrey.</w:t>
      </w:r>
    </w:p>
    <w:p>
      <w:pPr>
        <w:spacing w:after="0" w:line="2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 directors since September 2015.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Cunningham has over 25 years’ experience in the pharmaceutical industry including leadership roles at several companies focused on developing respiratory medicines. Between 2008 and 2010, he was at SkyePharma plc (now part of Vectura Group plc), initially as Chief Operating Officer and subsequently as Chief Executive Officer where he was involved in the late-stage development of flutiform for asthma. Earlier in his career, Dr. Cunningham held a variety of clinical development and commercial strategy roles at GlaxoWellcome plc and Warner-Lambert. Dr. Cunningham serves as the non-executive chairman of the board of directors of Abzena plc and of Medherant Ltd. Dr. Cunningham received a degree in medicine from St. Mary’s, Imperial College, London University.</w:t>
      </w:r>
    </w:p>
    <w:p>
      <w:pPr>
        <w:spacing w:after="0" w:line="23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Rishi Gupta. </w:t>
      </w:r>
      <w:r>
        <w:rPr>
          <w:rFonts w:ascii="Arial" w:cs="Arial" w:eastAsia="Arial" w:hAnsi="Arial"/>
          <w:sz w:val="18"/>
          <w:szCs w:val="18"/>
          <w:color w:val="auto"/>
        </w:rPr>
        <w:t>Mr. Gupta has served as a Non-Executive Director on our board of directors since July 2016. Mr. Gupta was designated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appointment to our board of directors by OrbiMed Private Investments VI, LP, or OrbiMed, pursuant to our relationship agreement with OrbiMed. Since 2002, Mr. Gupta has held various positions at OrbiMed Advisors LLC, a global healthcare investment firm, where he is currently a Partner. Prior to that, he was a healthcare investment banker at Raymond James &amp; Associates, served as manager of corporate development at Veritas Medicine and was a summer associate at Wachtell, Lipton. Mr. Gupta currently is a member of the board of directors of Avitide, Inc., Turnstone Biologics, Inc., Modis Therapeutics, Inc. and Attenua, Inc. Mr. Gupta received an A.B. in biochemical sciences from Harvard College and a J.D. from Yale Law School.</w:t>
      </w:r>
    </w:p>
    <w:p>
      <w:pPr>
        <w:spacing w:after="0" w:line="23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Mahendra Shah, Ph.D. </w:t>
      </w:r>
      <w:r>
        <w:rPr>
          <w:rFonts w:ascii="Arial" w:cs="Arial" w:eastAsia="Arial" w:hAnsi="Arial"/>
          <w:sz w:val="18"/>
          <w:szCs w:val="18"/>
          <w:color w:val="auto"/>
        </w:rPr>
        <w:t>Dr. Shah has served as a Non-Executive Director on our board of directors since July 2016. Dr. Shah was designated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appointment to our board of directors by funds affiliated with Vivo Capital pursuant to our relationship agreement with such funds. Dr. Shah is a successful pharmaceutical entrepreneur and executive and, since March 2010, has served as a Managing Director of Vivo Capital, a healthcare investment firm. He is also the founder and Executive Chair of Semnur Pharmaceuticals, Inc., a specialty pharmaceutical company. Dr. Shah serves as a member of the board of directors of Fortis Inc., Homology Medicines, Inc., Soleno Therapeutics, Inc., and several private companies in the biopharmaceutical and biotechnology industries. Dr. Shah received his Ph.D. in industrial pharmacy from St. John’s University and a Master’s Degree in Pharmacy from L.M. College of Pharmacy in Gujarat, India.</w:t>
      </w:r>
    </w:p>
    <w:p>
      <w:pPr>
        <w:spacing w:after="0" w:line="23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i w:val="1"/>
          <w:iCs w:val="1"/>
          <w:color w:val="auto"/>
        </w:rPr>
        <w:t xml:space="preserve">Andrew Sinclair, Ph.D. </w:t>
      </w:r>
      <w:r>
        <w:rPr>
          <w:rFonts w:ascii="Arial" w:cs="Arial" w:eastAsia="Arial" w:hAnsi="Arial"/>
          <w:sz w:val="17"/>
          <w:szCs w:val="17"/>
          <w:color w:val="auto"/>
        </w:rPr>
        <w:t>Dr. Sinclair has served as a Non-Executive Director on our board of directors since July 2016. Dr. Sinclair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designated for appointment to our board of directors by Abingworth Bioventures VI, LP, or Abingworth, pursuant to our relationship agreement with Abingworth.Since 2008, Dr. Sinclair has held various positions at Abingworth LLP, a life sciences investment group, where he is currently a Partner and Portfolio Manager. Dr. Sinclair is a member of the Institute of Chartered Accountants in England and Wales and received a Ph.D. in chemistry and genetic engineering at the BBSRC Institute of Plant Science, Norwich, and a B.Sc. in microbiology from King's College London.</w:t>
      </w:r>
    </w:p>
    <w:p>
      <w:pPr>
        <w:spacing w:after="0" w:line="245"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 September 2016. Mr. Sinha has over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working in executive finance roles in the life sciences industry. Since January 2018, Mr. Sinha has served as an Executive Partner of MPM Capital, Inc., a life sciences investment company</w:t>
      </w:r>
      <w:r>
        <w:rPr>
          <w:rFonts w:ascii="Arial" w:cs="Arial" w:eastAsia="Arial" w:hAnsi="Arial"/>
          <w:sz w:val="21"/>
          <w:szCs w:val="21"/>
          <w:color w:val="auto"/>
        </w:rPr>
        <w:t>.</w:t>
      </w:r>
      <w:r>
        <w:rPr>
          <w:rFonts w:ascii="Arial" w:cs="Arial" w:eastAsia="Arial" w:hAnsi="Arial"/>
          <w:sz w:val="18"/>
          <w:szCs w:val="18"/>
          <w:color w:val="auto"/>
        </w:rPr>
        <w:t xml:space="preserve"> From 2005 to 2016, Mr. Sinha was the Chief Financial Officer of Alexion Pharmaceuticals, Inc., a biotechnology company, where he was responsible for finance, business development, strategy, investor relations and IT. Prior to joining Alexion, Mr. Sinha held various positions with Bayer AG in the United States, Japan, Germany and Canada, including Vice President and Chief Financial Officer of Bayer Pharmaceuticals Corporation in the United States and Vice President and Chief Financial Officer of Bayer Yakuhin Ltd. in Japan. Mr. Sinha holds a master's degree in business administration from the Asian Institute of Management. He is also</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9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 qualified Chartered Accountant from the Institute of Chartered Accountants of India and a Certified Public Accountant in the United States.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 directors since September 2015. From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2018, Dr. Ullman served as Head of the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serves on the board of directors of Pexa AB. Dr. Ullman received a M.D. and a Ph.D. in clinical pharmacology from the University of Gothenburg.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Senior Management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of other members of the senior management team that participate in leading ensifentrine's development.</w:t>
      </w:r>
    </w:p>
    <w:p>
      <w:pPr>
        <w:spacing w:after="0" w:line="2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Richard Hennings. </w:t>
      </w:r>
      <w:r>
        <w:rPr>
          <w:rFonts w:ascii="Arial" w:cs="Arial" w:eastAsia="Arial" w:hAnsi="Arial"/>
          <w:sz w:val="18"/>
          <w:szCs w:val="18"/>
          <w:color w:val="auto"/>
        </w:rPr>
        <w:t>Mr. Hennings has served as our Commercial Director since March 2017. From May 2016 to March 2017, Mr. Hennings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Global Marketing Director for AstraZeneca UK Limited, a biopharmaceutical company. Since July 2015, Mr. Hennings has been a director of Hennings Consulting Ltd., where he consults with healthcare organizations on commercial strategy. From January 2012 to June 2015, Mr. Hennings held various positions at Gilead Sciences, Inc., a biopharmaceutical company, most recently as Commercial Director — EMEA Planning &amp; Operations. Mr. Hennings received a bachelor's degree in applied chemistry from the University of Portsmouth.</w:t>
      </w:r>
    </w:p>
    <w:p>
      <w:pPr>
        <w:spacing w:after="0" w:line="234"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auto"/>
        </w:rPr>
        <w:t xml:space="preserve">Desiree Luthman, DDS. </w:t>
      </w:r>
      <w:r>
        <w:rPr>
          <w:rFonts w:ascii="Arial" w:cs="Arial" w:eastAsia="Arial" w:hAnsi="Arial"/>
          <w:sz w:val="17"/>
          <w:szCs w:val="17"/>
          <w:color w:val="auto"/>
        </w:rPr>
        <w:t>Dr. Luthman has served as our Vice President, Regulatory Affairs since June 2017. From 2015 to 2017, Dr. Luthman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Senior Regulatory Director, Global Inflammation — Immunoncology Therapeutic Area at Sanofi S.A., a multinational pharmaceutical company. From 2013 to 2015, Dr. Luthman was a Director, Global Regulatory Strategy and Science at Bristol, Meyers &amp; Squibb Company, a pharmaceutical company. Dr. Luthman received a doctorate in dentistry from the Karolinska Institute, Stockholm, Sweden.</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Tara Rheault, Ph.D. </w:t>
      </w:r>
      <w:r>
        <w:rPr>
          <w:rFonts w:ascii="Arial" w:cs="Arial" w:eastAsia="Arial" w:hAnsi="Arial"/>
          <w:sz w:val="18"/>
          <w:szCs w:val="18"/>
          <w:color w:val="auto"/>
        </w:rPr>
        <w:t>Dr. Rheault has served as our Vice President, R&amp;D and Global Project Management since January 2019. From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to January 2019, Dr. Rheault served as Senior Director, Strategic Drug Development at IQVIA, a multinational company serving the combined industries of health information technologies and clinical research, where she helped pharmaceutical companies develop integrated commercial and R&amp;D strategies. Prior to IQVIA, from September 2002 to August 2015, Dr. Rheault served in various roles at GlaxoSmithKline, most recently as Clinical Leader within the respiratory therapy area. Dr. Rheault received a Ph.D. in organic chemistry from North Dakota State University and a Master in Public Health from the University of North Carolina.</w:t>
      </w:r>
    </w:p>
    <w:p>
      <w:pPr>
        <w:spacing w:after="0" w:line="237"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auto"/>
        </w:rPr>
        <w:t>Peter Spargo</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Ph.D. </w:t>
      </w:r>
      <w:r>
        <w:rPr>
          <w:rFonts w:ascii="Arial" w:cs="Arial" w:eastAsia="Arial" w:hAnsi="Arial"/>
          <w:sz w:val="17"/>
          <w:szCs w:val="17"/>
          <w:color w:val="auto"/>
        </w:rPr>
        <w:t>Dr. Spargo has served as our Senior Vice President, Chemistry Manufacturing and Controls since May 2014.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to October 2015, Dr. Spargo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members of our board of directors and executive officers.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517"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B.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sets forth the approximate remuneration paid during the year ended December 31, 2018, to our current executive officers, who are the members of our administrative, supervisory, and management bodies.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Option</w:t>
            </w:r>
          </w:p>
        </w:tc>
        <w:tc>
          <w:tcPr>
            <w:tcW w:w="154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All Other</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360" w:type="dxa"/>
            <w:vAlign w:val="bottom"/>
          </w:tcPr>
          <w:p>
            <w:pPr>
              <w:spacing w:after="0"/>
              <w:rPr>
                <w:sz w:val="17"/>
                <w:szCs w:val="17"/>
                <w:color w:val="auto"/>
              </w:rPr>
            </w:pPr>
          </w:p>
        </w:tc>
        <w:tc>
          <w:tcPr>
            <w:tcW w:w="194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Salary</w:t>
            </w:r>
          </w:p>
        </w:tc>
        <w:tc>
          <w:tcPr>
            <w:tcW w:w="1380" w:type="dxa"/>
            <w:vAlign w:val="bottom"/>
          </w:tcPr>
          <w:p>
            <w:pPr>
              <w:jc w:val="right"/>
              <w:ind w:right="330"/>
              <w:spacing w:after="0" w:line="203" w:lineRule="exact"/>
              <w:rPr>
                <w:sz w:val="20"/>
                <w:szCs w:val="20"/>
                <w:color w:val="auto"/>
              </w:rPr>
            </w:pPr>
            <w:r>
              <w:rPr>
                <w:rFonts w:ascii="Arial" w:cs="Arial" w:eastAsia="Arial" w:hAnsi="Arial"/>
                <w:sz w:val="18"/>
                <w:szCs w:val="18"/>
                <w:b w:val="1"/>
                <w:bCs w:val="1"/>
                <w:color w:val="auto"/>
              </w:rPr>
              <w:t>Bonus</w:t>
            </w:r>
            <w:r>
              <w:rPr>
                <w:rFonts w:ascii="Arial" w:cs="Arial" w:eastAsia="Arial" w:hAnsi="Arial"/>
                <w:sz w:val="21"/>
                <w:szCs w:val="21"/>
                <w:b w:val="1"/>
                <w:bCs w:val="1"/>
                <w:color w:val="auto"/>
                <w:vertAlign w:val="superscript"/>
              </w:rPr>
              <w:t>(1)</w:t>
            </w:r>
          </w:p>
        </w:tc>
        <w:tc>
          <w:tcPr>
            <w:tcW w:w="1500" w:type="dxa"/>
            <w:vAlign w:val="bottom"/>
          </w:tcPr>
          <w:p>
            <w:pPr>
              <w:jc w:val="center"/>
              <w:ind w:right="110"/>
              <w:spacing w:after="0" w:line="203" w:lineRule="exact"/>
              <w:rPr>
                <w:sz w:val="20"/>
                <w:szCs w:val="20"/>
                <w:color w:val="auto"/>
              </w:rPr>
            </w:pPr>
            <w:r>
              <w:rPr>
                <w:rFonts w:ascii="Arial" w:cs="Arial" w:eastAsia="Arial" w:hAnsi="Arial"/>
                <w:sz w:val="18"/>
                <w:szCs w:val="18"/>
                <w:b w:val="1"/>
                <w:bCs w:val="1"/>
                <w:color w:val="auto"/>
                <w:w w:val="94"/>
              </w:rPr>
              <w:t>Awards</w:t>
            </w:r>
            <w:r>
              <w:rPr>
                <w:rFonts w:ascii="Arial" w:cs="Arial" w:eastAsia="Arial" w:hAnsi="Arial"/>
                <w:sz w:val="21"/>
                <w:szCs w:val="21"/>
                <w:b w:val="1"/>
                <w:bCs w:val="1"/>
                <w:color w:val="auto"/>
                <w:w w:val="94"/>
                <w:vertAlign w:val="superscript"/>
              </w:rPr>
              <w:t>(2)</w:t>
            </w:r>
          </w:p>
        </w:tc>
        <w:tc>
          <w:tcPr>
            <w:tcW w:w="154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420" w:type="dxa"/>
            <w:vAlign w:val="bottom"/>
          </w:tcPr>
          <w:p>
            <w:pPr>
              <w:spacing w:after="0"/>
              <w:rPr>
                <w:sz w:val="17"/>
                <w:szCs w:val="17"/>
                <w:color w:val="auto"/>
              </w:rPr>
            </w:pPr>
          </w:p>
        </w:tc>
        <w:tc>
          <w:tcPr>
            <w:tcW w:w="12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Total</w:t>
            </w:r>
          </w:p>
        </w:tc>
      </w:tr>
      <w:tr>
        <w:trPr>
          <w:trHeight w:val="246"/>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and Principal Position</w:t>
            </w:r>
          </w:p>
        </w:tc>
        <w:tc>
          <w:tcPr>
            <w:tcW w:w="1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300,000</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225,000</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999,939</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22,493</w:t>
            </w:r>
          </w:p>
        </w:tc>
        <w:tc>
          <w:tcPr>
            <w:tcW w:w="42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72"/>
              </w:rPr>
              <w:t>(3)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1,547,432</w:t>
            </w:r>
          </w:p>
        </w:tc>
      </w:tr>
      <w:tr>
        <w:trPr>
          <w:trHeight w:val="263"/>
        </w:trPr>
        <w:tc>
          <w:tcPr>
            <w:tcW w:w="336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1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Piers Morgan</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225,000</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72,850</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349,975</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13,500</w:t>
            </w:r>
          </w:p>
        </w:tc>
        <w:tc>
          <w:tcPr>
            <w:tcW w:w="42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72"/>
              </w:rPr>
              <w:t>(3)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661,325</w:t>
            </w:r>
          </w:p>
        </w:tc>
      </w:tr>
      <w:tr>
        <w:trPr>
          <w:trHeight w:val="263"/>
        </w:trPr>
        <w:tc>
          <w:tcPr>
            <w:tcW w:w="336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Kathleen Rickard</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39,170</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39,170</w:t>
            </w:r>
          </w:p>
        </w:tc>
      </w:tr>
      <w:tr>
        <w:trPr>
          <w:trHeight w:val="263"/>
        </w:trPr>
        <w:tc>
          <w:tcPr>
            <w:tcW w:w="3360" w:type="dxa"/>
            <w:vAlign w:val="bottom"/>
          </w:tcPr>
          <w:p>
            <w:pPr>
              <w:ind w:left="200"/>
              <w:spacing w:after="0"/>
              <w:rPr>
                <w:sz w:val="20"/>
                <w:szCs w:val="20"/>
                <w:color w:val="auto"/>
              </w:rPr>
            </w:pPr>
            <w:r>
              <w:rPr>
                <w:rFonts w:ascii="Arial" w:cs="Arial" w:eastAsia="Arial" w:hAnsi="Arial"/>
                <w:sz w:val="18"/>
                <w:szCs w:val="18"/>
                <w:color w:val="auto"/>
              </w:rPr>
              <w:t>Chief Medical Officer</w:t>
            </w:r>
          </w:p>
        </w:tc>
        <w:tc>
          <w:tcPr>
            <w:tcW w:w="1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176,000</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55,450</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249,981</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8,304</w:t>
            </w:r>
          </w:p>
        </w:tc>
        <w:tc>
          <w:tcPr>
            <w:tcW w:w="42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72"/>
              </w:rPr>
              <w:t>(3)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489,735</w:t>
            </w:r>
          </w:p>
        </w:tc>
      </w:tr>
      <w:tr>
        <w:trPr>
          <w:trHeight w:val="264"/>
        </w:trPr>
        <w:tc>
          <w:tcPr>
            <w:tcW w:w="3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General Counsel</w:t>
            </w:r>
          </w:p>
        </w:tc>
        <w:tc>
          <w:tcPr>
            <w:tcW w:w="19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64"/>
        </w:trPr>
        <w:tc>
          <w:tcPr>
            <w:tcW w:w="3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701,000</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392,470</w:t>
            </w:r>
          </w:p>
        </w:tc>
        <w:tc>
          <w:tcPr>
            <w:tcW w:w="1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1,599,895</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44,297</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2,737,662</w:t>
            </w:r>
          </w:p>
        </w:tc>
      </w:tr>
    </w:tbl>
    <w:p>
      <w:pPr>
        <w:spacing w:after="0" w:line="12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9"/>
          <w:szCs w:val="9"/>
          <w:color w:val="auto"/>
        </w:rPr>
      </w:pPr>
      <w:r>
        <w:rPr>
          <w:rFonts w:ascii="Arial" w:cs="Arial" w:eastAsia="Arial" w:hAnsi="Arial"/>
          <w:sz w:val="13"/>
          <w:szCs w:val="13"/>
          <w:color w:val="auto"/>
        </w:rPr>
        <w:t>Amount shown reflects bonuses awarded for achievement of performance goals or sign-on bonus in 2018.</w:t>
      </w:r>
    </w:p>
    <w:p>
      <w:pPr>
        <w:spacing w:after="0" w:line="269" w:lineRule="exact"/>
        <w:rPr>
          <w:rFonts w:ascii="Arial" w:cs="Arial" w:eastAsia="Arial" w:hAnsi="Arial"/>
          <w:sz w:val="9"/>
          <w:szCs w:val="9"/>
          <w:color w:val="auto"/>
        </w:rPr>
      </w:pPr>
    </w:p>
    <w:p>
      <w:pPr>
        <w:ind w:left="660" w:right="300" w:hanging="652"/>
        <w:spacing w:after="0" w:line="242" w:lineRule="auto"/>
        <w:tabs>
          <w:tab w:leader="none" w:pos="660" w:val="left"/>
        </w:tabs>
        <w:numPr>
          <w:ilvl w:val="0"/>
          <w:numId w:val="46"/>
        </w:numPr>
        <w:rPr>
          <w:rFonts w:ascii="Arial" w:cs="Arial" w:eastAsia="Arial" w:hAnsi="Arial"/>
          <w:sz w:val="9"/>
          <w:szCs w:val="9"/>
          <w:color w:val="auto"/>
        </w:rPr>
      </w:pPr>
      <w:r>
        <w:rPr>
          <w:rFonts w:ascii="Arial" w:cs="Arial" w:eastAsia="Arial" w:hAnsi="Arial"/>
          <w:sz w:val="13"/>
          <w:szCs w:val="13"/>
          <w:color w:val="auto"/>
        </w:rPr>
        <w:t>Amount shown represents the aggregate grant date fair value of option and restricted share units awards granted in 2018 measured using the Black Scholes model. For a description of the assumptions used in valuing these awards, see note 16 to our Annual Consolidated Financial Statements included elsewhere in this Annual Report.</w:t>
      </w:r>
    </w:p>
    <w:p>
      <w:pPr>
        <w:spacing w:after="0" w:line="265" w:lineRule="exact"/>
        <w:rPr>
          <w:rFonts w:ascii="Arial" w:cs="Arial" w:eastAsia="Arial" w:hAnsi="Arial"/>
          <w:sz w:val="9"/>
          <w:szCs w:val="9"/>
          <w:color w:val="auto"/>
        </w:rPr>
      </w:pPr>
    </w:p>
    <w:p>
      <w:pPr>
        <w:ind w:left="660" w:hanging="652"/>
        <w:spacing w:after="0"/>
        <w:tabs>
          <w:tab w:leader="none" w:pos="660" w:val="left"/>
        </w:tabs>
        <w:numPr>
          <w:ilvl w:val="0"/>
          <w:numId w:val="46"/>
        </w:numPr>
        <w:rPr>
          <w:rFonts w:ascii="Arial" w:cs="Arial" w:eastAsia="Arial" w:hAnsi="Arial"/>
          <w:sz w:val="9"/>
          <w:szCs w:val="9"/>
          <w:color w:val="auto"/>
        </w:rPr>
      </w:pPr>
      <w:r>
        <w:rPr>
          <w:rFonts w:ascii="Arial" w:cs="Arial" w:eastAsia="Arial" w:hAnsi="Arial"/>
          <w:sz w:val="13"/>
          <w:szCs w:val="13"/>
          <w:color w:val="auto"/>
        </w:rPr>
        <w:t>Amount shown represents health benefits payments and pension contributions made by 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Jan-Anders Karlsson, Ph.D.</w:t>
      </w:r>
    </w:p>
    <w:p>
      <w:pPr>
        <w:spacing w:after="0" w:line="2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entered into an employment agreement with Dr. Karlsson on April 30, 2012, which was subsequently amended. This agreement, as amended, entitles Dr. Karlsson to receive an annual base salary of £300,000 or such higher rate as may be agreed in writing, and a target annual bonus opportunity of 66% of his annual base salary (potentially extending to up to 132%), with the amount of any such bonus based on annual performance criteria to be agreed between us and Dr. Karlsson. Dr. Karlsson is also entitled to participate in a workplace pension scheme that we contribute to on his behalf. See "— Pension, Retirement or Similar Benefits" below.</w:t>
      </w:r>
    </w:p>
    <w:p>
      <w:pPr>
        <w:spacing w:after="0" w:line="26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12 months' written notice, provided that we may terminate Dr. Karlsson at any time with immediate effect for cause or by giving written notice to Dr. Karlsson that we shall pay, in lieu of notice, his base salary during the 12 months following termination, a pro-rated full discretionary bonus and any other contractual benefits prevailing at the time when such notice is given. The employment agreement provides that, upon a change of control, Dr. Karlsson is entitled to receive his full discretionary bonus (without an obligation to purchase ordinary shares) and full accelerated vesting of any outstanding, unvested equity awards under our share and share option schemes. See "— Equity Compensation Arrangements" below. If payments to Dr. Karlsson would constitute a "parachute payment" within the meaning of Section 280G of the Internal Revenue Code of 1986, as amended, or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Dr. Karlsson's receipt, on an after-tax basis, of the greater amount of the payment. Additionally, in order to minimize the effect of the different rates of U.S. and U.K. income tax rates, Dr. Karlsson is entitled to receive a payment from us to leave him in a net after-tax position substantially equivalent to what he would experience if he were only subject to U.K. taxes during the period of his employment with us. Dr. Karlsson's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Kathleen Rickard, M.D.</w:t>
      </w:r>
    </w:p>
    <w:p>
      <w:pPr>
        <w:spacing w:after="0" w:line="29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entered into an offer letter with Dr. Rickard on December 13, 2018, pursuant to which she agreed to serve as our Chief Medical Officer, effective February 1, 2019. This agreement entitles Dr. Rickard to receive an annual base salary of $390,000 and a target annual bonus opportunity of 40% of her annual base salary, with the</w:t>
      </w:r>
    </w:p>
    <w:p>
      <w:pPr>
        <w:sectPr>
          <w:pgSz w:w="11900" w:h="16838" w:orient="portrait"/>
          <w:cols w:equalWidth="0" w:num="1">
            <w:col w:w="11400"/>
          </w:cols>
          <w:pgMar w:left="240" w:top="495" w:right="25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495" w:right="259" w:bottom="1440" w:gutter="0" w:footer="0" w:header="0"/>
          <w:type w:val="continuous"/>
        </w:sectPr>
      </w:pPr>
    </w:p>
    <w:bookmarkStart w:id="83" w:name="page84"/>
    <w:bookmarkEnd w:id="83"/>
    <w:p>
      <w:pPr>
        <w:ind w:right="20"/>
        <w:spacing w:after="0" w:line="250" w:lineRule="auto"/>
        <w:rPr>
          <w:sz w:val="20"/>
          <w:szCs w:val="20"/>
          <w:color w:val="auto"/>
        </w:rPr>
      </w:pPr>
      <w:r>
        <w:rPr>
          <w:rFonts w:ascii="Arial" w:cs="Arial" w:eastAsia="Arial" w:hAnsi="Arial"/>
          <w:sz w:val="18"/>
          <w:szCs w:val="18"/>
          <w:color w:val="auto"/>
        </w:rPr>
        <w:t>amount of any such bonus based on performance criteria for our company and her individual performance, as determined by the board of directors in its sole discretion. Dr. Rickard was also entitled to receive a sign-on bonus of $50,000, payable on the date of the offer letter, and is entitled to receive a retention bonus of $250,000, with $125,000 payable on April 1, 2019 and $125,000 payable on April 1, 2020, subject to Dr. Rickard being employed at the applicable date of payment and with the condition that each retention bonus payment is repayable if she resigns or is terminated for "Cause" within 12 months of payment. Subject to the approval of our board of directors and our share dealing policy,</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Dr. Rickard's offer letter also entitled her to receive a stock option to purchase 70,000 of our ADSs and to be issued 15,000 restricted stock units ("RSUs") with respect to ADSs under the terms of the Company's equity incentive plan, half of which vests in equal proportions on the first, second and third anniversary of the grant date and half in equal proportions on the first, second, third and fourth anniversary of the grant date, subject to accelerated vesting upon a change in control. The exercise price of the stock option to purchase ADSs will be determined according to the terms of the Company's equity incentive plan at the date of grant. The offer letter with Dr. Rickard also provides that she is entitled to participate in the Company's 401(k) plan and healthcare plans generally available from time to time to employees of the Company based in the U.S.</w:t>
      </w:r>
    </w:p>
    <w:p>
      <w:pPr>
        <w:spacing w:after="0" w:line="2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Piers Morgan</w:t>
      </w:r>
    </w:p>
    <w:p>
      <w:pPr>
        <w:spacing w:after="0" w:line="2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entered into an employment agreement with Mr. Morgan on September 24, 2016, which was subsequently amended, pursuant to which he agreed to serve as our Chief Financial Officer, effective September 26, 2016. This agreement entitles Mr. Morgan to receive an annual base salary of £ 210,000, or such higher rate as may be agreed in writing, and a target annual bonus opportunity of 35% (potentially extending to up to 50%) of his salary, with the amount of any such bonus based on performance criteria for our company and his individual performance, as determined by our board of directors in its sole discretion. Within 12 months after receiving any such bonus payment, Mr. Morgan is expected to invest an amount equal to 25% of the bonus (net of income tax paid by Mr. Morgan) in our company through the purchase of our ordinary shares until he has invested an amount equal to £200,000. Pursuant to this agreement, on September 16, 2016, Mr. Morgan received an option to purchase 300,000 of our ordinary shares with an exercise price of £2.04 per ordinary share, which vests in equal proportions on the first, second and third anniversary of the grant date of September 26, 2016. Mr. Morgan is also entitled to participate in a workplace pension scheme that we contribute to on his behalf. See "— Pension, Retirement or Similar Benefits" below.</w:t>
      </w:r>
    </w:p>
    <w:p>
      <w:pPr>
        <w:spacing w:after="0" w:line="2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Mr. Morgan at any time with immediate effect for cause or by giving written notice to Mr. Morgan that we shall pay, in lieu of notice, his base salary during the six months following termination, a pro-rated full discretionary bonus and any other contractual benefits prevailing at the time when such notice is given. The employment agreement provides that, upon a change of control, Mr. Morgan is entitled to receive his full discretionary bonus (without an obligation to purchase ordinary shares) and full accelerated vesting of any outstanding, unvested equity awards under our share and share option schemes. If payments to Mr. Morgan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Mr. Morgan's receipt, on an after-tax basis, of the greater amount of the payment. Additionally, in order to minimize the effect of the different rates of U.S. and U.K. income tax rates, Mr. Morgan is entitled to receive a payment from us to leave him in a net after-tax position substantially equivalent to what he would experience if he were only subject to U.K. taxes during the period of his employment with us. Mr. Morgan's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Claire Poll</w:t>
      </w:r>
    </w:p>
    <w:p>
      <w:pPr>
        <w:spacing w:after="0" w:line="2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entered into an employment agreement with Ms. Poll on October 1, 2016 pursuant to which Ms. Poll agreed to serve as our General Counsel, effective September 1, 2016. This agreement, as amended, entitles Ms. Poll to receive an annual base salary of £170,000, or such higher rate as may be agreed in writing, and a target annual bonus opportunity of 35% of her annual base salary, with the amount of any such bonus based primarily on annual performance criteria to be agreed to between us and Ms. Poll. Pursuant to this agreement, on September 13, 2016, Ms. Poll received an option to purchase a total of 200,000 of our ordinary shares with an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517" w:right="259" w:bottom="1440" w:gutter="0" w:footer="0" w:header="0"/>
        </w:sectPr>
      </w:pPr>
    </w:p>
    <w:bookmarkStart w:id="84" w:name="page85"/>
    <w:bookmarkEnd w:id="84"/>
    <w:p>
      <w:pPr>
        <w:ind w:right="80"/>
        <w:spacing w:after="0" w:line="256" w:lineRule="auto"/>
        <w:rPr>
          <w:sz w:val="20"/>
          <w:szCs w:val="20"/>
          <w:color w:val="auto"/>
        </w:rPr>
      </w:pPr>
      <w:r>
        <w:rPr>
          <w:rFonts w:ascii="Arial" w:cs="Arial" w:eastAsia="Arial" w:hAnsi="Arial"/>
          <w:sz w:val="18"/>
          <w:szCs w:val="18"/>
          <w:color w:val="auto"/>
        </w:rPr>
        <w:t>exercise price of £1.89 per ordinary share, which vests in equal proportions on the first three anniversaries of the date of grant. Ms. Poll is also entitled to participate in a workplace pension scheme that we contribute to on her behalf. See "— Pension, Retirement or Similar Benefits" below.</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Ms. Poll at any time with immediate effect for cause or by giving written notice to Ms. Poll that we shall pay, in lieu of notice, her base salary during the six months following termination, a pro-rated full discretionary bonus and any other contractual benefits prevailing at the time when such notice is given. The employment agreement provides that, upon a change of control, Ms. Poll is entitled to receive her full discretionary bonus and full accelerated vesting of any outstanding, unvested equity awards under our share and share option schemes. If payments to Ms. Poll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Ms. Poll's receipt, on an after-tax basis, of the greater amount of the payment. Ms. Poll's employment agreement also contains restrictive covenants pursuant to which she has agreed to refrain from competing with us or soliciting our customers or prospective customers for a period of six months following her termination of employment.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Arrangements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May 2017, we closed the initial public offering of our American Depositary Shares in the United States and a private placement of our ordinary shares in Europe, together the global offering. Prior to the global offering, we issued option grants under two option schemes, the Unapproved Share Option Scheme, or the Unapproved Scheme, adopted by our board of directors on September 18, 2006, and the EMI Option Scheme, or the EMI Scheme, adopted by our board of directors on July 24, 2012. Discussions in this section regarding the Unapproved Scheme or the EMI Scheme that refer to our board of directors include any designated committee of our board of directors. Since the adoption of the 2017 Incentive Award Plan, or the 2017 Incentive Plan, no further awards are being made under either the Unapproved Scheme or the EMI Scheme.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 Option Scheme</w:t>
      </w:r>
    </w:p>
    <w:p>
      <w:pPr>
        <w:spacing w:after="0" w:line="162"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Under the EMI Scheme, eligible employees were granted tax</w:t>
      </w:r>
      <w:r>
        <w:rPr>
          <w:rFonts w:ascii="MS PGothic" w:cs="MS PGothic" w:eastAsia="MS PGothic" w:hAnsi="MS PGothic"/>
          <w:sz w:val="18"/>
          <w:szCs w:val="18"/>
          <w:color w:val="auto"/>
        </w:rPr>
        <w:t>‑</w:t>
      </w:r>
      <w:r>
        <w:rPr>
          <w:rFonts w:ascii="Arial" w:cs="Arial" w:eastAsia="Arial" w:hAnsi="Arial"/>
          <w:sz w:val="18"/>
          <w:szCs w:val="18"/>
          <w:color w:val="auto"/>
        </w:rPr>
        <w:t>efficient options to purchase our ordinary shares. Options were granted to eligible employees who were contracted to work for us or a qualifying subsidiary for at least 25 hours a week, or, if less than 25 hours a week, for at least 75% of their working time. The options granted under the EMI Scheme are exercisable at a price and in accordance with a vesting schedule determined by our board of directors at the time of grant and expire 10 years from the date of grant.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Share Option Scheme</w:t>
      </w:r>
    </w:p>
    <w:p>
      <w:pPr>
        <w:spacing w:after="0" w:line="162"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Under the Unapproved Scheme, we granted non</w:t>
      </w:r>
      <w:r>
        <w:rPr>
          <w:rFonts w:ascii="MS PGothic" w:cs="MS PGothic" w:eastAsia="MS PGothic" w:hAnsi="MS PGothic"/>
          <w:sz w:val="18"/>
          <w:szCs w:val="18"/>
          <w:color w:val="auto"/>
        </w:rPr>
        <w:t>‑</w:t>
      </w:r>
      <w:r>
        <w:rPr>
          <w:rFonts w:ascii="Arial" w:cs="Arial" w:eastAsia="Arial" w:hAnsi="Arial"/>
          <w:sz w:val="18"/>
          <w:szCs w:val="18"/>
          <w:color w:val="auto"/>
        </w:rPr>
        <w:t>tax</w:t>
      </w:r>
      <w:r>
        <w:rPr>
          <w:rFonts w:ascii="MS PGothic" w:cs="MS PGothic" w:eastAsia="MS PGothic" w:hAnsi="MS PGothic"/>
          <w:sz w:val="18"/>
          <w:szCs w:val="18"/>
          <w:color w:val="auto"/>
        </w:rPr>
        <w:t>‑</w:t>
      </w:r>
      <w:r>
        <w:rPr>
          <w:rFonts w:ascii="Arial" w:cs="Arial" w:eastAsia="Arial" w:hAnsi="Arial"/>
          <w:sz w:val="18"/>
          <w:szCs w:val="18"/>
          <w:color w:val="auto"/>
        </w:rPr>
        <w:t>qualifying options to purchase our ordinary shares. Options were granted to employees, directors or consultants to acquire our ordinary shares at a price determined by our board of directors. In general, the options granted under the Unapproved Scheme are exercisable at a price and in accordance with the vesting period determined by our board of directors at the date of grant and expire 10 years from the date of grant.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2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EMI Scheme and the Unapproved Scheme, if certain changes are made in, or events occur with respect to, our ordinary shares (including any capitalization, sub-division, reduction or other variation of our ordinary shares), any outstanding awards may be adjusted in terms of the number of ordinary shares subject to an option and the exercise price as our board of directors may determine appropriate on a fair and reasonable basis. In the event of certain corporate transactions, including a change of control, scheme of arrangement, merger, demerger or liquidation, the vesting and exercisability of all options will accelerate and, to the extent not exercised, will lapse within certain time periods defined in the applicable plan rules.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of directors may at any time amend the rules of the EMI Scheme or the Unapproved Scheme in any manner, except that no amendment may be made if, in the reasonable opinion of our board of directors, it would materially abrogate or adversely affect the subsisting rights of an option holder regarding existing options, unless the amendment is made either (i) with the written consent of the number of option holders that hold options to acquire 50% of the ordinary shares that would be delivered if all options granted and subsisting under the scheme, as applicable, were exercised; or (ii) by a resolution at a meeting of option holders passed by not less than 50% of the option holders holding options under the scheme, as applicable, who attend and vote either in person or by proxy. The EMI Scheme and the Unapproved Scheme are discretionary and may be suspended or</w:t>
      </w:r>
    </w:p>
    <w:p>
      <w:pPr>
        <w:sectPr>
          <w:pgSz w:w="11900" w:h="16838" w:orient="portrait"/>
          <w:cols w:equalWidth="0" w:num="1">
            <w:col w:w="11400"/>
          </w:cols>
          <w:pgMar w:left="240" w:top="517" w:right="259"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0"/>
          </w:cols>
          <w:pgMar w:left="240" w:top="517" w:right="259" w:bottom="1440" w:gutter="0" w:footer="0" w:header="0"/>
          <w:type w:val="continuous"/>
        </w:sectPr>
      </w:pPr>
    </w:p>
    <w:bookmarkStart w:id="85" w:name="page86"/>
    <w:bookmarkEnd w:id="85"/>
    <w:p>
      <w:pPr>
        <w:ind w:right="560"/>
        <w:spacing w:after="0" w:line="262" w:lineRule="auto"/>
        <w:rPr>
          <w:sz w:val="20"/>
          <w:szCs w:val="20"/>
          <w:color w:val="auto"/>
        </w:rPr>
      </w:pPr>
      <w:r>
        <w:rPr>
          <w:rFonts w:ascii="Arial" w:cs="Arial" w:eastAsia="Arial" w:hAnsi="Arial"/>
          <w:sz w:val="18"/>
          <w:szCs w:val="18"/>
          <w:color w:val="auto"/>
        </w:rPr>
        <w:t>terminated by us at any time. Suspension or termination will not affect any options granted under the schemes to the extent that they are subsisting at the date of the suspension or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301"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Under the 2017 Incentive Plan, we may grant cash and equity</w:t>
      </w:r>
      <w:r>
        <w:rPr>
          <w:rFonts w:ascii="MS PGothic" w:cs="MS PGothic" w:eastAsia="MS PGothic" w:hAnsi="MS PGothic"/>
          <w:sz w:val="18"/>
          <w:szCs w:val="18"/>
          <w:color w:val="auto"/>
        </w:rPr>
        <w:t>‑</w:t>
      </w:r>
      <w:r>
        <w:rPr>
          <w:rFonts w:ascii="Arial" w:cs="Arial" w:eastAsia="Arial" w:hAnsi="Arial"/>
          <w:sz w:val="18"/>
          <w:szCs w:val="18"/>
          <w:color w:val="auto"/>
        </w:rPr>
        <w:t>based incentive awards to eligible service providers in order to attract, retain and motivate the persons who make important contributions to us. The material terms of the 2017 Incentive Plan are summarized below. Except where the context indicates otherwise, references hereunder to our ordinary shares shall be deemed to include a number of ADSs equal to an ordinary share.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Administration</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employees, consultants and directors, and employees and consultants of our subsidiaries, are eligible to receive awards under the 2017 Incentive Plan. The 2017 Incentive Plan is administered by our board of directors, which may delegate its duties and responsibilities to one or more committees of our board of directors and/or officers (referred to collectively as the plan administrator below), subject to the limitations imposed under the 2017 Incentive Plan, stock exchange rules and other applicable laws. The plan administrator has the authority to take all actions and make all determinations under the 2017 Incentive Plan, to interpret the 2017 Incentive Plan and award agreements and to adopt, amend and repeal rules for the administration of the 2017 Incentive Plan as it deems advisable. The plan administrator also has the authority to determine which eligible service providers receive awards, grant awards, set the terms and conditions of all awards under the 2017 Incentive Plan, including any vesting and vesting acceleration provisions, and designate whether such awards will cover our ordinary shares or ADSs, subject to the conditions and limitations in the 2017 Incentive Plan.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Sub-Plan</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2017 Incentive Plan authorizes the administrator to establish one or more sub-plans. Immediately after the 2017 Incentive Plan was established, the administrator established a sub-plan. The sub-plan incorporated all of the terms of the 2017 Incentive Plan, except that only employees of ours (or our subsidiaries) were eligible to receive awards under the sub-plan. Awards under the sub-plan counted towards the total number of shares available for issuance under the 2017 Incentive Plan. The sub-plan is an "employees' share scheme" for the purposes of the UK Companies Act 2006.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aggregate of 6,333,000 of our ordinary shares were initially made available for issuance under the 2017 Incentive Plan. The number of shares initially available for issuance will be increased by an annual increase on January 1 of each calendar year beginning in 2018 and ending in and including 2027 equal to the least of (A) 4% of our ordinary shares outstanding on the final day of the immediately preceding calendar year and (B) a smaller number of shares determined by our board of directors. As of January 1, 2019, the number of shares available for issuance was 7,473,568. Pursuant to the terms of the 2017 Incentive Plan, awards may be issued under the 2017 Incentive Plan covering ADSs in lieu of the number of our ordinary shares that such ADSs represent. No more than 5,000,000 shares may be issued under the 2017 Incentive Plan upon the exercise of incentive options. Shares issued under the 2017 Incentive Plan may be authorized but unissued shares, shares purchased on the open market, treasury shares or ADSs.</w:t>
      </w:r>
    </w:p>
    <w:p>
      <w:pPr>
        <w:spacing w:after="0" w:line="2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an award under the 2017 Incentive Plan, the EMI Option Scheme, the Unapproved Share Option Scheme or any prior equity incentive plan, expires, lapses or is terminated, exchanged for cash, surrendered, repurchased, canceled without having been fully exercised or forfeited, any unused shares subject to the award will, as applicable, become or again be available for new grants under the 2017 Incentive Plan. Awards granted under the 2017 Incentive Plan in substitution for any options or other equity or equity-based awards granted by an entity before the entity's merger or consolidation with us or our acquisition of the entity's property or stock will not reduce the shares available for grant under the 2017 Incentive Plan, but will count against the maximum number of shares that may be issued upon the exercise of incentive options.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2017 Incentive Plan provides for the grant of options, share appreciation rights, or SARs, restricted shares, dividend equivalents, restricted share units, or RSUs, and other share or cash based awards. All awards under the 2017 Incentive Plan will be set forth in award agreements, which will detail the terms and conditions of awards, including any applicable vesting and payment terms and post-termination exercise limitations. A brief description of each award type follows.</w:t>
      </w:r>
    </w:p>
    <w:p>
      <w:pPr>
        <w:spacing w:after="0" w:line="24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Options and SARs. </w:t>
      </w:r>
      <w:r>
        <w:rPr>
          <w:rFonts w:ascii="Arial" w:cs="Arial" w:eastAsia="Arial" w:hAnsi="Arial"/>
          <w:sz w:val="18"/>
          <w:szCs w:val="18"/>
          <w:color w:val="auto"/>
        </w:rPr>
        <w:t>Options provide for the purchase of our ordinary shares in the future at an exercise price set on the grant date. SARs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 their holder, upon exercise, to receive from us an amount equal to the</w:t>
      </w:r>
    </w:p>
    <w:p>
      <w:pPr>
        <w:sectPr>
          <w:pgSz w:w="11900" w:h="16838" w:orient="portrait"/>
          <w:cols w:equalWidth="0" w:num="1">
            <w:col w:w="11420"/>
          </w:cols>
          <w:pgMar w:left="240" w:top="517" w:right="2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517" w:right="239" w:bottom="1440" w:gutter="0" w:footer="0" w:header="0"/>
          <w:type w:val="continuous"/>
        </w:sectPr>
      </w:pPr>
    </w:p>
    <w:bookmarkStart w:id="86" w:name="page87"/>
    <w:bookmarkEnd w:id="86"/>
    <w:p>
      <w:pPr>
        <w:ind w:right="20"/>
        <w:spacing w:after="0" w:line="256" w:lineRule="auto"/>
        <w:rPr>
          <w:sz w:val="20"/>
          <w:szCs w:val="20"/>
          <w:color w:val="auto"/>
        </w:rPr>
      </w:pPr>
      <w:r>
        <w:rPr>
          <w:rFonts w:ascii="Arial" w:cs="Arial" w:eastAsia="Arial" w:hAnsi="Arial"/>
          <w:sz w:val="18"/>
          <w:szCs w:val="18"/>
          <w:color w:val="auto"/>
        </w:rPr>
        <w:t>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w:t>
      </w:r>
    </w:p>
    <w:p>
      <w:pPr>
        <w:spacing w:after="0" w:line="2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Restricted Shares and Restricted Share Units. </w:t>
      </w:r>
      <w:r>
        <w:rPr>
          <w:rFonts w:ascii="Arial" w:cs="Arial" w:eastAsia="Arial" w:hAnsi="Arial"/>
          <w:sz w:val="18"/>
          <w:szCs w:val="18"/>
          <w:color w:val="auto"/>
        </w:rPr>
        <w:t>Restricted shares are an award of nontransferable ordinary shares that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which may be subject to a purchase price. RSUs are contractual promises to deliver our ordinary shares in the future, which may also remain forfeitable unless and until specified conditions are met and may be accompanied by the right to receive the equivalent value of dividends paid on our ordinary shares prior to the delivery of the underlying shares. The plan administrator may provide that the delivery of the shares underlying RSUs will be deferred on a mandatory basis or at the election of the participant. The terms and conditions applicable to restricted shares and RSUs will be determined by the plan administrator, subject to the conditions and limitations contained in the 2017 Incentive Plan.</w:t>
      </w:r>
    </w:p>
    <w:p>
      <w:pPr>
        <w:spacing w:after="0" w:line="24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Other Share or Cash Based Awards. </w:t>
      </w:r>
      <w:r>
        <w:rPr>
          <w:rFonts w:ascii="Arial" w:cs="Arial" w:eastAsia="Arial" w:hAnsi="Arial"/>
          <w:sz w:val="18"/>
          <w:szCs w:val="18"/>
          <w:color w:val="auto"/>
        </w:rPr>
        <w:t>Other share or cash based awards are awards of cash, fully-vested ordinary shares and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valued wholly or partially by referring to, or otherwise based on, our ordinary shares or other property. Other share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share or cash based awards, which may include any purchase price, performance goal, transfer restrictions and vesting conditions.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Criteria</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plan administrator may select performance criteria for an award to establish performance goals for a performance period. Performance criteria under the 2017 Incentive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certain corporate transactions and events affecting our ordinary shares, including a change in control, another similar corporate transaction or event, another unusual or nonrecurring transaction or event affecting us or its financial statements or change in any applicable laws or accounting principles, the plan administrator has broad discretion to take action under the 2017 Incentive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Incentive Plan and replacing or terminating awards under the 2017 Incentive Plan. In addition, in the event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17" w:right="239" w:bottom="1440" w:gutter="0" w:footer="0" w:header="0"/>
        </w:sectPr>
      </w:pPr>
    </w:p>
    <w:bookmarkStart w:id="87" w:name="page88"/>
    <w:bookmarkEnd w:id="87"/>
    <w:p>
      <w:pPr>
        <w:ind w:right="120"/>
        <w:spacing w:after="0" w:line="256" w:lineRule="auto"/>
        <w:rPr>
          <w:sz w:val="20"/>
          <w:szCs w:val="20"/>
          <w:color w:val="auto"/>
        </w:rPr>
      </w:pPr>
      <w:r>
        <w:rPr>
          <w:rFonts w:ascii="Arial" w:cs="Arial" w:eastAsia="Arial" w:hAnsi="Arial"/>
          <w:sz w:val="18"/>
          <w:szCs w:val="18"/>
          <w:color w:val="auto"/>
        </w:rPr>
        <w:t>of certain non-reciprocal transactions with our shareholders, the plan administrator will make equitable adjustments to the 2017 Incentive Plan and outstanding awards as it deems appropriate to reflect the transaction. Pursuant to the terms of their individual employment agreements, awards granted under the 2017 Incentive Plan to certain of our executives may become fully vested and exercisable upon a change in control.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3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may amend or terminate the 2017 Incentive Plan at any time; however, no amendment, other than an amendment that increases the number of shares available under the 2017 Incentive Plan, may materially and adversely affect an award outstanding under the 2017 Incentive Plan without the consent of the affected participant and shareholder approval will be obtained for any amendment to the extent necessary to comply with applicable laws. Further, the plan administrator cannot, without the approval of our shareholders, amend any outstanding option or SAR to reduce its price per share or cancel any outstanding option or SAR in exchange for cash or another award under the 2017 Incentive Plan with an exercise price per share that is less than the exercise price per share of the original option or SAR. The 2017 Incentive Plan will remain in effect until the tenth anniversary of its effective date unless earlier terminated by our board of directors. No awards may be granted under the 2017 Incentive Plan after its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Participants, Claw-Back Provisions, Transferability and Participant Payments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plan administrator may modify awards granted to participants who are non-U.S.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Incentive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Incentive Plan, and exercise price obligations arising in connection with the exercise of options under the 2017 Incentive Plan, the plan administrator may, in its discretion, accept cash, wire transfer or check, our ordinary shares that meet specified conditions, a promissory note, a "market sell order," such other consideration as the plan administrator deems suitable or any combination of the foregoing.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Grants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options that we granted to our directors and executive officers under the 2017 Incentive Plan in 2018:</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jc w:val="right"/>
              <w:ind w:right="450"/>
              <w:spacing w:after="0"/>
              <w:rPr>
                <w:sz w:val="20"/>
                <w:szCs w:val="20"/>
                <w:color w:val="auto"/>
              </w:rPr>
            </w:pPr>
            <w:r>
              <w:rPr>
                <w:rFonts w:ascii="Arial" w:cs="Arial" w:eastAsia="Arial" w:hAnsi="Arial"/>
                <w:sz w:val="18"/>
                <w:szCs w:val="18"/>
                <w:b w:val="1"/>
                <w:bCs w:val="1"/>
                <w:color w:val="auto"/>
              </w:rPr>
              <w:t>Exercise</w:t>
            </w:r>
          </w:p>
        </w:tc>
        <w:tc>
          <w:tcPr>
            <w:tcW w:w="2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3220" w:type="dxa"/>
            <w:vAlign w:val="bottom"/>
          </w:tcPr>
          <w:p>
            <w:pPr>
              <w:spacing w:after="0"/>
              <w:rPr>
                <w:sz w:val="17"/>
                <w:szCs w:val="17"/>
                <w:color w:val="auto"/>
              </w:rPr>
            </w:pPr>
          </w:p>
        </w:tc>
        <w:tc>
          <w:tcPr>
            <w:tcW w:w="24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Ordinary Shares</w:t>
            </w:r>
          </w:p>
        </w:tc>
        <w:tc>
          <w:tcPr>
            <w:tcW w:w="196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Price</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Grant</w:t>
            </w:r>
          </w:p>
        </w:tc>
        <w:tc>
          <w:tcPr>
            <w:tcW w:w="1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Expiration</w:t>
            </w:r>
          </w:p>
        </w:tc>
      </w:tr>
      <w:tr>
        <w:trPr>
          <w:trHeight w:val="246"/>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Underlying Options</w:t>
            </w: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Per Share (£)</w:t>
            </w:r>
          </w:p>
        </w:tc>
        <w:tc>
          <w:tcPr>
            <w:tcW w:w="2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Date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Date</w:t>
            </w: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 M.D.</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868,758</w:t>
            </w:r>
          </w:p>
        </w:tc>
        <w:tc>
          <w:tcPr>
            <w:tcW w:w="1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1.46</w:t>
            </w:r>
          </w:p>
        </w:tc>
        <w:tc>
          <w:tcPr>
            <w:tcW w:w="2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March 08, 2018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08, 2028</w:t>
            </w:r>
          </w:p>
        </w:tc>
      </w:tr>
      <w:tr>
        <w:trPr>
          <w:trHeight w:val="263"/>
        </w:trPr>
        <w:tc>
          <w:tcPr>
            <w:tcW w:w="3220" w:type="dxa"/>
            <w:vAlign w:val="bottom"/>
          </w:tcPr>
          <w:p>
            <w:pPr>
              <w:ind w:left="40"/>
              <w:spacing w:after="0"/>
              <w:rPr>
                <w:sz w:val="20"/>
                <w:szCs w:val="20"/>
                <w:color w:val="auto"/>
              </w:rPr>
            </w:pPr>
            <w:r>
              <w:rPr>
                <w:rFonts w:ascii="Arial" w:cs="Arial" w:eastAsia="Arial" w:hAnsi="Arial"/>
                <w:sz w:val="18"/>
                <w:szCs w:val="18"/>
                <w:color w:val="auto"/>
              </w:rPr>
              <w:t>Piers Morgan</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304,063</w:t>
            </w:r>
          </w:p>
        </w:tc>
        <w:tc>
          <w:tcPr>
            <w:tcW w:w="1960" w:type="dxa"/>
            <w:vAlign w:val="bottom"/>
          </w:tcPr>
          <w:p>
            <w:pPr>
              <w:jc w:val="right"/>
              <w:ind w:right="450"/>
              <w:spacing w:after="0"/>
              <w:rPr>
                <w:sz w:val="20"/>
                <w:szCs w:val="20"/>
                <w:color w:val="auto"/>
              </w:rPr>
            </w:pPr>
            <w:r>
              <w:rPr>
                <w:rFonts w:ascii="Arial" w:cs="Arial" w:eastAsia="Arial" w:hAnsi="Arial"/>
                <w:sz w:val="18"/>
                <w:szCs w:val="18"/>
                <w:color w:val="auto"/>
              </w:rPr>
              <w:t>1.46</w:t>
            </w:r>
          </w:p>
        </w:tc>
        <w:tc>
          <w:tcPr>
            <w:tcW w:w="2140" w:type="dxa"/>
            <w:vAlign w:val="bottom"/>
          </w:tcPr>
          <w:p>
            <w:pPr>
              <w:jc w:val="right"/>
              <w:ind w:right="250"/>
              <w:spacing w:after="0"/>
              <w:rPr>
                <w:sz w:val="20"/>
                <w:szCs w:val="20"/>
                <w:color w:val="auto"/>
              </w:rPr>
            </w:pPr>
            <w:r>
              <w:rPr>
                <w:rFonts w:ascii="Arial" w:cs="Arial" w:eastAsia="Arial" w:hAnsi="Arial"/>
                <w:sz w:val="18"/>
                <w:szCs w:val="18"/>
                <w:color w:val="auto"/>
              </w:rPr>
              <w:t>March 08, 2018</w:t>
            </w:r>
          </w:p>
        </w:tc>
        <w:tc>
          <w:tcPr>
            <w:tcW w:w="1620" w:type="dxa"/>
            <w:vAlign w:val="bottom"/>
          </w:tcPr>
          <w:p>
            <w:pPr>
              <w:jc w:val="right"/>
              <w:spacing w:after="0"/>
              <w:rPr>
                <w:sz w:val="20"/>
                <w:szCs w:val="20"/>
                <w:color w:val="auto"/>
              </w:rPr>
            </w:pPr>
            <w:r>
              <w:rPr>
                <w:rFonts w:ascii="Arial" w:cs="Arial" w:eastAsia="Arial" w:hAnsi="Arial"/>
                <w:sz w:val="18"/>
                <w:szCs w:val="18"/>
                <w:color w:val="auto"/>
              </w:rPr>
              <w:t>March 08, 2028</w:t>
            </w:r>
          </w:p>
        </w:tc>
      </w:tr>
      <w:tr>
        <w:trPr>
          <w:trHeight w:val="270"/>
        </w:trPr>
        <w:tc>
          <w:tcPr>
            <w:tcW w:w="3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217,186</w:t>
            </w:r>
          </w:p>
        </w:tc>
        <w:tc>
          <w:tcPr>
            <w:tcW w:w="1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1.46</w:t>
            </w:r>
          </w:p>
        </w:tc>
        <w:tc>
          <w:tcPr>
            <w:tcW w:w="2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March 08, 2018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08, 2028</w:t>
            </w:r>
          </w:p>
        </w:tc>
      </w:tr>
    </w:tbl>
    <w:p>
      <w:pPr>
        <w:spacing w:after="0" w:line="3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table summarizes the RSUs that we granted on March 8, 2018, to our directors and executive officers under the 2017 Incentive Plan in 2018:</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5260" w:type="dxa"/>
            <w:vAlign w:val="bottom"/>
          </w:tcPr>
          <w:p>
            <w:pPr>
              <w:jc w:val="right"/>
              <w:ind w:right="10"/>
              <w:spacing w:after="0"/>
              <w:rPr>
                <w:sz w:val="20"/>
                <w:szCs w:val="20"/>
                <w:color w:val="auto"/>
              </w:rPr>
            </w:pPr>
            <w:r>
              <w:rPr>
                <w:rFonts w:ascii="Arial" w:cs="Arial" w:eastAsia="Arial" w:hAnsi="Arial"/>
                <w:sz w:val="18"/>
                <w:szCs w:val="18"/>
                <w:b w:val="1"/>
                <w:bCs w:val="1"/>
                <w:color w:val="auto"/>
              </w:rPr>
              <w:t>Restricted</w:t>
            </w:r>
          </w:p>
        </w:tc>
      </w:tr>
      <w:tr>
        <w:trPr>
          <w:trHeight w:val="246"/>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5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 Units Granted</w:t>
            </w:r>
          </w:p>
        </w:tc>
      </w:tr>
      <w:tr>
        <w:trPr>
          <w:trHeight w:val="25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 M.D.</w:t>
            </w:r>
          </w:p>
        </w:tc>
        <w:tc>
          <w:tcPr>
            <w:tcW w:w="5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136,986</w:t>
            </w:r>
          </w:p>
        </w:tc>
      </w:tr>
      <w:tr>
        <w:trPr>
          <w:trHeight w:val="250"/>
        </w:trPr>
        <w:tc>
          <w:tcPr>
            <w:tcW w:w="6160" w:type="dxa"/>
            <w:vAlign w:val="bottom"/>
          </w:tcPr>
          <w:p>
            <w:pPr>
              <w:ind w:left="40"/>
              <w:spacing w:after="0"/>
              <w:rPr>
                <w:sz w:val="20"/>
                <w:szCs w:val="20"/>
                <w:color w:val="auto"/>
              </w:rPr>
            </w:pPr>
            <w:r>
              <w:rPr>
                <w:rFonts w:ascii="Arial" w:cs="Arial" w:eastAsia="Arial" w:hAnsi="Arial"/>
                <w:sz w:val="18"/>
                <w:szCs w:val="18"/>
                <w:color w:val="auto"/>
              </w:rPr>
              <w:t>Piers Morgan</w:t>
            </w:r>
          </w:p>
        </w:tc>
        <w:tc>
          <w:tcPr>
            <w:tcW w:w="5260" w:type="dxa"/>
            <w:vAlign w:val="bottom"/>
          </w:tcPr>
          <w:p>
            <w:pPr>
              <w:jc w:val="right"/>
              <w:ind w:right="10"/>
              <w:spacing w:after="0"/>
              <w:rPr>
                <w:sz w:val="20"/>
                <w:szCs w:val="20"/>
                <w:color w:val="auto"/>
              </w:rPr>
            </w:pPr>
            <w:r>
              <w:rPr>
                <w:rFonts w:ascii="Arial" w:cs="Arial" w:eastAsia="Arial" w:hAnsi="Arial"/>
                <w:sz w:val="18"/>
                <w:szCs w:val="18"/>
                <w:color w:val="auto"/>
              </w:rPr>
              <w:t>47,944</w:t>
            </w:r>
          </w:p>
        </w:tc>
      </w:tr>
      <w:tr>
        <w:trPr>
          <w:trHeight w:val="257"/>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5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34,246</w:t>
            </w:r>
          </w:p>
        </w:tc>
      </w:tr>
    </w:tbl>
    <w:p>
      <w:pPr>
        <w:spacing w:after="0" w:line="200" w:lineRule="exact"/>
        <w:rPr>
          <w:sz w:val="20"/>
          <w:szCs w:val="20"/>
          <w:color w:val="auto"/>
        </w:rPr>
      </w:pPr>
    </w:p>
    <w:p>
      <w:pPr>
        <w:spacing w:after="0" w:line="23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options and RSUs vest as to 50% of the ordinary shares in three substantially equal annual installments following the grant date and as to 50% of the ordinary shares in four substantially equal annual installments following the grant date.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1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2017 Grants</w:t>
      </w:r>
    </w:p>
    <w:p>
      <w:pPr>
        <w:spacing w:after="0" w:line="38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summarizes the options that we granted to our directors and executive officers under the 2017 Unapproved Scheme in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500" w:type="dxa"/>
            <w:vAlign w:val="bottom"/>
          </w:tcPr>
          <w:p>
            <w:pPr>
              <w:jc w:val="right"/>
              <w:ind w:right="210"/>
              <w:spacing w:after="0"/>
              <w:rPr>
                <w:sz w:val="20"/>
                <w:szCs w:val="20"/>
                <w:color w:val="auto"/>
              </w:rPr>
            </w:pPr>
            <w:r>
              <w:rPr>
                <w:rFonts w:ascii="Arial" w:cs="Arial" w:eastAsia="Arial" w:hAnsi="Arial"/>
                <w:sz w:val="18"/>
                <w:szCs w:val="18"/>
                <w:b w:val="1"/>
                <w:bCs w:val="1"/>
                <w:color w:val="auto"/>
              </w:rPr>
              <w:t>Ordinary Shares</w:t>
            </w: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5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Underlying</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Exercise Price</w:t>
            </w:r>
          </w:p>
        </w:tc>
        <w:tc>
          <w:tcPr>
            <w:tcW w:w="19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Grant</w:t>
            </w: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Expiration</w:t>
            </w:r>
          </w:p>
        </w:tc>
      </w:tr>
      <w:tr>
        <w:trPr>
          <w:trHeight w:val="24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 Share (£)</w:t>
            </w:r>
          </w:p>
        </w:tc>
        <w:tc>
          <w:tcPr>
            <w:tcW w:w="1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Date</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 M.D.</w:t>
            </w:r>
          </w:p>
        </w:tc>
        <w:tc>
          <w:tcPr>
            <w:tcW w:w="2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1,385,598</w:t>
            </w:r>
          </w:p>
        </w:tc>
        <w:tc>
          <w:tcPr>
            <w:tcW w:w="1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1.32</w:t>
            </w:r>
          </w:p>
        </w:tc>
        <w:tc>
          <w:tcPr>
            <w:tcW w:w="1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April 26, 2017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 2027</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Piers Morgan</w:t>
            </w:r>
          </w:p>
        </w:tc>
        <w:tc>
          <w:tcPr>
            <w:tcW w:w="2500" w:type="dxa"/>
            <w:vAlign w:val="bottom"/>
          </w:tcPr>
          <w:p>
            <w:pPr>
              <w:jc w:val="right"/>
              <w:ind w:right="210"/>
              <w:spacing w:after="0"/>
              <w:rPr>
                <w:sz w:val="20"/>
                <w:szCs w:val="20"/>
                <w:color w:val="auto"/>
              </w:rPr>
            </w:pPr>
            <w:r>
              <w:rPr>
                <w:rFonts w:ascii="Arial" w:cs="Arial" w:eastAsia="Arial" w:hAnsi="Arial"/>
                <w:sz w:val="18"/>
                <w:szCs w:val="18"/>
                <w:color w:val="auto"/>
              </w:rPr>
              <w:t>802,690</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1.32</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April 26, 2017</w:t>
            </w:r>
          </w:p>
        </w:tc>
        <w:tc>
          <w:tcPr>
            <w:tcW w:w="1540" w:type="dxa"/>
            <w:vAlign w:val="bottom"/>
          </w:tcPr>
          <w:p>
            <w:pPr>
              <w:jc w:val="right"/>
              <w:spacing w:after="0"/>
              <w:rPr>
                <w:sz w:val="20"/>
                <w:szCs w:val="20"/>
                <w:color w:val="auto"/>
              </w:rPr>
            </w:pPr>
            <w:r>
              <w:rPr>
                <w:rFonts w:ascii="Arial" w:cs="Arial" w:eastAsia="Arial" w:hAnsi="Arial"/>
                <w:sz w:val="18"/>
                <w:szCs w:val="18"/>
                <w:color w:val="auto"/>
              </w:rPr>
              <w:t>April 26, 2027</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2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487,347</w:t>
            </w:r>
          </w:p>
        </w:tc>
        <w:tc>
          <w:tcPr>
            <w:tcW w:w="1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1.32</w:t>
            </w:r>
          </w:p>
        </w:tc>
        <w:tc>
          <w:tcPr>
            <w:tcW w:w="1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April 26, 2017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 2027</w:t>
            </w: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Vikas Sinha</w:t>
            </w:r>
          </w:p>
        </w:tc>
        <w:tc>
          <w:tcPr>
            <w:tcW w:w="2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120,384</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1.32</w:t>
            </w:r>
          </w:p>
        </w:tc>
        <w:tc>
          <w:tcPr>
            <w:tcW w:w="1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April 26, 2017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April 26, 2027</w:t>
            </w:r>
          </w:p>
        </w:tc>
      </w:tr>
    </w:tbl>
    <w:p>
      <w:pPr>
        <w:spacing w:after="0" w:line="2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summarizes the RSUs that we granted on April 26, 2017, to our directors and executive officers under the 2017 Incentive Plan in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4900" w:type="dxa"/>
            <w:vAlign w:val="bottom"/>
          </w:tcPr>
          <w:p>
            <w:pPr>
              <w:jc w:val="right"/>
              <w:ind w:right="10"/>
              <w:spacing w:after="0"/>
              <w:rPr>
                <w:sz w:val="20"/>
                <w:szCs w:val="20"/>
                <w:color w:val="auto"/>
              </w:rPr>
            </w:pPr>
            <w:r>
              <w:rPr>
                <w:rFonts w:ascii="Arial" w:cs="Arial" w:eastAsia="Arial" w:hAnsi="Arial"/>
                <w:sz w:val="18"/>
                <w:szCs w:val="18"/>
                <w:b w:val="1"/>
                <w:bCs w:val="1"/>
                <w:color w:val="auto"/>
              </w:rPr>
              <w:t>Restricted</w:t>
            </w:r>
          </w:p>
        </w:tc>
      </w:tr>
      <w:tr>
        <w:trPr>
          <w:trHeight w:val="203"/>
        </w:trPr>
        <w:tc>
          <w:tcPr>
            <w:tcW w:w="6520" w:type="dxa"/>
            <w:vAlign w:val="bottom"/>
          </w:tcPr>
          <w:p>
            <w:pPr>
              <w:spacing w:after="0"/>
              <w:rPr>
                <w:sz w:val="17"/>
                <w:szCs w:val="17"/>
                <w:color w:val="auto"/>
              </w:rPr>
            </w:pPr>
          </w:p>
        </w:tc>
        <w:tc>
          <w:tcPr>
            <w:tcW w:w="4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Share Units</w:t>
            </w:r>
          </w:p>
        </w:tc>
      </w:tr>
      <w:tr>
        <w:trPr>
          <w:trHeight w:val="24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4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Granted</w:t>
            </w: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 M.D.</w:t>
            </w:r>
          </w:p>
        </w:tc>
        <w:tc>
          <w:tcPr>
            <w:tcW w:w="4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346,395</w:t>
            </w:r>
          </w:p>
        </w:tc>
      </w:tr>
      <w:tr>
        <w:trPr>
          <w:trHeight w:val="250"/>
        </w:trPr>
        <w:tc>
          <w:tcPr>
            <w:tcW w:w="6520" w:type="dxa"/>
            <w:vAlign w:val="bottom"/>
          </w:tcPr>
          <w:p>
            <w:pPr>
              <w:ind w:left="40"/>
              <w:spacing w:after="0"/>
              <w:rPr>
                <w:sz w:val="20"/>
                <w:szCs w:val="20"/>
                <w:color w:val="auto"/>
              </w:rPr>
            </w:pPr>
            <w:r>
              <w:rPr>
                <w:rFonts w:ascii="Arial" w:cs="Arial" w:eastAsia="Arial" w:hAnsi="Arial"/>
                <w:sz w:val="18"/>
                <w:szCs w:val="18"/>
                <w:color w:val="auto"/>
              </w:rPr>
              <w:t>Piers Morgan</w:t>
            </w:r>
          </w:p>
        </w:tc>
        <w:tc>
          <w:tcPr>
            <w:tcW w:w="4900" w:type="dxa"/>
            <w:vAlign w:val="bottom"/>
          </w:tcPr>
          <w:p>
            <w:pPr>
              <w:jc w:val="right"/>
              <w:ind w:right="10"/>
              <w:spacing w:after="0"/>
              <w:rPr>
                <w:sz w:val="20"/>
                <w:szCs w:val="20"/>
                <w:color w:val="auto"/>
              </w:rPr>
            </w:pPr>
            <w:r>
              <w:rPr>
                <w:rFonts w:ascii="Arial" w:cs="Arial" w:eastAsia="Arial" w:hAnsi="Arial"/>
                <w:sz w:val="18"/>
                <w:szCs w:val="18"/>
                <w:color w:val="auto"/>
              </w:rPr>
              <w:t>200,669</w:t>
            </w:r>
          </w:p>
        </w:tc>
      </w:tr>
      <w:tr>
        <w:trPr>
          <w:trHeight w:val="257"/>
        </w:trPr>
        <w:tc>
          <w:tcPr>
            <w:tcW w:w="6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Claire Poll</w:t>
            </w:r>
          </w:p>
        </w:tc>
        <w:tc>
          <w:tcPr>
            <w:tcW w:w="4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121,835</w:t>
            </w:r>
          </w:p>
        </w:tc>
      </w:tr>
    </w:tbl>
    <w:p>
      <w:pPr>
        <w:spacing w:after="0" w:line="13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options and RSUs (other than the options granted to Mr. Sinha) vest as to 50% of the ordinary shares in three substantially equal annual installments following the grant date and as to 50% of the ordinary shares in four substantially equal annual installments following the grant date. The options granted to Mr Sinha vest in three substantially equal annual installments following the grant date. This description relates to the options and RSUs granted in 2017 and 2018.</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20" w:type="dxa"/>
            <w:vAlign w:val="bottom"/>
          </w:tcPr>
          <w:p>
            <w:pPr>
              <w:spacing w:after="0"/>
              <w:rPr>
                <w:sz w:val="20"/>
                <w:szCs w:val="20"/>
                <w:color w:val="auto"/>
              </w:rPr>
            </w:pPr>
            <w:r>
              <w:rPr>
                <w:rFonts w:ascii="Arial" w:cs="Arial" w:eastAsia="Arial" w:hAnsi="Arial"/>
                <w:sz w:val="18"/>
                <w:szCs w:val="18"/>
                <w:b w:val="1"/>
                <w:bCs w:val="1"/>
                <w:color w:val="auto"/>
              </w:rPr>
              <w:t>Non-Employee Directors Remuneration</w:t>
            </w:r>
          </w:p>
        </w:tc>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8620" w:type="dxa"/>
            <w:vAlign w:val="bottom"/>
          </w:tcPr>
          <w:p>
            <w:pPr>
              <w:spacing w:after="0"/>
              <w:rPr>
                <w:sz w:val="20"/>
                <w:szCs w:val="20"/>
                <w:color w:val="auto"/>
              </w:rPr>
            </w:pPr>
            <w:r>
              <w:rPr>
                <w:rFonts w:ascii="Arial" w:cs="Arial" w:eastAsia="Arial" w:hAnsi="Arial"/>
                <w:sz w:val="18"/>
                <w:szCs w:val="18"/>
                <w:color w:val="auto"/>
              </w:rPr>
              <w:t>The following table sets forth the remuneration paid during 2018 to our current non-employee directors:</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8620" w:type="dxa"/>
            <w:vAlign w:val="bottom"/>
          </w:tcPr>
          <w:p>
            <w:pPr>
              <w:spacing w:after="0"/>
              <w:rPr>
                <w:sz w:val="24"/>
                <w:szCs w:val="24"/>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Annual</w:t>
            </w:r>
          </w:p>
        </w:tc>
        <w:tc>
          <w:tcPr>
            <w:tcW w:w="1240" w:type="dxa"/>
            <w:vAlign w:val="bottom"/>
          </w:tcPr>
          <w:p>
            <w:pPr>
              <w:spacing w:after="0"/>
              <w:rPr>
                <w:sz w:val="24"/>
                <w:szCs w:val="24"/>
                <w:color w:val="auto"/>
              </w:rPr>
            </w:pPr>
          </w:p>
        </w:tc>
      </w:tr>
      <w:tr>
        <w:trPr>
          <w:trHeight w:val="246"/>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Fees (£)</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 (£)</w:t>
            </w:r>
          </w:p>
        </w:tc>
      </w:tr>
      <w:tr>
        <w:trPr>
          <w:trHeight w:val="270"/>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Ebsworth</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108,000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108,000</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Anders Ullman</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56,000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56,000</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 Cunningham</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Rishi Gupta</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30,000</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Mahendra Shah</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30,000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Vikas Sinha</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42,000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42,000</w:t>
            </w:r>
          </w:p>
        </w:tc>
      </w:tr>
      <w:tr>
        <w:trPr>
          <w:trHeight w:val="270"/>
        </w:trPr>
        <w:tc>
          <w:tcPr>
            <w:tcW w:w="8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Andrew Sinclair</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30,000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301"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operate a defined contribution pension scheme which is available to all UK employees. The total amount set aside or accrued by us to provide pension, retirement or similar benefits to our current directors and our executive officers with respect to 2018 was £29,000, which represents contributions made by us in 2018 in respect of a defined contribution scheme in which Dr. Karlsson, Ms. Poll, and Mr. Morgan participated.</w:t>
      </w:r>
    </w:p>
    <w:p>
      <w:pPr>
        <w:sectPr>
          <w:pgSz w:w="11900" w:h="16838" w:orient="portrait"/>
          <w:cols w:equalWidth="0" w:num="1">
            <w:col w:w="11420"/>
          </w:cols>
          <w:pgMar w:left="240" w:top="360" w:right="2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360"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 Board Practices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30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Board is comprised of eight members. In accordance with our Articles of Association, one third of our directors retire from office at every annual general meeting of shareholders. However, if the number of directors serving on our Board is not divisible by three, then the number nearest but not exceeding 33.3% shall retire from office at each annual general meeting of shareholders. Retiring directors are eligible for re-election and, if no other director is elected to fill his or her position and the director is willing, shall be re-elected by default.</w:t>
      </w:r>
    </w:p>
    <w:p>
      <w:pPr>
        <w:spacing w:after="0" w:line="258"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expiration of the current terms of the members of our board of directors and the period each member has served in that term 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4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Year Current Term Began</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Next year of re-election</w:t>
            </w:r>
          </w:p>
        </w:tc>
      </w:tr>
      <w:tr>
        <w:trPr>
          <w:trHeight w:val="25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Jan-Anders Karlsson, Ph.D.</w:t>
            </w:r>
          </w:p>
        </w:tc>
        <w:tc>
          <w:tcPr>
            <w:tcW w:w="4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4600" w:type="dxa"/>
            <w:vAlign w:val="bottom"/>
          </w:tcPr>
          <w:p>
            <w:pPr>
              <w:ind w:left="40"/>
              <w:spacing w:after="0"/>
              <w:rPr>
                <w:sz w:val="20"/>
                <w:szCs w:val="20"/>
                <w:color w:val="auto"/>
              </w:rPr>
            </w:pPr>
            <w:r>
              <w:rPr>
                <w:rFonts w:ascii="Arial" w:cs="Arial" w:eastAsia="Arial" w:hAnsi="Arial"/>
                <w:sz w:val="18"/>
                <w:szCs w:val="18"/>
                <w:color w:val="auto"/>
              </w:rPr>
              <w:t>David Ebsworth, Ph.D.</w:t>
            </w:r>
          </w:p>
        </w:tc>
        <w:tc>
          <w:tcPr>
            <w:tcW w:w="46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216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63"/>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Ken Cunningham, M.D.</w:t>
            </w:r>
          </w:p>
        </w:tc>
        <w:tc>
          <w:tcPr>
            <w:tcW w:w="4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50"/>
        </w:trPr>
        <w:tc>
          <w:tcPr>
            <w:tcW w:w="4600" w:type="dxa"/>
            <w:vAlign w:val="bottom"/>
          </w:tcPr>
          <w:p>
            <w:pPr>
              <w:ind w:left="40"/>
              <w:spacing w:after="0"/>
              <w:rPr>
                <w:sz w:val="20"/>
                <w:szCs w:val="20"/>
                <w:color w:val="auto"/>
              </w:rPr>
            </w:pPr>
            <w:r>
              <w:rPr>
                <w:rFonts w:ascii="Arial" w:cs="Arial" w:eastAsia="Arial" w:hAnsi="Arial"/>
                <w:sz w:val="18"/>
                <w:szCs w:val="18"/>
                <w:color w:val="auto"/>
              </w:rPr>
              <w:t>Rishi Gupta</w:t>
            </w:r>
          </w:p>
        </w:tc>
        <w:tc>
          <w:tcPr>
            <w:tcW w:w="466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216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63"/>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Mahendra Shah, Ph.D.</w:t>
            </w:r>
          </w:p>
        </w:tc>
        <w:tc>
          <w:tcPr>
            <w:tcW w:w="4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4600" w:type="dxa"/>
            <w:vAlign w:val="bottom"/>
          </w:tcPr>
          <w:p>
            <w:pPr>
              <w:ind w:left="40"/>
              <w:spacing w:after="0"/>
              <w:rPr>
                <w:sz w:val="20"/>
                <w:szCs w:val="20"/>
                <w:color w:val="auto"/>
              </w:rPr>
            </w:pPr>
            <w:r>
              <w:rPr>
                <w:rFonts w:ascii="Arial" w:cs="Arial" w:eastAsia="Arial" w:hAnsi="Arial"/>
                <w:sz w:val="18"/>
                <w:szCs w:val="18"/>
                <w:color w:val="auto"/>
              </w:rPr>
              <w:t>Andrew Sinclair, Ph.D.</w:t>
            </w:r>
          </w:p>
        </w:tc>
        <w:tc>
          <w:tcPr>
            <w:tcW w:w="466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216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63"/>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Vikas Sinha</w:t>
            </w:r>
          </w:p>
        </w:tc>
        <w:tc>
          <w:tcPr>
            <w:tcW w:w="4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Anders Ullman, M.D., Ph.D.</w:t>
            </w:r>
          </w:p>
        </w:tc>
        <w:tc>
          <w:tcPr>
            <w:tcW w:w="4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bl>
    <w:p>
      <w:pPr>
        <w:spacing w:after="0" w:line="13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There are no arrangements or understanding between us and any of the members of our board of directors providing for benefits upon termination of their service.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30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Board has three standing committees: an Audit and Risk Committee, a Remuneration Committee and a Nomination and Governance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 of the Board</w:t>
      </w:r>
    </w:p>
    <w:p>
      <w:pPr>
        <w:spacing w:after="0" w:line="19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The Audit and Risk Committee, which consists of Vikas Sinha, Dr. David Ebsworth and Dr. Andrew Sinclair, assists the Board in overseeing our accounting and financial reporting processes and the audits of our financial statements and monitoring UK Governance Code compliance and business risk. Mr. Sinha serves as Chairman of the Audit and Risk Committee. The Audit and Risk Committee consists of members of our Board who are financially literate and are also considered to be "audit committee financial experts" as defined by applicable SEC rules and have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and Risk Committee's responsibilities include:</w:t>
      </w:r>
    </w:p>
    <w:p>
      <w:pPr>
        <w:spacing w:after="0" w:line="9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the general meeting of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the independent auditor;</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the independent auditor before the auditor is engaged to render such services;</w:t>
      </w:r>
    </w:p>
    <w:p>
      <w:pPr>
        <w:ind w:left="660" w:right="14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our Board on at least an annual basis;</w:t>
      </w:r>
    </w:p>
    <w:p>
      <w:pPr>
        <w:ind w:left="660" w:right="1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discussing with the executive officers, our Board and the independent auditor our financial statements and our financial reporting process;</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considering and recommending to our Board whether the audited financial statements be approved;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monitoring our review and mitigation of corporate and operational risk.</w:t>
      </w:r>
    </w:p>
    <w:p>
      <w:pPr>
        <w:spacing w:after="0" w:line="90"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color w:val="auto"/>
        </w:rPr>
        <w:t>The Audit and Risk Committee meets as often as one or more members of the Committee deem necessary, but in any event must meet at least four times per year. The Audit and Risk Committee must meet at least once per year with our independent auditor, without our executive officers being present.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Committee of the Board</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Remuneration Committee, which consists of Dr. Ken Cunningham, Dr. David Ebsworth and Rishi Gupta, assists the Board in determining directors’ and executive officers’ compensation. Dr Cunningham serves as Chairman of the Committee.</w:t>
      </w:r>
    </w:p>
    <w:p>
      <w:pPr>
        <w:sectPr>
          <w:pgSz w:w="11900" w:h="16838" w:orient="portrait"/>
          <w:cols w:equalWidth="0" w:num="1">
            <w:col w:w="11420"/>
          </w:cols>
          <w:pgMar w:left="240" w:top="495" w:right="2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95"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The Remuneration Committee's responsibilities include:</w:t>
      </w:r>
    </w:p>
    <w:p>
      <w:pPr>
        <w:spacing w:after="0" w:line="9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the compensation of the Company’s directors and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each executive officer's performance in light of such policies and reporting to the Board;</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analyzing the possible outcomes of the variable remuneration components and how they may affect the remuneration of the executive officers;</w:t>
      </w:r>
    </w:p>
    <w:p>
      <w:pPr>
        <w:ind w:left="660" w:right="8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recommending any equity long-term incentive component of each executive officer's compensation in line with the remuneration policy and reviewing our executive officer compensation and benefits policies generally;</w:t>
      </w:r>
    </w:p>
    <w:p>
      <w:pPr>
        <w:ind w:left="66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appointing and setting the terms of engagement for any remuneration consultants who advise the Committee and obtain benchmarking data with respect to the directors' and executive officers’ compensation; and</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assessing risks arising from our compensation policies and practices.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Governance Committee of the Board</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Nomination and Governance Committee, which consists of Dr. David Ebsworth, Dr. Mahendra Shah and Dr. Anders Ullman, assists our Board in identifying individuals qualified to become executive and non-executive directors of our Company consistent with criteria established by our Board and in developing our corporate governance principles. Dr Ebsworth serves as Chairman of the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Nomination and Governance Committee's responsibilities include:</w:t>
      </w:r>
    </w:p>
    <w:p>
      <w:pPr>
        <w:spacing w:after="0" w:line="306" w:lineRule="exact"/>
        <w:rPr>
          <w:sz w:val="20"/>
          <w:szCs w:val="20"/>
          <w:color w:val="auto"/>
        </w:rPr>
      </w:pPr>
    </w:p>
    <w:p>
      <w:pPr>
        <w:ind w:left="660" w:right="940" w:hanging="328"/>
        <w:spacing w:after="0" w:line="250"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reviewing and evaluating the structure, size and composition of our Board and making recommendations with regard to any adjustments considered necessary;</w:t>
      </w: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Board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identifying and nominating, for the approval of our Board, candidates to fill vacancies on the Board and its corresponding committees;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keeping under review the leadership needs of the Company, both executive and non-executive, and planning the orderly succession of such appointments; and</w:t>
      </w: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assessing the functioning of our Board and individual members and reporting the results of such assessment to the Board.</w:t>
      </w:r>
    </w:p>
    <w:p>
      <w:pPr>
        <w:spacing w:after="0" w:line="1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D. Employees</w:t>
      </w:r>
    </w:p>
    <w:p>
      <w:pPr>
        <w:spacing w:after="0" w:line="16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December 31, 2018, 2017 and 2016, we had 15, 15, and 11 employees, respectively, of which 11, 10, and 7 were based in the United Kingdom, respectively, and the remainder of which were based outside the United Kingdom. All of our employees were engaged in either administrative or research and development functions. None of our employees are covered by a collective bargaining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information regarding the share ownership of members of our board and executive officers and arrangements involving our employees in our share capital, see Item 6.B. Compensation, Item 7.A. Major Shareholders and Item 7.B. Related Party Transactions.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63"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 December 31, 2018, by:</w:t>
      </w:r>
    </w:p>
    <w:p>
      <w:pPr>
        <w:spacing w:after="0" w:line="279" w:lineRule="exact"/>
        <w:rPr>
          <w:sz w:val="20"/>
          <w:szCs w:val="20"/>
          <w:color w:val="auto"/>
        </w:rPr>
      </w:pPr>
    </w:p>
    <w:p>
      <w:pPr>
        <w:ind w:left="660" w:right="30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or group of affiliated persons, that beneficially owns 3% or more of our outstanding ordinary shares (including ordinary shares in the form of our ADSs);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executive officers;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board members and executive officers as a group.</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2018,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percentage of ordinary shares beneficially owned is computed on the basis of 105,326,637 of our ordinary shares outstanding as of December 31, 2018. Ordinary shares that a person has the right to acquire within 60 days of December 31, 2018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As of December 31, 2018, 55,408,460 ordinary shares, representing 53% of our issued and outstanding ordinary shares (including ordinary shares in the form of our ADSs), were held by 15 U.S. record holders. Unless otherwise indicated below, the address for each beneficial owner listed is c/o Verona Pharma plc, 3 More London Riverside, London SE1 2RE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9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422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Number of Shares Beneficially Owned</w:t>
            </w:r>
          </w:p>
        </w:tc>
        <w:tc>
          <w:tcPr>
            <w:tcW w:w="0" w:type="dxa"/>
            <w:vAlign w:val="bottom"/>
          </w:tcPr>
          <w:p>
            <w:pPr>
              <w:spacing w:after="0"/>
              <w:rPr>
                <w:sz w:val="1"/>
                <w:szCs w:val="1"/>
                <w:color w:val="auto"/>
              </w:rPr>
            </w:pPr>
          </w:p>
        </w:tc>
      </w:tr>
      <w:tr>
        <w:trPr>
          <w:trHeight w:val="203"/>
        </w:trPr>
        <w:tc>
          <w:tcPr>
            <w:tcW w:w="72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Name and address of beneficial owner</w:t>
            </w:r>
          </w:p>
        </w:tc>
        <w:tc>
          <w:tcPr>
            <w:tcW w:w="2120" w:type="dxa"/>
            <w:vAlign w:val="bottom"/>
          </w:tcPr>
          <w:p>
            <w:pPr>
              <w:ind w:left="740"/>
              <w:spacing w:after="0" w:line="202" w:lineRule="exact"/>
              <w:rPr>
                <w:sz w:val="20"/>
                <w:szCs w:val="20"/>
                <w:color w:val="auto"/>
              </w:rPr>
            </w:pPr>
            <w:r>
              <w:rPr>
                <w:rFonts w:ascii="Arial" w:cs="Arial" w:eastAsia="Arial" w:hAnsi="Arial"/>
                <w:sz w:val="18"/>
                <w:szCs w:val="18"/>
                <w:b w:val="1"/>
                <w:bCs w:val="1"/>
                <w:color w:val="auto"/>
              </w:rPr>
              <w:t>Number</w:t>
            </w:r>
          </w:p>
        </w:tc>
        <w:tc>
          <w:tcPr>
            <w:tcW w:w="210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72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3% or Greater Shareholders:</w:t>
            </w:r>
          </w:p>
        </w:tc>
        <w:tc>
          <w:tcPr>
            <w:tcW w:w="2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gridSpan w:val="3"/>
            <w:vMerge w:val="continue"/>
          </w:tcPr>
          <w:p>
            <w:pPr>
              <w:spacing w:after="0"/>
              <w:rPr>
                <w:sz w:val="22"/>
                <w:szCs w:val="22"/>
                <w:color w:val="auto"/>
              </w:rPr>
            </w:pPr>
          </w:p>
        </w:tc>
        <w:tc>
          <w:tcPr>
            <w:tcW w:w="21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21"/>
                <w:szCs w:val="21"/>
                <w:color w:val="auto"/>
                <w:vertAlign w:val="superscript"/>
              </w:rPr>
              <w:t>(1)</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14,159,611</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Vivo Capital affiliates </w:t>
            </w:r>
            <w:r>
              <w:rPr>
                <w:rFonts w:ascii="Arial" w:cs="Arial" w:eastAsia="Arial" w:hAnsi="Arial"/>
                <w:sz w:val="21"/>
                <w:szCs w:val="21"/>
                <w:color w:val="auto"/>
                <w:vertAlign w:val="superscript"/>
              </w:rPr>
              <w:t>(2)</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13,811,584</w:t>
            </w:r>
          </w:p>
        </w:tc>
        <w:tc>
          <w:tcPr>
            <w:tcW w:w="2100" w:type="dxa"/>
            <w:vAlign w:val="bottom"/>
          </w:tcPr>
          <w:p>
            <w:pPr>
              <w:jc w:val="center"/>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OrbiMed Private Investments VI, LP </w:t>
            </w:r>
            <w:r>
              <w:rPr>
                <w:rFonts w:ascii="Arial" w:cs="Arial" w:eastAsia="Arial" w:hAnsi="Arial"/>
                <w:sz w:val="21"/>
                <w:szCs w:val="21"/>
                <w:color w:val="auto"/>
                <w:vertAlign w:val="superscript"/>
              </w:rPr>
              <w:t>(3)</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11,871,112</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Growth Equity Opportunities Fund IV, LLC </w:t>
            </w:r>
            <w:r>
              <w:rPr>
                <w:rFonts w:ascii="Arial" w:cs="Arial" w:eastAsia="Arial" w:hAnsi="Arial"/>
                <w:sz w:val="21"/>
                <w:szCs w:val="21"/>
                <w:color w:val="auto"/>
                <w:vertAlign w:val="superscript"/>
              </w:rPr>
              <w:t>(4)</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11,527,019</w:t>
            </w:r>
          </w:p>
        </w:tc>
        <w:tc>
          <w:tcPr>
            <w:tcW w:w="2100" w:type="dxa"/>
            <w:vAlign w:val="bottom"/>
          </w:tcPr>
          <w:p>
            <w:pPr>
              <w:jc w:val="center"/>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Abingworth Bioventures VI, LP </w:t>
            </w:r>
            <w:r>
              <w:rPr>
                <w:rFonts w:ascii="Arial" w:cs="Arial" w:eastAsia="Arial" w:hAnsi="Arial"/>
                <w:sz w:val="21"/>
                <w:szCs w:val="21"/>
                <w:color w:val="auto"/>
                <w:vertAlign w:val="superscript"/>
              </w:rPr>
              <w:t>(5)</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8,619,765</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8.18%</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venBio Select Advisor </w:t>
            </w:r>
            <w:r>
              <w:rPr>
                <w:rFonts w:ascii="Arial" w:cs="Arial" w:eastAsia="Arial" w:hAnsi="Arial"/>
                <w:sz w:val="21"/>
                <w:szCs w:val="21"/>
                <w:color w:val="auto"/>
                <w:vertAlign w:val="superscript"/>
              </w:rPr>
              <w:t>(6)</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7,000,000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6.65%</w:t>
            </w: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Biodiscovery 4 FCPI </w:t>
            </w:r>
            <w:r>
              <w:rPr>
                <w:rFonts w:ascii="Arial" w:cs="Arial" w:eastAsia="Arial" w:hAnsi="Arial"/>
                <w:sz w:val="21"/>
                <w:szCs w:val="21"/>
                <w:color w:val="auto"/>
                <w:vertAlign w:val="superscript"/>
              </w:rPr>
              <w:t>(7)</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6,652,398</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6.32%</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Tekla Capital affiliates </w:t>
            </w:r>
            <w:r>
              <w:rPr>
                <w:rFonts w:ascii="Arial" w:cs="Arial" w:eastAsia="Arial" w:hAnsi="Arial"/>
                <w:sz w:val="21"/>
                <w:szCs w:val="21"/>
                <w:color w:val="auto"/>
                <w:vertAlign w:val="superscript"/>
              </w:rPr>
              <w:t>(8)</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5,296,845</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5.03%</w:t>
            </w: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Aisling Capital IV, LP </w:t>
            </w:r>
            <w:r>
              <w:rPr>
                <w:rFonts w:ascii="Arial" w:cs="Arial" w:eastAsia="Arial" w:hAnsi="Arial"/>
                <w:sz w:val="21"/>
                <w:szCs w:val="21"/>
                <w:color w:val="auto"/>
                <w:vertAlign w:val="superscript"/>
              </w:rPr>
              <w:t>(9)</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4,138,643</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3.93%</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Arix Bioscience Holdings Ltd affiliates </w:t>
            </w:r>
            <w:r>
              <w:rPr>
                <w:rFonts w:ascii="Arial" w:cs="Arial" w:eastAsia="Arial" w:hAnsi="Arial"/>
                <w:sz w:val="21"/>
                <w:szCs w:val="21"/>
                <w:color w:val="auto"/>
                <w:vertAlign w:val="superscript"/>
              </w:rPr>
              <w:t>(10)</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3,916,493</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3.72%</w:t>
            </w: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Canaccord Genuity Group, Inc.</w:t>
            </w:r>
            <w:r>
              <w:rPr>
                <w:rFonts w:ascii="Arial" w:cs="Arial" w:eastAsia="Arial" w:hAnsi="Arial"/>
                <w:sz w:val="21"/>
                <w:szCs w:val="21"/>
                <w:color w:val="auto"/>
                <w:vertAlign w:val="superscript"/>
              </w:rPr>
              <w:t>(11)</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3,233,598</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3.07%</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Polar Capital Holdings plc</w:t>
            </w:r>
            <w:r>
              <w:rPr>
                <w:rFonts w:ascii="Arial" w:cs="Arial" w:eastAsia="Arial" w:hAnsi="Arial"/>
                <w:sz w:val="21"/>
                <w:szCs w:val="21"/>
                <w:color w:val="auto"/>
                <w:vertAlign w:val="superscript"/>
              </w:rPr>
              <w:t>(12)</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4,550,000</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4.32%</w:t>
            </w:r>
          </w:p>
        </w:tc>
        <w:tc>
          <w:tcPr>
            <w:tcW w:w="0" w:type="dxa"/>
            <w:vAlign w:val="bottom"/>
          </w:tcPr>
          <w:p>
            <w:pPr>
              <w:spacing w:after="0"/>
              <w:rPr>
                <w:sz w:val="1"/>
                <w:szCs w:val="1"/>
                <w:color w:val="auto"/>
              </w:rPr>
            </w:pPr>
          </w:p>
        </w:tc>
      </w:tr>
      <w:tr>
        <w:trPr>
          <w:trHeight w:val="27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Executive Officers and Directors:</w:t>
            </w:r>
          </w:p>
        </w:tc>
        <w:tc>
          <w:tcPr>
            <w:tcW w:w="21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Jan-Anders Karlsson, Ph.D. </w:t>
            </w:r>
            <w:r>
              <w:rPr>
                <w:rFonts w:ascii="Arial" w:cs="Arial" w:eastAsia="Arial" w:hAnsi="Arial"/>
                <w:sz w:val="21"/>
                <w:szCs w:val="21"/>
                <w:color w:val="auto"/>
                <w:vertAlign w:val="superscript"/>
              </w:rPr>
              <w:t>(13)</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1,608,122</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1.53%</w:t>
            </w: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Piers Morgan </w:t>
            </w:r>
            <w:r>
              <w:rPr>
                <w:rFonts w:ascii="Arial" w:cs="Arial" w:eastAsia="Arial" w:hAnsi="Arial"/>
                <w:sz w:val="21"/>
                <w:szCs w:val="21"/>
                <w:color w:val="auto"/>
                <w:vertAlign w:val="superscript"/>
              </w:rPr>
              <w:t>(14)</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492,974</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50"/>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Kathleen Rickard, M.D.</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Claire Poll </w:t>
            </w:r>
            <w:r>
              <w:rPr>
                <w:rFonts w:ascii="Arial" w:cs="Arial" w:eastAsia="Arial" w:hAnsi="Arial"/>
                <w:sz w:val="21"/>
                <w:szCs w:val="21"/>
                <w:color w:val="auto"/>
                <w:vertAlign w:val="superscript"/>
              </w:rPr>
              <w:t>(15)</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512,297</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50"/>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Ken Cunningham, M.D.</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David Ebsworth, Ph.D.</w:t>
            </w:r>
            <w:r>
              <w:rPr>
                <w:rFonts w:ascii="Arial" w:cs="Arial" w:eastAsia="Arial" w:hAnsi="Arial"/>
                <w:sz w:val="21"/>
                <w:szCs w:val="21"/>
                <w:color w:val="auto"/>
                <w:vertAlign w:val="superscript"/>
              </w:rPr>
              <w:t>(16)</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152,703</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50"/>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Rishi Gupta</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Mahendra Shah, Ph.D.</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Andrew Sinclair, Ph.D.</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Vikas Sinha </w:t>
            </w:r>
            <w:r>
              <w:rPr>
                <w:rFonts w:ascii="Arial" w:cs="Arial" w:eastAsia="Arial" w:hAnsi="Arial"/>
                <w:sz w:val="21"/>
                <w:szCs w:val="21"/>
                <w:color w:val="auto"/>
                <w:vertAlign w:val="superscript"/>
              </w:rPr>
              <w:t>(17)</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62,350</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50"/>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Anders Ullman, Ph.D.</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executive officers and directors as a group (11 persons)</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2,828,446</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2.69%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60" w:right="160" w:hanging="652"/>
        <w:spacing w:after="0" w:line="245" w:lineRule="auto"/>
        <w:tabs>
          <w:tab w:leader="none" w:pos="660" w:val="left"/>
        </w:tabs>
        <w:numPr>
          <w:ilvl w:val="0"/>
          <w:numId w:val="51"/>
        </w:numPr>
        <w:rPr>
          <w:rFonts w:ascii="Arial" w:cs="Arial" w:eastAsia="Arial" w:hAnsi="Arial"/>
          <w:sz w:val="9"/>
          <w:szCs w:val="9"/>
          <w:color w:val="auto"/>
        </w:rPr>
      </w:pPr>
      <w:r>
        <w:rPr>
          <w:rFonts w:ascii="Arial" w:cs="Arial" w:eastAsia="Arial" w:hAnsi="Arial"/>
          <w:sz w:val="14"/>
          <w:szCs w:val="14"/>
          <w:color w:val="auto"/>
        </w:rPr>
        <w:t>Consists of (a) 12,389,985 ordinary shares held directly by Novo A/S, or Novo, and (b) warrants to purchase 1,769,626 ordinary shares.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information known to us and a Form TR-1 provided to us on June 6, 2017. Novo's mailing address is Tuborg Havnevej 19, Hellerup, G7 2900, Denmark.</w:t>
      </w:r>
    </w:p>
    <w:p>
      <w:pPr>
        <w:spacing w:after="0" w:line="258" w:lineRule="exact"/>
        <w:rPr>
          <w:rFonts w:ascii="Arial" w:cs="Arial" w:eastAsia="Arial" w:hAnsi="Arial"/>
          <w:sz w:val="9"/>
          <w:szCs w:val="9"/>
          <w:color w:val="auto"/>
        </w:rPr>
      </w:pPr>
    </w:p>
    <w:p>
      <w:pPr>
        <w:ind w:left="660" w:right="40" w:hanging="652"/>
        <w:spacing w:after="0" w:line="243" w:lineRule="auto"/>
        <w:tabs>
          <w:tab w:leader="none" w:pos="660" w:val="left"/>
        </w:tabs>
        <w:numPr>
          <w:ilvl w:val="0"/>
          <w:numId w:val="51"/>
        </w:numPr>
        <w:rPr>
          <w:rFonts w:ascii="Arial" w:cs="Arial" w:eastAsia="Arial" w:hAnsi="Arial"/>
          <w:sz w:val="9"/>
          <w:szCs w:val="9"/>
          <w:color w:val="auto"/>
        </w:rPr>
      </w:pPr>
      <w:r>
        <w:rPr>
          <w:rFonts w:ascii="Arial" w:cs="Arial" w:eastAsia="Arial" w:hAnsi="Arial"/>
          <w:sz w:val="14"/>
          <w:szCs w:val="14"/>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 Affiliates Fund, L.P., or Vivo Affiliates VI, (d) 9,554,917 ordinary shares held directly by Vivo Ventures Fund VII L.P., or Vivo VII, of which 4,507,040 are held in the form of ADSs, (e) warrants to purchase 1,462,477 ordinary shares held directly by Vivo VII, (f) warrants to purchase 31,874 ordinary shares held directly by Vivo Ventures VII Affiliates Fund, L.P., or Vivo Affiliates VII. Vivo Ventures VI, LLC , or Vivo Ventures VI, is the sole general partner of Vivo VI and Vivo Affiliates VI. Vivo Ventures VII, LLC, or Vivo Ventures VII, is the sole general partner of Vivo VII and Vivo Affiliates VII. Vivo Ventures VI and Vivo Ventures VII disclaim beneficial ownership of all shares held by Vivo VI, Vivo Affiliates VI, Vivo VII and Vivo Affiliates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Vll are Drs. Albert Cha, Edgar Engleman, Frank Kung, Chen Yu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except to the extent of his pecuniary interest arising as a result of his employment by Vivo Capital. Beneficial ownership information is based on information known to us and Forms TR-1 provided to us on May 30, 2017. Vivo Capital's mailing address is 505 Hamilton Avenue, Suite 200, Palo Alto, CA 94301.</w:t>
      </w:r>
    </w:p>
    <w:p>
      <w:pPr>
        <w:spacing w:after="0" w:line="200" w:lineRule="exact"/>
        <w:rPr>
          <w:rFonts w:ascii="Arial" w:cs="Arial" w:eastAsia="Arial" w:hAnsi="Arial"/>
          <w:sz w:val="9"/>
          <w:szCs w:val="9"/>
          <w:color w:val="auto"/>
        </w:rPr>
      </w:pPr>
    </w:p>
    <w:p>
      <w:pPr>
        <w:spacing w:after="0" w:line="220" w:lineRule="exact"/>
        <w:rPr>
          <w:rFonts w:ascii="Arial" w:cs="Arial" w:eastAsia="Arial" w:hAnsi="Arial"/>
          <w:sz w:val="9"/>
          <w:szCs w:val="9"/>
          <w:color w:val="auto"/>
        </w:rPr>
      </w:pPr>
    </w:p>
    <w:p>
      <w:pPr>
        <w:ind w:left="660" w:hanging="652"/>
        <w:spacing w:after="0"/>
        <w:tabs>
          <w:tab w:leader="none" w:pos="660" w:val="left"/>
        </w:tabs>
        <w:numPr>
          <w:ilvl w:val="0"/>
          <w:numId w:val="51"/>
        </w:numPr>
        <w:rPr>
          <w:rFonts w:ascii="Arial" w:cs="Arial" w:eastAsia="Arial" w:hAnsi="Arial"/>
          <w:sz w:val="9"/>
          <w:szCs w:val="9"/>
          <w:color w:val="auto"/>
        </w:rPr>
      </w:pPr>
      <w:r>
        <w:rPr>
          <w:rFonts w:ascii="Arial" w:cs="Arial" w:eastAsia="Arial" w:hAnsi="Arial"/>
          <w:sz w:val="14"/>
          <w:szCs w:val="14"/>
          <w:color w:val="auto"/>
        </w:rPr>
        <w:t>Consists of (a) 10,003,174 ordinary shares held directly by OrbiMed Private Investments VI, LP, or OPI VI, of which 10,003,168 are held in the form of ADSs and</w:t>
      </w:r>
    </w:p>
    <w:p>
      <w:pPr>
        <w:spacing w:after="0" w:line="1" w:lineRule="exact"/>
        <w:rPr>
          <w:rFonts w:ascii="Arial" w:cs="Arial" w:eastAsia="Arial" w:hAnsi="Arial"/>
          <w:sz w:val="9"/>
          <w:szCs w:val="9"/>
          <w:color w:val="auto"/>
        </w:rPr>
      </w:pPr>
    </w:p>
    <w:p>
      <w:pPr>
        <w:ind w:left="660" w:right="100"/>
        <w:spacing w:after="0" w:line="244" w:lineRule="auto"/>
        <w:rPr>
          <w:rFonts w:ascii="Arial" w:cs="Arial" w:eastAsia="Arial" w:hAnsi="Arial"/>
          <w:sz w:val="9"/>
          <w:szCs w:val="9"/>
          <w:color w:val="auto"/>
        </w:rPr>
      </w:pPr>
      <w:r>
        <w:rPr>
          <w:rFonts w:ascii="Arial" w:cs="Arial" w:eastAsia="Arial" w:hAnsi="Arial"/>
          <w:sz w:val="14"/>
          <w:szCs w:val="14"/>
          <w:color w:val="auto"/>
        </w:rPr>
        <w:t>(b) warrants to purchase 1,867,938 ordinary shares are held directly by OPI VI. OrbiMed Capital GP VI LLC, or GP VI, is the general partner of OPI VI. OrbiMed Advisors LLC, or Advisors, pursuant to its authority as the sole managing member of GP VI, the sole general partner of OPI VI, may be deemed to indirectly beneficially own the ordinary shares held by OPI VI. GP VI, pursuant to its authority as general partner or OPI VI, may be deemed to indirectly beneficially own the ordinary shares held by OPI VI. As a result, Advisors and GP VI share the power to direct the vote and to direct the disposition of the ordinary shares held by OPI VI. Advisors exercises this investment and voting power through a management committee comprised of Carl L. Gordon, Sven H. Borho and Jonathan T. Silverstein, each of whom disclaims beneficial ownership of the ordinary shares held by OPI VI. Beneficial ownership information is based on information known to us and a Schedule 13D/A filed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35" w:right="239" w:bottom="1440" w:gutter="0" w:footer="0" w:header="0"/>
        </w:sectPr>
      </w:pPr>
    </w:p>
    <w:bookmarkStart w:id="93" w:name="page94"/>
    <w:bookmarkEnd w:id="93"/>
    <w:p>
      <w:pPr>
        <w:ind w:left="652"/>
        <w:spacing w:after="0"/>
        <w:rPr>
          <w:sz w:val="20"/>
          <w:szCs w:val="20"/>
          <w:color w:val="auto"/>
        </w:rPr>
      </w:pPr>
      <w:r>
        <w:rPr>
          <w:rFonts w:ascii="Arial" w:cs="Arial" w:eastAsia="Arial" w:hAnsi="Arial"/>
          <w:sz w:val="14"/>
          <w:szCs w:val="14"/>
          <w:color w:val="auto"/>
        </w:rPr>
        <w:t>with the SEC on January 26, 2018. The mailing address of OPI VI, GP VI and Advisors is 601 Lexington Avenue, 54th Floor, New York, NY 10022.</w:t>
      </w:r>
    </w:p>
    <w:p>
      <w:pPr>
        <w:spacing w:after="0" w:line="325" w:lineRule="exact"/>
        <w:rPr>
          <w:sz w:val="20"/>
          <w:szCs w:val="20"/>
          <w:color w:val="auto"/>
        </w:rPr>
      </w:pPr>
    </w:p>
    <w:p>
      <w:pPr>
        <w:ind w:left="652" w:hanging="652"/>
        <w:spacing w:after="0"/>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9,757,393 ordinary shares held directly by Growth Equity Opportunities Fund IV, LLC, or GEO, of which 5,333,328 are held in the form of ADSs, and</w:t>
      </w:r>
    </w:p>
    <w:p>
      <w:pPr>
        <w:spacing w:after="0" w:line="1" w:lineRule="exact"/>
        <w:rPr>
          <w:rFonts w:ascii="Arial" w:cs="Arial" w:eastAsia="Arial" w:hAnsi="Arial"/>
          <w:sz w:val="9"/>
          <w:szCs w:val="9"/>
          <w:color w:val="auto"/>
        </w:rPr>
      </w:pPr>
    </w:p>
    <w:p>
      <w:pPr>
        <w:ind w:left="652" w:right="20"/>
        <w:spacing w:after="0" w:line="244" w:lineRule="auto"/>
        <w:rPr>
          <w:rFonts w:ascii="Arial" w:cs="Arial" w:eastAsia="Arial" w:hAnsi="Arial"/>
          <w:sz w:val="9"/>
          <w:szCs w:val="9"/>
          <w:color w:val="auto"/>
        </w:rPr>
      </w:pPr>
      <w:r>
        <w:rPr>
          <w:rFonts w:ascii="Arial" w:cs="Arial" w:eastAsia="Arial" w:hAnsi="Arial"/>
          <w:sz w:val="14"/>
          <w:szCs w:val="14"/>
          <w:color w:val="auto"/>
        </w:rPr>
        <w:t>(c) warrants to purchase 1,769,626 ordinary shares held directly by GEO. New Enterprise Associates 15, L.P., or NEA 15, is the sole member of GEO. NEA Partners 15, L.P., NEA Partners 15, is the sole general partner of NEA 15. NEA 15 GP, LLC, or NEA 15 LLC, is the sole general partner of NEA Partners 15. Peter J. Barris, Forest Baskett, Anthony Florence, Jr., Krishnu Kolluri, David M. Mott, Scott D. Sandell, Peter Sonsini, Jon Sakoda, Ravia Viswanthan and Henry Weller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Beneficial ownership information is based on information known to us and a Form TR-1 provided to us on May 8, 2017. GEO's mailing address is 1954 Greenspring Drive, Suite 600, Timonium, MD 21093-4135.</w:t>
      </w:r>
    </w:p>
    <w:p>
      <w:pPr>
        <w:spacing w:after="0" w:line="258" w:lineRule="exact"/>
        <w:rPr>
          <w:rFonts w:ascii="Arial" w:cs="Arial" w:eastAsia="Arial" w:hAnsi="Arial"/>
          <w:sz w:val="9"/>
          <w:szCs w:val="9"/>
          <w:color w:val="auto"/>
        </w:rPr>
      </w:pPr>
    </w:p>
    <w:p>
      <w:pPr>
        <w:ind w:left="652" w:right="60" w:hanging="652"/>
        <w:spacing w:after="0" w:line="243"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7,215,544 ordinary shares held directly by Abingworth Bioventures VI, LP, or Abingworth VI, all of which are held in the form of ADSs, and (b) warrants to purchase 1,404,221 ordinary shares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Stephen Bunting, Timothy Haines, Kurt von Emster and Genghis Lloyd-Harris approves investment and voting decisions of Abingworth VI by a majority vote, and no individual member has the sole control or voting power over the securities held by Abingworth VI. Abingworth GP VI, Abingworth General Partner VI, Abingworth LLP and each of Stephen Bunting, Timothy Haines, Kurt von Emster and Genghis Lloyd-Harris disclaim beneficial ownership of securities held by Abingworth VI, except to the extent, if any of their pecuniary interest therein. Andrew Sinclair is a Partner and Portfolio Manager at Abingworth LLP and a member of our board of directors. Dr. Sinclair does not have voting or dispositive power over any of the securities held by Abingworth Vl. Beneficial ownership information is based on information known to us and a Form TR-1 provided to us on May 9, 2017. Abingworth VI's mailing address is 38 Jermyn Street, London SW1Y 6DN, United Kingdom.</w:t>
      </w:r>
    </w:p>
    <w:p>
      <w:pPr>
        <w:spacing w:after="0" w:line="260" w:lineRule="exact"/>
        <w:rPr>
          <w:rFonts w:ascii="Arial" w:cs="Arial" w:eastAsia="Arial" w:hAnsi="Arial"/>
          <w:sz w:val="9"/>
          <w:szCs w:val="9"/>
          <w:color w:val="auto"/>
        </w:rPr>
      </w:pPr>
    </w:p>
    <w:p>
      <w:pPr>
        <w:ind w:left="652" w:right="80" w:hanging="652"/>
        <w:spacing w:after="0" w:line="258"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7,000,000 ordinary shares held in the form of ADSs by VenBio Select Advisor. This information is based on information known to us. The mailing address for VenBio Select Advisor is 120 W 45th St #2802, New York, NY 10036</w:t>
      </w:r>
    </w:p>
    <w:p>
      <w:pPr>
        <w:spacing w:after="0" w:line="248" w:lineRule="exact"/>
        <w:rPr>
          <w:rFonts w:ascii="Arial" w:cs="Arial" w:eastAsia="Arial" w:hAnsi="Arial"/>
          <w:sz w:val="9"/>
          <w:szCs w:val="9"/>
          <w:color w:val="auto"/>
        </w:rPr>
      </w:pPr>
    </w:p>
    <w:p>
      <w:pPr>
        <w:ind w:left="652" w:hanging="652"/>
        <w:spacing w:after="0" w:line="247"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1 ordinary share and 5,767,584 ordinary shares held in the form of ADSs by Biodiscovery 4 FCPI, or Biodiscovery, and (b) warrants to purchase 884,813 ordinary shares held directly by Biodiscovery. Biodiscovery is a fund under the management of Andera Partners and may be deemed to beneficially own the Biodiscovery shares. Beneficial ownership information is based on information known to us and a Schedule 13G filed on February 11, 2019. The mailing address for Biodiscovery is 347 rue Saint-Honoré 75001 Paris, France.</w:t>
      </w:r>
    </w:p>
    <w:p>
      <w:pPr>
        <w:spacing w:after="0" w:line="255" w:lineRule="exact"/>
        <w:rPr>
          <w:rFonts w:ascii="Arial" w:cs="Arial" w:eastAsia="Arial" w:hAnsi="Arial"/>
          <w:sz w:val="9"/>
          <w:szCs w:val="9"/>
          <w:color w:val="auto"/>
        </w:rPr>
      </w:pPr>
    </w:p>
    <w:p>
      <w:pPr>
        <w:ind w:left="652" w:right="60" w:hanging="652"/>
        <w:spacing w:after="0" w:line="243"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4,412,031 ordinary shares held directly by Tekla World Healthcare Fund, or Tekla World, of which 2,200,000 are held in the form of ADSs, (b) warrants to purchase 513,192 ordinary shares held directly by Tekla World, and (c) warrants to purchase 371,622 ordinary shares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 on February 12, 2019. Tekla Capital's mailing address is 100 Federal Street, 19th Floor, Boston, MA 02110.</w:t>
      </w:r>
    </w:p>
    <w:p>
      <w:pPr>
        <w:spacing w:after="0" w:line="200" w:lineRule="exact"/>
        <w:rPr>
          <w:rFonts w:ascii="Arial" w:cs="Arial" w:eastAsia="Arial" w:hAnsi="Arial"/>
          <w:sz w:val="9"/>
          <w:szCs w:val="9"/>
          <w:color w:val="auto"/>
        </w:rPr>
      </w:pPr>
    </w:p>
    <w:p>
      <w:pPr>
        <w:spacing w:after="0" w:line="224" w:lineRule="exact"/>
        <w:rPr>
          <w:rFonts w:ascii="Arial" w:cs="Arial" w:eastAsia="Arial" w:hAnsi="Arial"/>
          <w:sz w:val="9"/>
          <w:szCs w:val="9"/>
          <w:color w:val="auto"/>
        </w:rPr>
      </w:pPr>
    </w:p>
    <w:p>
      <w:pPr>
        <w:ind w:left="652" w:right="40" w:hanging="652"/>
        <w:spacing w:after="0" w:line="250"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3,548,768 ordinary shares held directly by Aisling Capital IV, LP, or Aisling, of which 2,074,080 are held in the form of ADSs, and (b) warrants to purchase 589,875 ordinary shares held directly by Aisling. This information is based on information known to us and a TR-1 provided to us on June 6, 2017. The mailing address of Aisling is Aisling Capital, 888 Seventh Avenue, 12th Floor, New York, NY 10106.</w:t>
      </w:r>
    </w:p>
    <w:p>
      <w:pPr>
        <w:spacing w:after="0" w:line="253" w:lineRule="exact"/>
        <w:rPr>
          <w:rFonts w:ascii="Arial" w:cs="Arial" w:eastAsia="Arial" w:hAnsi="Arial"/>
          <w:sz w:val="9"/>
          <w:szCs w:val="9"/>
          <w:color w:val="auto"/>
        </w:rPr>
      </w:pPr>
    </w:p>
    <w:p>
      <w:pPr>
        <w:ind w:left="652" w:right="160" w:hanging="652"/>
        <w:spacing w:after="0" w:line="247"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1,290,352 ordinary shares held directly by Arix Bioscience Holdings Ltd, or Arix, (b) warrants to purchase 516,141 ordinary shares held directly by Arix and (c) 2,110,000 ordinary shares held directly by Wales Life Sciences Investment Fund, or WLSIF. Arthurian Life Sciences Ltd, or Arthurian, is the general partner of WLSIF and a wholly owned subsidiary of Arix. Beneficial ownership information is based on information known to us and Forms TR-1 provided to us on August 3, 2016 and January 3, 2017. Arix's mailing address is 20 Berkeley Square, London W1J 6EQ, United Kingdom.</w:t>
      </w:r>
    </w:p>
    <w:p>
      <w:pPr>
        <w:spacing w:after="0" w:line="255" w:lineRule="exact"/>
        <w:rPr>
          <w:rFonts w:ascii="Arial" w:cs="Arial" w:eastAsia="Arial" w:hAnsi="Arial"/>
          <w:sz w:val="9"/>
          <w:szCs w:val="9"/>
          <w:color w:val="auto"/>
        </w:rPr>
      </w:pPr>
    </w:p>
    <w:p>
      <w:pPr>
        <w:ind w:left="652" w:right="160" w:hanging="652"/>
        <w:spacing w:after="0" w:line="258"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Canaccord Genuity Group Inc. is the beneficial owner of 3,233,598 ordinary shares held directly by Canaccord Genuity Wealth Management. This information is based on information known to us. The mailing address for Canaccord Genuity Group Inc. is 88 Wood Street, London, UK, EC2V 7QR.</w:t>
      </w:r>
    </w:p>
    <w:p>
      <w:pPr>
        <w:spacing w:after="0" w:line="248" w:lineRule="exact"/>
        <w:rPr>
          <w:rFonts w:ascii="Arial" w:cs="Arial" w:eastAsia="Arial" w:hAnsi="Arial"/>
          <w:sz w:val="9"/>
          <w:szCs w:val="9"/>
          <w:color w:val="auto"/>
        </w:rPr>
      </w:pPr>
    </w:p>
    <w:p>
      <w:pPr>
        <w:ind w:left="652" w:right="120" w:hanging="652"/>
        <w:spacing w:after="0" w:line="247"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4,550,000 ordinary shares of which (a) 3,000,000 ordinary shares are held directly by Polar Biotechnology Fund, or PBF, (b) 800,000 are held by PBF in the form of ADSs and (c) 750,000 ordinary shares are held directly by Polar Capital Global Healthcare, or PCGH. PBF and PCGH are managed by Polar Capital Holdings plc, or PCH. Beneficial ownership information is based on information known to us. The mailing address of PBF, PCGH and PCH is 4 Matthew Parker Street, London, SW1H 9NP, United Kingdom.</w:t>
      </w:r>
    </w:p>
    <w:p>
      <w:pPr>
        <w:spacing w:after="0" w:line="255" w:lineRule="exact"/>
        <w:rPr>
          <w:rFonts w:ascii="Arial" w:cs="Arial" w:eastAsia="Arial" w:hAnsi="Arial"/>
          <w:sz w:val="9"/>
          <w:szCs w:val="9"/>
          <w:color w:val="auto"/>
        </w:rPr>
      </w:pPr>
    </w:p>
    <w:p>
      <w:pPr>
        <w:ind w:left="652" w:right="300" w:hanging="652"/>
        <w:spacing w:after="0" w:line="258"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193,545 ordinary shares and (b) 1,414,577 options to purchase ordinary shares that are, or will be within 60 days of December 31, 2018, immediately exercisable.</w:t>
      </w:r>
    </w:p>
    <w:p>
      <w:pPr>
        <w:spacing w:after="0" w:line="248" w:lineRule="exact"/>
        <w:rPr>
          <w:rFonts w:ascii="Arial" w:cs="Arial" w:eastAsia="Arial" w:hAnsi="Arial"/>
          <w:sz w:val="9"/>
          <w:szCs w:val="9"/>
          <w:color w:val="auto"/>
        </w:rPr>
      </w:pPr>
    </w:p>
    <w:p>
      <w:pPr>
        <w:ind w:left="652" w:right="500" w:hanging="652"/>
        <w:spacing w:after="0" w:line="258"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58,594 ordinary shares and (b) 434,380 options to purchase ordinary shares that are, or will be within 60 days of December 31, 2018, immediately exercisable.</w:t>
      </w:r>
    </w:p>
    <w:p>
      <w:pPr>
        <w:spacing w:after="0" w:line="248" w:lineRule="exact"/>
        <w:rPr>
          <w:rFonts w:ascii="Arial" w:cs="Arial" w:eastAsia="Arial" w:hAnsi="Arial"/>
          <w:sz w:val="9"/>
          <w:szCs w:val="9"/>
          <w:color w:val="auto"/>
        </w:rPr>
      </w:pPr>
    </w:p>
    <w:p>
      <w:pPr>
        <w:ind w:left="652" w:right="180" w:hanging="652"/>
        <w:spacing w:after="0" w:line="258" w:lineRule="auto"/>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95,000 ordinary shares and (b) 417,297 options to purchase ordinary shares that are or will be immediately exercisable within 60 days of December 31, 2018.</w:t>
      </w:r>
    </w:p>
    <w:p>
      <w:pPr>
        <w:spacing w:after="0" w:line="248" w:lineRule="exact"/>
        <w:rPr>
          <w:rFonts w:ascii="Arial" w:cs="Arial" w:eastAsia="Arial" w:hAnsi="Arial"/>
          <w:sz w:val="9"/>
          <w:szCs w:val="9"/>
          <w:color w:val="auto"/>
        </w:rPr>
      </w:pPr>
    </w:p>
    <w:p>
      <w:pPr>
        <w:ind w:left="652" w:hanging="652"/>
        <w:spacing w:after="0"/>
        <w:tabs>
          <w:tab w:leader="none" w:pos="652" w:val="left"/>
        </w:tabs>
        <w:numPr>
          <w:ilvl w:val="0"/>
          <w:numId w:val="52"/>
        </w:numPr>
        <w:rPr>
          <w:rFonts w:ascii="Arial" w:cs="Arial" w:eastAsia="Arial" w:hAnsi="Arial"/>
          <w:sz w:val="9"/>
          <w:szCs w:val="9"/>
          <w:color w:val="auto"/>
        </w:rPr>
      </w:pPr>
      <w:r>
        <w:rPr>
          <w:rFonts w:ascii="Arial" w:cs="Arial" w:eastAsia="Arial" w:hAnsi="Arial"/>
          <w:sz w:val="14"/>
          <w:szCs w:val="14"/>
          <w:color w:val="auto"/>
        </w:rPr>
        <w:t>Consists of (a) 147,787 ordinary shares, and (b) warrants to purchase 4,916 ordinary shares.</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12"/>
          </w:cols>
          <w:pgMar w:left="248" w:top="563" w:right="239" w:bottom="1440" w:gutter="0" w:footer="0" w:header="0"/>
        </w:sectPr>
      </w:pPr>
    </w:p>
    <w:bookmarkStart w:id="94" w:name="page95"/>
    <w:bookmarkEnd w:id="94"/>
    <w:p>
      <w:pPr>
        <w:ind w:left="660" w:right="540" w:hanging="652"/>
        <w:spacing w:after="0" w:line="258" w:lineRule="auto"/>
        <w:tabs>
          <w:tab w:leader="none" w:pos="660" w:val="left"/>
        </w:tabs>
        <w:numPr>
          <w:ilvl w:val="0"/>
          <w:numId w:val="53"/>
        </w:numPr>
        <w:rPr>
          <w:rFonts w:ascii="Arial" w:cs="Arial" w:eastAsia="Arial" w:hAnsi="Arial"/>
          <w:sz w:val="9"/>
          <w:szCs w:val="9"/>
          <w:color w:val="auto"/>
        </w:rPr>
      </w:pPr>
      <w:r>
        <w:rPr>
          <w:rFonts w:ascii="Arial" w:cs="Arial" w:eastAsia="Arial" w:hAnsi="Arial"/>
          <w:sz w:val="14"/>
          <w:szCs w:val="14"/>
          <w:color w:val="auto"/>
        </w:rPr>
        <w:t>Consists of (a) 22,222 ordinary shares and (b) 40,128 options to purchase ordinary shares that are, or will be within 60 days of December 31, 2018, immediately exercisable</w:t>
      </w:r>
    </w:p>
    <w:p>
      <w:pPr>
        <w:spacing w:after="0" w:line="32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To our knowledge, other than as provided in the table above, our other filings with the SEC and this Annual Report, there has been no significant change in the percentage ownership held by any major shareholder since January 1, 2016.</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major shareholders listed above do not have voting rights with respect to their ordinary shares that are different from the voting rights of other holders of our ordinary shares.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or currently in effect with any member of our board of directors and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2016, we entered into a registration rights agreement that provides certain demand registration rights to Abingworth Bioventures VI, LP, or Abingworth, Growth Equity Opportunities Fund IV, LLC, OrbiMed Private Investments VI, LP, or OrbiMed, and Vivo Ventures Fund VII, L.P., Vivo Ventures VII Affiliates Fund, L.P., Vivo Ventures Fund VI, L.P., and Vivo Ventures Fund VI Affiliates Fund, L.P., or collectively, Vivo Capital, with respect to the ordinary shares and any ADSs held by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At any time, the holders of at least a majority of the registrable securities as defined in the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3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We will pay all expenses relating to any registration under the registration rights agreement, other than selling commission, discounts or brokerage fees and stock transfer taxes, subject to specified conditions and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Registration Rights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registration rights granted under the registration rights agreement shall terminate upon the earlier to occur of (i) the fifth anniversary of the closing of the global offering and (ii) the date on which there are no registrable securities remaining pursuant to the registration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Agreements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June 2016, we entered into relationship agreements with each of Vivo Capital, OrbiMed, and Abingworth,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and Abingworth to our board of directors, who are Dr. Mahendra Shah, Mr. Rishi Gupta, and Dr. Andrew Sinclair, respectively. The appointment rights under the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or Abingworth, as applicable, cease to have certain rights and obligations under the relationship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 and Directors</w:t>
      </w:r>
    </w:p>
    <w:p>
      <w:pPr>
        <w:spacing w:after="0" w:line="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have entered into employment agreements with certain of our executive officers and service agreements with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6B and note 8 of the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522" w:right="279" w:bottom="1440" w:gutter="0" w:footer="0" w:header="0"/>
        </w:sectPr>
      </w:pPr>
    </w:p>
    <w:bookmarkStart w:id="95" w:name="page96"/>
    <w:bookmarkEnd w:id="95"/>
    <w:p>
      <w:pPr>
        <w:spacing w:after="0" w:line="252" w:lineRule="auto"/>
        <w:rPr>
          <w:sz w:val="20"/>
          <w:szCs w:val="20"/>
          <w:color w:val="auto"/>
        </w:rPr>
      </w:pPr>
      <w:r>
        <w:rPr>
          <w:rFonts w:ascii="Arial" w:cs="Arial" w:eastAsia="Arial" w:hAnsi="Arial"/>
          <w:sz w:val="18"/>
          <w:szCs w:val="18"/>
          <w:color w:val="auto"/>
        </w:rPr>
        <w:t>At December 31, 2018, there was a receivable of £126 thousand (2017: nil) due from one director and two key management personnel relating to tax due on RSUs that vested in the year ended December 31, 2018. This receivable was repaid, together with interest at a rate of 3.9% per annum, by March 6, 2019. The Company notes that the transaction that generated this receivable was potentially a breach of Section 402 of the Sarbanes-Oxley Act of 2002. See Item 3.D. Risk Factors-Risks Related to Our ADSs and Ordinary Shares. We may have inadvertently violated Section 13(k) of the Exchange Act (implementing Section 402 of the Sarbanes-Oxley Act of 2002) and may be subject to sanctions as a result.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90"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3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consolidated financial statements are appended at the end of this Annual Report, starting at page F-1, and are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since December 31, 2018.</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THE 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 and Listing Details.</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Ordinary Shares are listed on AIM, a market of the London Stock Exchange, under the symbol “VRP”, and our ADSs are listed on The Nasdaq Global Market under the symbol “VRNA”.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Plan of Distribution.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Markets.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are listed on AIM, a market of the London Stock Exchange, and our ADSs are listed on The Nasdaq Global Market.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Selling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ind w:right="10180" w:firstLine="8"/>
        <w:spacing w:after="0" w:line="375" w:lineRule="auto"/>
        <w:tabs>
          <w:tab w:leader="none" w:pos="2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Dilution.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right="9240" w:firstLine="8"/>
        <w:spacing w:after="0" w:line="412" w:lineRule="auto"/>
        <w:tabs>
          <w:tab w:leader="none" w:pos="19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of the Issue. </w:t>
      </w: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information in response to this item is contained under the caption “Description of Share Capital and Articles of Association” in our final prospectus filed with the SEC on April 28, 2017 and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to the contracts described elsewhere in this Annual Report, the following are summaries of each material contract to which we are a party for the two years preceding the date of this Annual Report.</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68"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Underwriting Agreement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April 26, 2017, we entered into an underwriting agreement with Jefferies LLC and Stifel, Nicolaus &amp; Company, Incorporated, as representatives of the underwriters, on April 26, 2017, for the initial public offering of 5,768,000 American Depositary Shares in the United States and the private placement of 1,255,001 ordinary shares in Europe. Pursuant to the underwriting agreement, we paid underwriting discounts and commissions of $ 0.9450 per ADS and £0.0924 per ordinary shares. The underwriting agreement contained customary representations and warranties. We also agreed to indemnify the underwriters against certain liabilities, including liabilities under the Securities Act, and to contribute to payments the underwriters may be required to make in respect of such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principal office is located at 3 More London Riverside, London SE1 2RE, United Kingdom, where we lease office space. We also lease office space in White Plains, New York. The office space in these two locations is held under four leases that terminate between August 2018 and January 2020 and under these leases we pay £0.3 million per year. We intend to add new facilities as we add employees, and we believe that suitable additional or substitute space will be available as needed to accommodate any such expansion of our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w:t>
      </w:r>
    </w:p>
    <w:p>
      <w:pPr>
        <w:spacing w:after="0" w:line="247" w:lineRule="exact"/>
        <w:rPr>
          <w:sz w:val="20"/>
          <w:szCs w:val="20"/>
          <w:color w:val="auto"/>
        </w:rPr>
      </w:pPr>
    </w:p>
    <w:p>
      <w:pPr>
        <w:ind w:right="80"/>
        <w:spacing w:after="0" w:line="216" w:lineRule="exact"/>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w:t>
      </w:r>
      <w:r>
        <w:rPr>
          <w:rFonts w:ascii="MS PGothic" w:cs="MS PGothic" w:eastAsia="MS PGothic" w:hAnsi="MS PGothic"/>
          <w:sz w:val="18"/>
          <w:szCs w:val="18"/>
          <w:color w:val="auto"/>
        </w:rPr>
        <w:t>‑</w:t>
      </w:r>
      <w:r>
        <w:rPr>
          <w:rFonts w:ascii="Arial" w:cs="Arial" w:eastAsia="Arial" w:hAnsi="Arial"/>
          <w:sz w:val="18"/>
          <w:szCs w:val="18"/>
          <w:color w:val="auto"/>
        </w:rPr>
        <w:t>resident holders of our ordinary shares or ADSs, other than withholding tax requirements. There is no limitation imposed by English law or in our Articles of Association on the right of non</w:t>
      </w:r>
      <w:r>
        <w:rPr>
          <w:rFonts w:ascii="MS PGothic" w:cs="MS PGothic" w:eastAsia="MS PGothic" w:hAnsi="MS PGothic"/>
          <w:sz w:val="18"/>
          <w:szCs w:val="18"/>
          <w:color w:val="auto"/>
        </w:rPr>
        <w:t>‑</w:t>
      </w:r>
      <w:r>
        <w:rPr>
          <w:rFonts w:ascii="Arial" w:cs="Arial" w:eastAsia="Arial" w:hAnsi="Arial"/>
          <w:sz w:val="18"/>
          <w:szCs w:val="18"/>
          <w:color w:val="auto"/>
        </w:rPr>
        <w:t>residents to hold or vote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is a description of certain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342"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44"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holding our ordinary shares or ADSs as part of a hedging transaction, "straddle," wash sale, conversion transaction or integrated transaction or persons entering into a constructive sale with respect to ordinary shares or ADSs;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44" w:lineRule="exact"/>
        <w:rPr>
          <w:rFonts w:ascii="Arial" w:cs="Arial" w:eastAsia="Arial" w:hAnsi="Arial"/>
          <w:sz w:val="18"/>
          <w:szCs w:val="18"/>
          <w:color w:val="auto"/>
        </w:rPr>
      </w:pPr>
    </w:p>
    <w:p>
      <w:pPr>
        <w:ind w:left="660" w:right="104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34" w:lineRule="exact"/>
        <w:rPr>
          <w:sz w:val="20"/>
          <w:szCs w:val="20"/>
          <w:color w:val="auto"/>
        </w:rPr>
      </w:pPr>
    </w:p>
    <w:p>
      <w:pPr>
        <w:ind w:left="660" w:right="180" w:hanging="328"/>
        <w:spacing w:after="0" w:line="37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ordinary shares or ADSs being taken into account in an applicable financial statement;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persons that own or are deemed to own ten percent or more of our ordinary shares by vote or value; and</w:t>
      </w:r>
    </w:p>
    <w:p>
      <w:pPr>
        <w:spacing w:after="0" w:line="144" w:lineRule="exact"/>
        <w:rPr>
          <w:sz w:val="20"/>
          <w:szCs w:val="20"/>
          <w:color w:val="auto"/>
        </w:rPr>
      </w:pPr>
    </w:p>
    <w:p>
      <w:pPr>
        <w:ind w:left="660" w:right="20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68" w:right="259" w:bottom="1440" w:gutter="0" w:footer="0" w:header="0"/>
        </w:sectPr>
      </w:pPr>
    </w:p>
    <w:bookmarkStart w:id="98" w:name="page99"/>
    <w:bookmarkEnd w:id="98"/>
    <w:p>
      <w:pPr>
        <w:spacing w:after="0" w:line="254" w:lineRule="auto"/>
        <w:rPr>
          <w:sz w:val="20"/>
          <w:szCs w:val="20"/>
          <w:color w:val="auto"/>
        </w:rPr>
      </w:pPr>
      <w:r>
        <w:rPr>
          <w:rFonts w:ascii="Arial" w:cs="Arial" w:eastAsia="Arial" w:hAnsi="Arial"/>
          <w:sz w:val="18"/>
          <w:szCs w:val="18"/>
          <w:color w:val="auto"/>
        </w:rPr>
        <w:t>If an entity that is classified as a partnership for U.S. federal income tax purposes holds our ordinary shares or ADSs, the U.S. federal income tax treatment of a partner will generally depend on the status of the partner and the activities of the partnership. Partnerships holding our ordinary shares or ADSs and partners in such partnerships are encouraged to consult their tax advisers as to the particular U.S. federal income tax consequences of holding and disposing of our ordinary shares or ADSs.</w:t>
      </w:r>
    </w:p>
    <w:p>
      <w:pPr>
        <w:spacing w:after="0" w:line="2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discussion is based on the Internal Revenue Code of 1986, as amended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2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 "U.S. Holder" is a holder who, for U.S. federal income tax purposes, is a beneficial owner of our ordinary shares or ADSs who is eligible for the benefits of the Treaty and is:</w:t>
      </w:r>
    </w:p>
    <w:p>
      <w:pPr>
        <w:spacing w:after="0" w:line="142" w:lineRule="exact"/>
        <w:rPr>
          <w:sz w:val="20"/>
          <w:szCs w:val="20"/>
          <w:color w:val="auto"/>
        </w:rPr>
      </w:pPr>
    </w:p>
    <w:p>
      <w:pPr>
        <w:ind w:left="880" w:hanging="87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 w:lineRule="exact"/>
        <w:rPr>
          <w:rFonts w:ascii="Arial" w:cs="Arial" w:eastAsia="Arial" w:hAnsi="Arial"/>
          <w:sz w:val="18"/>
          <w:szCs w:val="18"/>
          <w:color w:val="auto"/>
        </w:rPr>
      </w:pPr>
    </w:p>
    <w:p>
      <w:pPr>
        <w:ind w:left="660" w:right="80" w:hanging="652"/>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 w:lineRule="exact"/>
        <w:rPr>
          <w:rFonts w:ascii="Arial" w:cs="Arial" w:eastAsia="Arial" w:hAnsi="Arial"/>
          <w:sz w:val="18"/>
          <w:szCs w:val="18"/>
          <w:color w:val="auto"/>
        </w:rPr>
      </w:pPr>
    </w:p>
    <w:p>
      <w:pPr>
        <w:ind w:left="880" w:hanging="87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our ordinary shares or ADSs in their particular circumstances.</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discussion below assumes that the representations contained in the deposit agreement with respect to our ADSs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our ADSs and our company if as a result of such actions the holders of our ADSs are not properly treated as beneficial owners of the underlying ordinary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("PFIC") Rules</w:t>
      </w: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Because we did not earn revenue from our business operations during the year ended December 31, 2018, and because our sole source of income currently is interest on bank accounts held by us, we believe we will likely be classified as a PFIC for the taxable year ended December 31, 2018. A non-U.S. corporation will be classified as a PFIC for any taxable year in which, after applying certain look-through rules, either:</w:t>
      </w:r>
    </w:p>
    <w:p>
      <w:pPr>
        <w:spacing w:after="0" w:line="256"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4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our ordinary shares or ADSs, which may fluctuate considerably. Fluctuations in the market price of our ordinary shares or ADSs may result in our being a PFIC for any taxable year.</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the U.S. Holder will be deemed to have sold our ordinary shares or ADSs it holds at their fair market value and any gain from such deemed sale would be subject to the rules described below. After the deemed sale election, so long as we do not become a PFIC in a subsequent taxable year, the ordinary shares or ADSs with respect to which such election was made will not be treated as shares in a PFIC and the U.S. Holder will not be subject to the rules described below with respect to any "excess</w:t>
      </w:r>
    </w:p>
    <w:p>
      <w:pPr>
        <w:sectPr>
          <w:pgSz w:w="11900" w:h="16838" w:orient="portrait"/>
          <w:cols w:equalWidth="0" w:num="1">
            <w:col w:w="11400"/>
          </w:cols>
          <w:pgMar w:left="240" w:top="517" w:right="259" w:bottom="1440"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517" w:right="259" w:bottom="1440" w:gutter="0" w:footer="0" w:header="0"/>
          <w:type w:val="continuous"/>
        </w:sectPr>
      </w:pPr>
    </w:p>
    <w:bookmarkStart w:id="99" w:name="page100"/>
    <w:bookmarkEnd w:id="99"/>
    <w:p>
      <w:pPr>
        <w:ind w:right="40"/>
        <w:spacing w:after="0" w:line="256" w:lineRule="auto"/>
        <w:rPr>
          <w:sz w:val="20"/>
          <w:szCs w:val="20"/>
          <w:color w:val="auto"/>
        </w:rPr>
      </w:pPr>
      <w:r>
        <w:rPr>
          <w:rFonts w:ascii="Arial" w:cs="Arial" w:eastAsia="Arial" w:hAnsi="Arial"/>
          <w:sz w:val="18"/>
          <w:szCs w:val="18"/>
          <w:color w:val="auto"/>
        </w:rPr>
        <w:t>distribution" it receives from us or any gain from an actual sale or other disposition of our ordinary shares or ADSs. U.S. Holders should consult their tax advisors as to the possibility and consequences of making a deemed sale election if we cease to be a PFIC and such election becomes available.</w:t>
      </w:r>
    </w:p>
    <w:p>
      <w:pPr>
        <w:spacing w:after="0" w:line="25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each taxable year we are treated as a PFIC with respect to a U.S. Holder, such holder will be subject to special tax rules with respect to any "excess distribution" it receives and any gain it recognizes from a sale or other disposition (including a pledge) of our ordinary shares or ADSs, unless such holder makes a QEF Election or a mark-to-market election as discussed below. Distributions that a U.S. Holder receives in a taxable year that are greater than 125% of the average annual distributions received during the shorter of the three preceding taxable years or such holder's holding period for out ordinary shares or ADSs will be treated as an excess distribution. Under these special tax rules:</w:t>
      </w:r>
    </w:p>
    <w:p>
      <w:pPr>
        <w:spacing w:after="0" w:line="26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such holder's holding period for our ordinary shares or ADSs;</w:t>
      </w:r>
    </w:p>
    <w:p>
      <w:pPr>
        <w:spacing w:after="0" w:line="144"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11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our ordinary shares or ADSs cannot be treated as capital, even if the U.S. Holder holds our ordinary shares or ADSs as capital assets.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Holders can avoid the interest charge on excess distributions or gain relating to our ordinary shares or ADSs by making a mark-to-market election with respect to our ordinary shares or ADSs, provided that our ordinary shares or ADSs are "marketable." Our ordinary shares or ADSs will be marketable if they are "regularly traded" on certain U.S. stock exchanges or on a foreign stock exchange that meets certain conditions.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these purposes, our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the Nasdaq Global Market and our ordinary shares are traded on AIM, a market of the London Stock Exchange, each of, which is a qualified exchange for these purposes. Consequently, if our ADSs remain listed on the Nasdaq Global Market or our ordinary shares remain listed on AIM and, in each case, are regularly traded, and you are a holder of ADSs, we expect the mark-to-market election would be available to U.S. Holders of such ordinary shares or ADSs if we are a PFIC (which we believe likely for the current year). Each U.S. Holder should consult its tax advisor as to whether a mark-to-market election is available or advisable with respect to our ordinary shares or ADSs.</w:t>
      </w:r>
    </w:p>
    <w:p>
      <w:pPr>
        <w:spacing w:after="0" w:line="26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U.S. Holder that makes a mark-to-market election must include in ordinary income for each year an amount equal to the excess, if any, of the fair market value of our ordinary shares or ADSs at the close of the taxable year over the U.S. Holder's adjusted tax basis in our ordinary shares or ADSs. An electing holder may also claim an ordinary loss deduction for the excess, if any, of the U.S. Holder's adjusted basis in our ordinary shares or ADSs over the fair market value of our ordinary shares or ADSs at the close of the taxable year, but this deduction is allowable only to the extent of any net mark-to-market gains for prior years. Gains from an actual sale or other disposition of our ordinary shares or ADSs will be treated as ordinary income, and any losses incurred on a sale or other disposition of our ordinary shares or ADSs will be treated as an ordinary loss to the extent of any net mark-to-market gains for prior years. Once made, the election cannot be revoked without the consent of the U.S. Internal Revenue Service (the "IRS"), unless our ordinary shares or ADSs cease to be marketable.</w:t>
      </w:r>
    </w:p>
    <w:p>
      <w:pPr>
        <w:spacing w:after="0" w:line="26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lower-tier PFIC are themselves "marketable." We believe that</w:t>
      </w:r>
    </w:p>
    <w:p>
      <w:pPr>
        <w:spacing w:after="0" w:line="2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17" w:right="239" w:bottom="1440" w:gutter="0" w:footer="0" w:header="0"/>
        </w:sectPr>
      </w:pPr>
    </w:p>
    <w:bookmarkStart w:id="100" w:name="page101"/>
    <w:bookmarkEnd w:id="100"/>
    <w:p>
      <w:pPr>
        <w:ind w:right="180"/>
        <w:spacing w:after="0" w:line="262" w:lineRule="auto"/>
        <w:rPr>
          <w:sz w:val="20"/>
          <w:szCs w:val="20"/>
          <w:color w:val="auto"/>
        </w:rPr>
      </w:pPr>
      <w:r>
        <w:rPr>
          <w:rFonts w:ascii="Arial" w:cs="Arial" w:eastAsia="Arial" w:hAnsi="Arial"/>
          <w:sz w:val="18"/>
          <w:szCs w:val="18"/>
          <w:color w:val="auto"/>
        </w:rPr>
        <w:t>advisors as to the availability and desirability of a mark-to-market election, as well as the impact of such election on interests in any lower-tier PFICs.</w:t>
      </w:r>
    </w:p>
    <w:p>
      <w:pPr>
        <w:spacing w:after="0" w:line="25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our ordinary shares or ADSs by an amount equal to any income included under the QEF Election and will decrease its tax basis by any amount distributed on our ordinary shares or ADSs that is not included in the holder's income. In addition, a U.S. Holder will recognize capital gain or loss on the disposition of our ordinary shares or ADSs in an amount equal to the difference between the amount realized and the holder's adjusted tax basis in our ordinary shares or ADSs. U.S. Holders should note that if they make QEF Elections with respect to us and lower-tier PFICs, they may be required to pay U.S. federal income tax with respect to our ordinary shares or ADSs for any taxable year significantly in excess of any cash distributions received on our ordinary shares or ADSs for such taxable year. U.S. Holders should consult their tax advisors regarding making QEF Elections in their particular circumstances.</w:t>
      </w:r>
    </w:p>
    <w:p>
      <w:pPr>
        <w:spacing w:after="0" w:line="2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Unless otherwise provided by the U.S. Treasury, each U.S. 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Subject to the discussion above under "Passive Foreign Investment Company ("PFIC") Rules," distributions paid on our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2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our ordinary shares or ADSs at a rate not exceeding the rate provided by the Treaty will be creditable against the U.S. Holder's U.S. federal income tax liability. The rules governing foreign tax credits are complex and U.S. Holders should consult their tax advisers regarding the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517" w:right="259" w:bottom="1440" w:gutter="0" w:footer="0" w:header="0"/>
        </w:sectPr>
      </w:pPr>
    </w:p>
    <w:bookmarkStart w:id="101" w:name="page102"/>
    <w:bookmarkEnd w:id="101"/>
    <w:p>
      <w:pPr>
        <w:ind w:right="180"/>
        <w:spacing w:after="0" w:line="254" w:lineRule="auto"/>
        <w:rPr>
          <w:sz w:val="20"/>
          <w:szCs w:val="20"/>
          <w:color w:val="auto"/>
        </w:rPr>
      </w:pPr>
      <w:r>
        <w:rPr>
          <w:rFonts w:ascii="Arial" w:cs="Arial" w:eastAsia="Arial" w:hAnsi="Arial"/>
          <w:sz w:val="18"/>
          <w:szCs w:val="18"/>
          <w:color w:val="auto"/>
        </w:rPr>
        <w:t>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Our Ordinary Shares and ADSs</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the discussion above under "Passive Foreign Investment ("PFIC") Company Rules," gain or loss realized on the sale or other taxable disposition of our ordinary shares or ADSs will be capital gain or loss, and will be long-term capital gain or loss if the U.S. Holder held our ordinary shares or ADSs for more than one year. The amount of the gain or loss will equal the difference between the U.S. Holder's tax basis in our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6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our ordinary shares or ADSs are treated as traded on an "established securities market" and the U.S. Holder is are either a cash basis taxpayer or an accrual basis taxpayer that has made a special election (which must be applied consistently from year to year and cannot be changed without the consent of the IRS), such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24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WE STRONGLY URGE INVESTORS IN OUR ORDINARY SHARES OR ADSs TO CONSULT THEIR TAX ADVISORS REGARDING THE IMPACT OF OUR PFIC STATUS ON THEIR INVESTMENT IN OUR ORDINARY SHARES OR ADSs AS WELL AS THE APPLICATION OF THE PFIC RULES TO SUCH INVESTMENT IN OUR ORDINARY SHARES OR ADSs.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3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3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our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our ordinary shares or ADSs.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maintain a corporate website at www.veronapharma.com. We make available free of charge on our website our Reports on Form 6-K, our Annual Reports on Form 20-F, and any other reports that we file or furnish with the SEC. Information contained on, or that can be accessed through, our website does not constitute a part of this</w:t>
      </w:r>
    </w:p>
    <w:p>
      <w:pPr>
        <w:sectPr>
          <w:pgSz w:w="11900" w:h="16838" w:orient="portrait"/>
          <w:cols w:equalWidth="0" w:num="1">
            <w:col w:w="11420"/>
          </w:cols>
          <w:pgMar w:left="240" w:top="517"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517"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t>Annual Report. We have included our website address in this Annual Report solely as an inactive textual reference.</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SEC also maintains a website at www.sec.gov that contains reports, proxy and information statements and other information regarding issuers that file electronically, such as us, with the SEC.</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References made in this Annual Report to any contract or certain other document are not necessarily complete and you should refer to the exhibits attached or incorporated by reference into this Annual Report for copies of the actual contract or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240" w:top="490" w:right="5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30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of foreign bank accounts. We monitor our exposure to foreign exchange risk. We have not entered into foreign exchange contracts to hedge against gains or losses from foreign exchange fluctuations.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3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Interest rate risk reflects the risk that the value of a financial instrument will fluctuate as a result of a change in market interest rates on classes of financial assets and financial liabilities. We do not hold any derivative instruments to manage interest rate risk.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note 3.1 of the financial statements for quantitative disclosures about market risk.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Debt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Warrants and Rights.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576"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D. American Depositary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ADSs are required to pay the following fees under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2" w:lineRule="exact"/>
        <w:rPr>
          <w:sz w:val="20"/>
          <w:szCs w:val="20"/>
          <w:color w:val="auto"/>
        </w:rPr>
      </w:pPr>
    </w:p>
    <w:p>
      <w:pPr>
        <w:ind w:left="40" w:right="420"/>
        <w:spacing w:after="0" w:line="210" w:lineRule="exact"/>
        <w:rPr>
          <w:sz w:val="20"/>
          <w:szCs w:val="20"/>
          <w:color w:val="auto"/>
        </w:rPr>
      </w:pPr>
      <w:r>
        <w:rPr>
          <w:rFonts w:ascii="Arial" w:cs="Arial" w:eastAsia="Arial" w:hAnsi="Arial"/>
          <w:sz w:val="18"/>
          <w:szCs w:val="18"/>
          <w:color w:val="auto"/>
        </w:rPr>
        <w:t>Issuance of ADSs (e.g., an issuance of ADS upon a deposit of ordinary shares or upon a change in the ADS(s)</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ordinary shares ratio), excluding ADS issuances as a result of distributions of ordinary shares</w:t>
      </w:r>
    </w:p>
    <w:p>
      <w:pPr>
        <w:spacing w:after="0" w:line="40" w:lineRule="exact"/>
        <w:rPr>
          <w:sz w:val="20"/>
          <w:szCs w:val="20"/>
          <w:color w:val="auto"/>
        </w:rPr>
      </w:pPr>
    </w:p>
    <w:p>
      <w:pPr>
        <w:ind w:left="40" w:right="40"/>
        <w:spacing w:after="0" w:line="210" w:lineRule="exact"/>
        <w:rPr>
          <w:sz w:val="20"/>
          <w:szCs w:val="20"/>
          <w:color w:val="auto"/>
        </w:rPr>
      </w:pPr>
      <w:r>
        <w:rPr>
          <w:rFonts w:ascii="Arial" w:cs="Arial" w:eastAsia="Arial" w:hAnsi="Arial"/>
          <w:sz w:val="18"/>
          <w:szCs w:val="18"/>
          <w:color w:val="auto"/>
        </w:rPr>
        <w:t>Cancellation of ADSs (e.g., a cancellation of ADSs for delivery of deposited property or upon a change in the ADS(s)</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ordinary shares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158"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0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Distribution of securities other than ADSs or rights to purchase additional ADSs (e.g., upon a spin</w:t>
      </w:r>
      <w:r>
        <w:rPr>
          <w:rFonts w:ascii="MS PGothic" w:cs="MS PGothic" w:eastAsia="MS PGothic" w:hAnsi="MS PGothic"/>
          <w:sz w:val="18"/>
          <w:szCs w:val="18"/>
          <w:color w:val="auto"/>
        </w:rPr>
        <w:t>‑</w:t>
      </w:r>
      <w:r>
        <w:rPr>
          <w:rFonts w:ascii="Arial" w:cs="Arial" w:eastAsia="Arial" w:hAnsi="Arial"/>
          <w:sz w:val="18"/>
          <w:szCs w:val="18"/>
          <w:color w:val="auto"/>
        </w:rPr>
        <w:t>off)</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ADSs are also responsible to pay certain charges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w:t>
      </w:r>
    </w:p>
    <w:p>
      <w:pPr>
        <w:spacing w:after="0" w:line="7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Up to $0.05 per ADS issued</w:t>
      </w:r>
    </w:p>
    <w:p>
      <w:pPr>
        <w:spacing w:after="0" w:line="3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Up to $0.05 per ADS cancelled</w:t>
      </w:r>
    </w:p>
    <w:p>
      <w:pPr>
        <w:spacing w:after="0" w:line="3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Up to $0.05 per ADS held</w:t>
      </w:r>
    </w:p>
    <w:p>
      <w:pPr>
        <w:spacing w:after="0" w:line="3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Up to $0.05 per ADS held</w:t>
      </w:r>
    </w:p>
    <w:p>
      <w:pPr>
        <w:spacing w:after="0" w:line="3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Up to $0.05 per ADS held</w:t>
      </w:r>
    </w:p>
    <w:p>
      <w:pPr>
        <w:spacing w:after="0" w:line="3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Up to $0.05 per ADS held on the applicable record date(s) established by the depositary</w:t>
      </w:r>
    </w:p>
    <w:p>
      <w:pPr>
        <w:spacing w:after="0" w:line="636" w:lineRule="exact"/>
        <w:rPr>
          <w:sz w:val="20"/>
          <w:szCs w:val="20"/>
          <w:color w:val="auto"/>
        </w:rPr>
      </w:pPr>
    </w:p>
    <w:p>
      <w:pPr>
        <w:sectPr>
          <w:pgSz w:w="11900" w:h="16838" w:orient="portrait"/>
          <w:cols w:equalWidth="0" w:num="2">
            <w:col w:w="8720" w:space="680"/>
            <w:col w:w="2020"/>
          </w:cols>
          <w:pgMar w:left="240" w:top="576" w:right="239" w:bottom="1440" w:gutter="0" w:footer="0" w:header="0"/>
        </w:sectPr>
      </w:pPr>
    </w:p>
    <w:p>
      <w:pPr>
        <w:spacing w:after="0" w:line="25"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980" w:hanging="324"/>
        <w:spacing w:after="0" w:line="25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01"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rFonts w:ascii="Arial" w:cs="Arial" w:eastAsia="Arial" w:hAnsi="Arial"/>
          <w:sz w:val="18"/>
          <w:szCs w:val="18"/>
          <w:color w:val="auto"/>
        </w:rPr>
      </w:pPr>
    </w:p>
    <w:p>
      <w:pPr>
        <w:ind w:left="980" w:right="540" w:hanging="324"/>
        <w:spacing w:after="0" w:line="262"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American Depositary Receipts; and</w:t>
      </w:r>
    </w:p>
    <w:p>
      <w:pPr>
        <w:spacing w:after="0" w:line="196" w:lineRule="exact"/>
        <w:rPr>
          <w:rFonts w:ascii="Arial" w:cs="Arial" w:eastAsia="Arial" w:hAnsi="Arial"/>
          <w:sz w:val="18"/>
          <w:szCs w:val="18"/>
          <w:color w:val="auto"/>
        </w:rPr>
      </w:pPr>
    </w:p>
    <w:p>
      <w:pPr>
        <w:ind w:left="980" w:right="380" w:hanging="324"/>
        <w:spacing w:after="0" w:line="262"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76" w:right="239" w:bottom="1440" w:gutter="0" w:footer="0" w:header="0"/>
          <w:type w:val="continuous"/>
        </w:sectPr>
      </w:pPr>
    </w:p>
    <w:bookmarkStart w:id="105" w:name="page106"/>
    <w:bookmarkEnd w:id="105"/>
    <w:p>
      <w:pPr>
        <w:spacing w:after="0" w:line="251"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the Depositary Trust Company, or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holders of our ADSs may be required to pay may vary over time and may be changed by us and by the depositary. Holders of our ADSs will receive prior notice of such changes. The depositary may reimburse us for certain expenses incurred by us in respect of the ADS program, by making available a portion of the ADS fees charged in respect of the ADS program or otherwise, upon such terms and conditions as we and the depositary agree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382" w:right="259" w:bottom="1440" w:gutter="0" w:footer="0" w:header="0"/>
        </w:sectPr>
      </w:pPr>
    </w:p>
    <w:bookmarkStart w:id="106" w:name="page107"/>
    <w:bookmarkEnd w:id="106"/>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380"/>
        <w:spacing w:after="0" w:line="412" w:lineRule="auto"/>
        <w:rPr>
          <w:sz w:val="20"/>
          <w:szCs w:val="20"/>
          <w:color w:val="auto"/>
        </w:rPr>
      </w:pPr>
      <w:r>
        <w:rPr>
          <w:rFonts w:ascii="Arial" w:cs="Arial" w:eastAsia="Arial" w:hAnsi="Arial"/>
          <w:sz w:val="18"/>
          <w:szCs w:val="18"/>
          <w:b w:val="1"/>
          <w:bCs w:val="1"/>
          <w:color w:val="auto"/>
        </w:rPr>
        <w:t xml:space="preserve">ITEM 13: DEFAULTS, DIVIDEND ARREARAGES AND DELINQUENCIES </w:t>
      </w:r>
      <w:r>
        <w:rPr>
          <w:rFonts w:ascii="Arial" w:cs="Arial" w:eastAsia="Arial" w:hAnsi="Arial"/>
          <w:sz w:val="18"/>
          <w:szCs w:val="18"/>
          <w:color w:val="auto"/>
        </w:rPr>
        <w:t>None.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39"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Use of Proceeds.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May 2017, we completed the initial public offering of our ADSs in the United States and a private placement of our ordinary shares in Europe, or the global offering. In the global offering we issued and sold 6,501,738 ADSs, including 733,738 ADSs issued and sold upon the partial exercises by the underwriters pursuant to their overallotment option to purchase additional ADSs, at a public offering price of $13.50 per ADS, and 1,225,001 ordinary shares at an offering price of £1.32 per share. We received aggregate gross proceeds from the global offering of approximately $ 89.9 million, and aggregate net proceeds of approximately $80.8 million after deducting underwriting discounts and commissions of approximately $6.3 million and offering expenses of approximately $3.2 million. No payments for such expenses were made directly or indirectly to (i) any of our officers, members of our board of directors, or their associates, (ii) any persons owning 10% or more of any class of our equity securities or (iii) any of our affiliates.</w:t>
      </w:r>
    </w:p>
    <w:p>
      <w:pPr>
        <w:spacing w:after="0" w:line="9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offer and sale of the ADSs and ordinary shares in the global offering were registered under the Securities Act pursuant to a registration statement on Form F-1 (File No. 333-217124) to register ordinary shares, which was declared effective by the SEC on April 26, 2017, a registration statement on Form F-1 to register additional ordinary shares (File No. 333-217487), which was immediately effective upon filing on April 26, 2017, and a registration statement on Form F-6 (File No. 333-217353) to register the ADSs, which was declared effective by the SEC on April 26, 2017, or, collectively, the Registration Statements. Under the Registration Statements, we registered an aggregate offering price of approximately $91.7 million of ordinary shares and 100,000,000 ADSs for a registered aggregate offering price of $5.0 million.</w:t>
      </w:r>
    </w:p>
    <w:p>
      <w:pPr>
        <w:spacing w:after="0" w:line="1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There has been no material change in our planned use of the net proceeds from the global offering as described in our final prospectus filed pursuant to Rule 424(b)(4) under the Securities Act with the SEC on April 28, 2017.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on Form 20-F. Based on such evaluation, our principal executive officer and principal financial officer have concluded that as of such date, our disclosure controls and procedures were effective at the reasonable assurance level.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Exchange Act.</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360" w:right="279" w:bottom="1440" w:gutter="0" w:footer="0" w:header="0"/>
        </w:sectPr>
      </w:pPr>
    </w:p>
    <w:bookmarkStart w:id="107" w:name="page108"/>
    <w:bookmarkEnd w:id="107"/>
    <w:p>
      <w:pPr>
        <w:ind w:right="680"/>
        <w:spacing w:after="0" w:line="262" w:lineRule="auto"/>
        <w:rPr>
          <w:sz w:val="20"/>
          <w:szCs w:val="20"/>
          <w:color w:val="auto"/>
        </w:rPr>
      </w:pPr>
      <w:r>
        <w:rPr>
          <w:rFonts w:ascii="Arial" w:cs="Arial" w:eastAsia="Arial" w:hAnsi="Arial"/>
          <w:sz w:val="18"/>
          <w:szCs w:val="18"/>
          <w:color w:val="auto"/>
        </w:rPr>
        <w:t>Based on this assessment, our management concluded that, as of December 31, 2018, our internal control over financial reporting was effective.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during the period covered by this Annual Report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3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board of directors has determined that Vikas Sinha, Dr. David Ebsworth and Dr. Andrew Sinclair each qualify as an audit committee financial expert as defined by the rules of the SEC and has the requisite financial sophistication under the applicable rules and regulations of Nasdaq. Mr. Sinha and Drs. Ebsworth and Sinclair are each independent as such term is defined in Rule 10A-3 under the Exchange Act and under the listing standards of Nasdaq.</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adopted a Code of Business Conduct and Ethics, or the Code of Conduct, that is applicable to all of our employees, executive officers, members of our board of directors, and consultants. The Code of Conduct is available on our website at www.veronapharma.com. We will provide a copy of our Code of Conduct to any person without charge upon written request sent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Secretary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intend to satisfy the disclosure requirement under Item 16B(d) and (e) of Form 20-F regarding amendment to, or waiver from, a provision of our Code of Conduct, as well as Nasdaq’s requirement to disclose waivers with respect to directors and executive officers, by posting such information in the "Investors" section of our website at www.veronapharma.com. Our executive officers are responsible for administering the Code of Conduct. Amendment, alteration or termination of the Code of Conduct requires the approval of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35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and other services: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Fee Category</w:t>
            </w:r>
          </w:p>
        </w:tc>
        <w:tc>
          <w:tcPr>
            <w:tcW w:w="4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63"/>
        </w:trPr>
        <w:tc>
          <w:tcPr>
            <w:tcW w:w="5320" w:type="dxa"/>
            <w:vAlign w:val="bottom"/>
          </w:tcPr>
          <w:p>
            <w:pPr>
              <w:spacing w:after="0"/>
              <w:rPr>
                <w:sz w:val="22"/>
                <w:szCs w:val="22"/>
                <w:color w:val="auto"/>
              </w:rPr>
            </w:pPr>
          </w:p>
        </w:tc>
        <w:tc>
          <w:tcPr>
            <w:tcW w:w="4860" w:type="dxa"/>
            <w:vAlign w:val="bottom"/>
          </w:tcPr>
          <w:p>
            <w:pPr>
              <w:jc w:val="right"/>
              <w:ind w:right="470"/>
              <w:spacing w:after="0"/>
              <w:rPr>
                <w:sz w:val="20"/>
                <w:szCs w:val="20"/>
                <w:color w:val="auto"/>
              </w:rPr>
            </w:pPr>
            <w:r>
              <w:rPr>
                <w:rFonts w:ascii="Arial" w:cs="Arial" w:eastAsia="Arial" w:hAnsi="Arial"/>
                <w:sz w:val="18"/>
                <w:szCs w:val="18"/>
                <w:b w:val="1"/>
                <w:bCs w:val="1"/>
                <w:color w:val="auto"/>
              </w:rPr>
              <w:t>£'000s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£'000s</w:t>
            </w:r>
          </w:p>
        </w:tc>
      </w:tr>
      <w:tr>
        <w:trPr>
          <w:trHeight w:val="27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4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63"/>
        </w:trPr>
        <w:tc>
          <w:tcPr>
            <w:tcW w:w="53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4860" w:type="dxa"/>
            <w:vAlign w:val="bottom"/>
          </w:tcPr>
          <w:p>
            <w:pPr>
              <w:jc w:val="right"/>
              <w:ind w:right="470"/>
              <w:spacing w:after="0"/>
              <w:rPr>
                <w:sz w:val="20"/>
                <w:szCs w:val="20"/>
                <w:color w:val="auto"/>
              </w:rPr>
            </w:pPr>
            <w:r>
              <w:rPr>
                <w:rFonts w:ascii="Arial" w:cs="Arial" w:eastAsia="Arial" w:hAnsi="Arial"/>
                <w:sz w:val="18"/>
                <w:szCs w:val="18"/>
                <w:color w:val="auto"/>
              </w:rPr>
              <w:t>68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0"/>
        </w:trPr>
        <w:tc>
          <w:tcPr>
            <w:tcW w:w="5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Services</w:t>
            </w:r>
          </w:p>
        </w:tc>
        <w:tc>
          <w:tcPr>
            <w:tcW w:w="48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86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64"/>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Fees</w:t>
            </w:r>
          </w:p>
        </w:tc>
        <w:tc>
          <w:tcPr>
            <w:tcW w:w="4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268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audit related services include fees for quarterly interim reviews.</w:t>
      </w:r>
    </w:p>
    <w:p>
      <w:pPr>
        <w:spacing w:after="0" w:line="27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year ended December 31, 2017, audit related services include fees for quarterly interim reviews and assurance on information included in our registration statement for the initial public offering in the United States of our ADSs.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any tax fees for services from PricewaterhouseCoopers LLP in 2018 or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8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All Other Fees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other fees related to a review of our F-3 shelf registration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 we incurred other services related to advice on compliance with Sarbanes-Oxley legislation.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has adopted a policy, or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The Audit Committee may also review and generally pre-approve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FORM THE LISTING STANDARDS FOR AUDIT COMMITTEES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ind w:right="2960"/>
        <w:spacing w:after="0" w:line="387"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16F: CHANGE IN REGISTRANT'S CERTIFYING ACCOUNTANT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change in our independent accountant during our two most recent fiscal years.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a “foreign private issuer,” as defined by the SEC, we are permitted to follow home country corporate governance practices, instead of certain corporate governance practices required by Nasdaq for domestic issuers, with certain exceptions. While we voluntarily follow most Nasdaq corporate governance rules, we follow U.K. corporate governance practices in lieu of Nasdaq corporate governance rules as follows:</w:t>
      </w:r>
    </w:p>
    <w:p>
      <w:pPr>
        <w:spacing w:after="0" w:line="175" w:lineRule="exact"/>
        <w:rPr>
          <w:sz w:val="20"/>
          <w:szCs w:val="20"/>
          <w:color w:val="auto"/>
        </w:rPr>
      </w:pPr>
    </w:p>
    <w:p>
      <w:pPr>
        <w:ind w:left="660" w:right="20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do not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174"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do not follow Nasdaq Rule 5605(b)(2), which requires that independent directors regularly meet in executive session, where only independent directors are present. Our independent directors may choose to meet in executive session at their discretion.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68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9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0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Incorporated by Reference to Filings Indicated</w:t>
            </w:r>
          </w:p>
        </w:tc>
      </w:tr>
      <w:tr>
        <w:trPr>
          <w:trHeight w:val="526"/>
        </w:trPr>
        <w:tc>
          <w:tcPr>
            <w:tcW w:w="900" w:type="dxa"/>
            <w:vAlign w:val="bottom"/>
          </w:tcPr>
          <w:p>
            <w:pPr>
              <w:spacing w:after="0"/>
              <w:rPr>
                <w:sz w:val="20"/>
                <w:szCs w:val="20"/>
                <w:color w:val="auto"/>
              </w:rPr>
            </w:pPr>
            <w:r>
              <w:rPr>
                <w:rFonts w:ascii="Arial" w:cs="Arial" w:eastAsia="Arial" w:hAnsi="Arial"/>
                <w:sz w:val="18"/>
                <w:szCs w:val="18"/>
                <w:color w:val="auto"/>
              </w:rPr>
              <w:t>Exhibit</w:t>
            </w:r>
          </w:p>
        </w:tc>
        <w:tc>
          <w:tcPr>
            <w:tcW w:w="3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Filed /</w:t>
            </w:r>
          </w:p>
        </w:tc>
      </w:tr>
      <w:tr>
        <w:trPr>
          <w:trHeight w:val="217"/>
        </w:trPr>
        <w:tc>
          <w:tcPr>
            <w:tcW w:w="900" w:type="dxa"/>
            <w:vAlign w:val="bottom"/>
          </w:tcPr>
          <w:p>
            <w:pPr>
              <w:spacing w:after="0"/>
              <w:rPr>
                <w:sz w:val="20"/>
                <w:szCs w:val="20"/>
                <w:color w:val="auto"/>
              </w:rPr>
            </w:pPr>
            <w:r>
              <w:rPr>
                <w:rFonts w:ascii="Arial" w:cs="Arial" w:eastAsia="Arial" w:hAnsi="Arial"/>
                <w:sz w:val="18"/>
                <w:szCs w:val="18"/>
                <w:color w:val="auto"/>
              </w:rPr>
              <w:t>Number</w:t>
            </w:r>
          </w:p>
        </w:tc>
        <w:tc>
          <w:tcPr>
            <w:tcW w:w="3340" w:type="dxa"/>
            <w:vAlign w:val="bottom"/>
          </w:tcPr>
          <w:p>
            <w:pPr>
              <w:ind w:left="260"/>
              <w:spacing w:after="0"/>
              <w:rPr>
                <w:sz w:val="20"/>
                <w:szCs w:val="20"/>
                <w:color w:val="auto"/>
              </w:rPr>
            </w:pPr>
            <w:r>
              <w:rPr>
                <w:rFonts w:ascii="Arial" w:cs="Arial" w:eastAsia="Arial" w:hAnsi="Arial"/>
                <w:sz w:val="18"/>
                <w:szCs w:val="18"/>
                <w:color w:val="auto"/>
              </w:rPr>
              <w:t>Exhibit Description</w:t>
            </w:r>
          </w:p>
        </w:tc>
        <w:tc>
          <w:tcPr>
            <w:tcW w:w="2040" w:type="dxa"/>
            <w:vAlign w:val="bottom"/>
          </w:tcPr>
          <w:p>
            <w:pPr>
              <w:ind w:left="1580"/>
              <w:spacing w:after="0"/>
              <w:rPr>
                <w:sz w:val="20"/>
                <w:szCs w:val="20"/>
                <w:color w:val="auto"/>
              </w:rPr>
            </w:pPr>
            <w:r>
              <w:rPr>
                <w:rFonts w:ascii="Arial" w:cs="Arial" w:eastAsia="Arial" w:hAnsi="Arial"/>
                <w:sz w:val="18"/>
                <w:szCs w:val="18"/>
                <w:color w:val="auto"/>
              </w:rPr>
              <w:t>Form</w:t>
            </w:r>
          </w:p>
        </w:tc>
        <w:tc>
          <w:tcPr>
            <w:tcW w:w="2740" w:type="dxa"/>
            <w:vAlign w:val="bottom"/>
          </w:tcPr>
          <w:p>
            <w:pPr>
              <w:ind w:left="940"/>
              <w:spacing w:after="0"/>
              <w:rPr>
                <w:sz w:val="20"/>
                <w:szCs w:val="20"/>
                <w:color w:val="auto"/>
              </w:rPr>
            </w:pPr>
            <w:r>
              <w:rPr>
                <w:rFonts w:ascii="Arial" w:cs="Arial" w:eastAsia="Arial" w:hAnsi="Arial"/>
                <w:sz w:val="18"/>
                <w:szCs w:val="18"/>
                <w:color w:val="auto"/>
              </w:rPr>
              <w:t>File No. Exhibit No.</w:t>
            </w:r>
          </w:p>
        </w:tc>
        <w:tc>
          <w:tcPr>
            <w:tcW w:w="1300" w:type="dxa"/>
            <w:vAlign w:val="bottom"/>
          </w:tcPr>
          <w:p>
            <w:pPr>
              <w:ind w:left="240"/>
              <w:spacing w:after="0"/>
              <w:rPr>
                <w:sz w:val="20"/>
                <w:szCs w:val="20"/>
                <w:color w:val="auto"/>
              </w:rPr>
            </w:pPr>
            <w:r>
              <w:rPr>
                <w:rFonts w:ascii="Arial" w:cs="Arial" w:eastAsia="Arial" w:hAnsi="Arial"/>
                <w:sz w:val="18"/>
                <w:szCs w:val="18"/>
                <w:color w:val="auto"/>
              </w:rPr>
              <w:t>Filing date</w:t>
            </w:r>
          </w:p>
        </w:tc>
        <w:tc>
          <w:tcPr>
            <w:tcW w:w="1040" w:type="dxa"/>
            <w:vAlign w:val="bottom"/>
          </w:tcPr>
          <w:p>
            <w:pPr>
              <w:jc w:val="right"/>
              <w:spacing w:after="0"/>
              <w:rPr>
                <w:sz w:val="20"/>
                <w:szCs w:val="20"/>
                <w:color w:val="auto"/>
              </w:rPr>
            </w:pPr>
            <w:r>
              <w:rPr>
                <w:rFonts w:ascii="Arial" w:cs="Arial" w:eastAsia="Arial" w:hAnsi="Arial"/>
                <w:sz w:val="18"/>
                <w:szCs w:val="18"/>
                <w:color w:val="auto"/>
              </w:rPr>
              <w:t>Furnished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w w:val="99"/>
              </w:rPr>
            </w:pPr>
            <w:hyperlink r:id="rId27">
              <w:r>
                <w:rPr>
                  <w:rFonts w:ascii="Arial" w:cs="Arial" w:eastAsia="Arial" w:hAnsi="Arial"/>
                  <w:sz w:val="18"/>
                  <w:szCs w:val="18"/>
                  <w:color w:val="0000FF"/>
                  <w:w w:val="99"/>
                </w:rPr>
                <w:t>Articles of Association, as amended and as currently</w:t>
              </w:r>
            </w:hyperlink>
          </w:p>
        </w:tc>
        <w:tc>
          <w:tcPr>
            <w:tcW w:w="1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line="182"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1.</w:t>
              </w:r>
              <w:r>
                <w:rPr>
                  <w:rFonts w:ascii="Arial" w:cs="Arial" w:eastAsia="Arial" w:hAnsi="Arial"/>
                  <w:sz w:val="18"/>
                  <w:szCs w:val="18"/>
                  <w:u w:val="single" w:color="auto"/>
                  <w:color w:val="0000FF"/>
                  <w:w w:val="95"/>
                </w:rPr>
                <w:t>1</w:t>
              </w:r>
            </w:hyperlink>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80" w:type="dxa"/>
            <w:vAlign w:val="bottom"/>
            <w:gridSpan w:val="18"/>
          </w:tcPr>
          <w:p>
            <w:pPr>
              <w:spacing w:after="0" w:line="182" w:lineRule="exact"/>
              <w:rPr>
                <w:rFonts w:ascii="Arial" w:cs="Arial" w:eastAsia="Arial" w:hAnsi="Arial"/>
                <w:sz w:val="18"/>
                <w:szCs w:val="18"/>
                <w:color w:val="0000FF"/>
              </w:rPr>
            </w:pPr>
            <w:hyperlink r:id="rId27">
              <w:r>
                <w:rPr>
                  <w:rFonts w:ascii="Arial" w:cs="Arial" w:eastAsia="Arial" w:hAnsi="Arial"/>
                  <w:sz w:val="18"/>
                  <w:szCs w:val="18"/>
                  <w:color w:val="0000FF"/>
                </w:rPr>
                <w:t>in effect</w:t>
              </w:r>
            </w:hyperlink>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5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333-217124</w:t>
            </w:r>
          </w:p>
        </w:tc>
        <w:tc>
          <w:tcPr>
            <w:tcW w:w="9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3.1</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0" w:type="dxa"/>
            <w:vAlign w:val="bottom"/>
            <w:tcBorders>
              <w:bottom w:val="single" w:sz="8" w:color="0000FF"/>
            </w:tcBorders>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Borders>
              <w:bottom w:val="single" w:sz="8" w:color="0000FF"/>
            </w:tcBorders>
            <w:gridSpan w:val="4"/>
          </w:tcPr>
          <w:p>
            <w:pPr>
              <w:spacing w:after="0"/>
              <w:rPr>
                <w:rFonts w:ascii="Arial" w:cs="Arial" w:eastAsia="Arial" w:hAnsi="Arial"/>
                <w:sz w:val="18"/>
                <w:szCs w:val="18"/>
                <w:color w:val="0000FF"/>
                <w:w w:val="98"/>
              </w:rPr>
            </w:pPr>
            <w:hyperlink r:id="rId28">
              <w:r>
                <w:rPr>
                  <w:rFonts w:ascii="Arial" w:cs="Arial" w:eastAsia="Arial" w:hAnsi="Arial"/>
                  <w:sz w:val="18"/>
                  <w:szCs w:val="18"/>
                  <w:color w:val="0000FF"/>
                  <w:w w:val="98"/>
                </w:rPr>
                <w:t>Deposit Agreement</w:t>
              </w:r>
            </w:hyperlink>
          </w:p>
        </w:tc>
        <w:tc>
          <w:tcPr>
            <w:tcW w:w="2740" w:type="dxa"/>
            <w:vAlign w:val="bottom"/>
            <w:gridSpan w:val="14"/>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20-F</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001-38067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2300" w:type="dxa"/>
            <w:vAlign w:val="bottom"/>
          </w:tcPr>
          <w:p>
            <w:pPr>
              <w:jc w:val="right"/>
              <w:ind w:right="1150"/>
              <w:spacing w:after="0"/>
              <w:rPr>
                <w:sz w:val="20"/>
                <w:szCs w:val="20"/>
                <w:color w:val="auto"/>
              </w:rPr>
            </w:pPr>
            <w:r>
              <w:rPr>
                <w:rFonts w:ascii="Arial" w:cs="Arial" w:eastAsia="Arial" w:hAnsi="Arial"/>
                <w:sz w:val="18"/>
                <w:szCs w:val="18"/>
                <w:color w:val="auto"/>
              </w:rPr>
              <w:t>2/27/2018</w:t>
            </w:r>
          </w:p>
        </w:tc>
        <w:tc>
          <w:tcPr>
            <w:tcW w:w="0" w:type="dxa"/>
            <w:vAlign w:val="bottom"/>
          </w:tcPr>
          <w:p>
            <w:pPr>
              <w:spacing w:after="0"/>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80" w:type="dxa"/>
            <w:vAlign w:val="bottom"/>
            <w:gridSpan w:val="18"/>
          </w:tcPr>
          <w:p>
            <w:pPr>
              <w:spacing w:after="0"/>
              <w:rPr>
                <w:rFonts w:ascii="Arial" w:cs="Arial" w:eastAsia="Arial" w:hAnsi="Arial"/>
                <w:sz w:val="18"/>
                <w:szCs w:val="18"/>
                <w:color w:val="0000FF"/>
              </w:rPr>
            </w:pPr>
            <w:hyperlink r:id="rId28">
              <w:r>
                <w:rPr>
                  <w:rFonts w:ascii="Arial" w:cs="Arial" w:eastAsia="Arial" w:hAnsi="Arial"/>
                  <w:sz w:val="18"/>
                  <w:szCs w:val="18"/>
                  <w:color w:val="0000FF"/>
                </w:rPr>
                <w:t>Form of American Depositary Receipt (included in</w:t>
              </w:r>
            </w:hyperlink>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7"/>
              </w:rPr>
            </w:pPr>
            <w:hyperlink r:id="rId28">
              <w:r>
                <w:rPr>
                  <w:rFonts w:ascii="Arial" w:cs="Arial" w:eastAsia="Arial" w:hAnsi="Arial"/>
                  <w:sz w:val="18"/>
                  <w:szCs w:val="18"/>
                  <w:color w:val="0000FF"/>
                  <w:w w:val="97"/>
                </w:rPr>
                <w:t>Exhibit 2.1)</w:t>
              </w:r>
            </w:hyperlink>
          </w:p>
        </w:tc>
        <w:tc>
          <w:tcPr>
            <w:tcW w:w="3060" w:type="dxa"/>
            <w:vAlign w:val="bottom"/>
            <w:tcBorders>
              <w:top w:val="single" w:sz="8" w:color="0000FF"/>
            </w:tcBorders>
            <w:gridSpan w:val="9"/>
          </w:tcPr>
          <w:p>
            <w:pPr>
              <w:spacing w:after="0"/>
              <w:rPr>
                <w:sz w:val="15"/>
                <w:szCs w:val="15"/>
                <w:color w:val="auto"/>
              </w:rPr>
            </w:pPr>
          </w:p>
        </w:tc>
        <w:tc>
          <w:tcPr>
            <w:tcW w:w="320" w:type="dxa"/>
            <w:vAlign w:val="bottom"/>
            <w:gridSpan w:val="7"/>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20-F</w:t>
            </w:r>
          </w:p>
        </w:tc>
        <w:tc>
          <w:tcPr>
            <w:tcW w:w="15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001-38067</w:t>
            </w:r>
          </w:p>
        </w:tc>
        <w:tc>
          <w:tcPr>
            <w:tcW w:w="9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2.2</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2/27/2018</w:t>
            </w:r>
          </w:p>
        </w:tc>
        <w:tc>
          <w:tcPr>
            <w:tcW w:w="0" w:type="dxa"/>
            <w:vAlign w:val="bottom"/>
          </w:tcPr>
          <w:p>
            <w:pPr>
              <w:spacing w:after="0"/>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80" w:type="dxa"/>
            <w:vAlign w:val="bottom"/>
            <w:gridSpan w:val="18"/>
          </w:tcPr>
          <w:p>
            <w:pPr>
              <w:spacing w:after="0"/>
              <w:rPr>
                <w:rFonts w:ascii="Arial" w:cs="Arial" w:eastAsia="Arial" w:hAnsi="Arial"/>
                <w:sz w:val="18"/>
                <w:szCs w:val="18"/>
                <w:color w:val="0000FF"/>
              </w:rPr>
            </w:pPr>
            <w:hyperlink r:id="rId29">
              <w:r>
                <w:rPr>
                  <w:rFonts w:ascii="Arial" w:cs="Arial" w:eastAsia="Arial" w:hAnsi="Arial"/>
                  <w:sz w:val="18"/>
                  <w:szCs w:val="18"/>
                  <w:color w:val="0000FF"/>
                </w:rPr>
                <w:t>Form of Warrant issued to each of the investors</w:t>
              </w:r>
            </w:hyperlink>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Borders>
              <w:bottom w:val="single" w:sz="8" w:color="0000FF"/>
            </w:tcBorders>
          </w:tcPr>
          <w:p>
            <w:pPr>
              <w:spacing w:after="0" w:line="182"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2.</w:t>
              </w:r>
              <w:r>
                <w:rPr>
                  <w:rFonts w:ascii="Arial" w:cs="Arial" w:eastAsia="Arial" w:hAnsi="Arial"/>
                  <w:sz w:val="18"/>
                  <w:szCs w:val="18"/>
                  <w:u w:val="single" w:color="auto"/>
                  <w:color w:val="0000FF"/>
                  <w:w w:val="95"/>
                </w:rPr>
                <w:t>3</w:t>
              </w:r>
            </w:hyperlink>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9">
              <w:r>
                <w:rPr>
                  <w:rFonts w:ascii="Arial" w:cs="Arial" w:eastAsia="Arial" w:hAnsi="Arial"/>
                  <w:sz w:val="18"/>
                  <w:szCs w:val="18"/>
                  <w:color w:val="0000FF"/>
                  <w:w w:val="99"/>
                </w:rPr>
                <w:t>named in Schedule A thereto</w:t>
              </w:r>
            </w:hyperlink>
          </w:p>
        </w:tc>
        <w:tc>
          <w:tcPr>
            <w:tcW w:w="1460" w:type="dxa"/>
            <w:vAlign w:val="bottom"/>
            <w:tcBorders>
              <w:top w:val="single" w:sz="8" w:color="0000FF"/>
            </w:tcBorders>
            <w:gridSpan w:val="4"/>
          </w:tcPr>
          <w:p>
            <w:pPr>
              <w:spacing w:after="0"/>
              <w:rPr>
                <w:sz w:val="15"/>
                <w:szCs w:val="15"/>
                <w:color w:val="auto"/>
              </w:rPr>
            </w:pPr>
          </w:p>
        </w:tc>
        <w:tc>
          <w:tcPr>
            <w:tcW w:w="500" w:type="dxa"/>
            <w:vAlign w:val="bottom"/>
            <w:gridSpan w:val="9"/>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5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333-217124</w:t>
            </w:r>
          </w:p>
        </w:tc>
        <w:tc>
          <w:tcPr>
            <w:tcW w:w="9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4.3</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c>
          <w:tcPr>
            <w:tcW w:w="0" w:type="dxa"/>
            <w:vAlign w:val="bottom"/>
          </w:tcPr>
          <w:p>
            <w:pPr>
              <w:spacing w:after="0"/>
              <w:rPr>
                <w:sz w:val="1"/>
                <w:szCs w:val="1"/>
                <w:color w:val="auto"/>
              </w:rPr>
            </w:pPr>
          </w:p>
        </w:tc>
      </w:tr>
      <w:tr>
        <w:trPr>
          <w:trHeight w:val="372"/>
        </w:trPr>
        <w:tc>
          <w:tcPr>
            <w:tcW w:w="260" w:type="dxa"/>
            <w:vAlign w:val="bottom"/>
            <w:tcBorders>
              <w:bottom w:val="single" w:sz="8" w:color="0000FF"/>
            </w:tcBorders>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2.</w:t>
              </w:r>
              <w:r>
                <w:rPr>
                  <w:rFonts w:ascii="Arial" w:cs="Arial" w:eastAsia="Arial" w:hAnsi="Arial"/>
                  <w:sz w:val="18"/>
                  <w:szCs w:val="18"/>
                  <w:u w:val="single" w:color="auto"/>
                  <w:color w:val="0000FF"/>
                  <w:w w:val="95"/>
                </w:rPr>
                <w:t>4</w:t>
              </w:r>
            </w:hyperlink>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Borders>
              <w:bottom w:val="single" w:sz="8" w:color="0000FF"/>
            </w:tcBorders>
            <w:gridSpan w:val="10"/>
          </w:tcPr>
          <w:p>
            <w:pPr>
              <w:spacing w:after="0"/>
              <w:rPr>
                <w:rFonts w:ascii="Arial" w:cs="Arial" w:eastAsia="Arial" w:hAnsi="Arial"/>
                <w:sz w:val="18"/>
                <w:szCs w:val="18"/>
                <w:color w:val="0000FF"/>
                <w:w w:val="99"/>
              </w:rPr>
            </w:pPr>
            <w:hyperlink r:id="rId30">
              <w:r>
                <w:rPr>
                  <w:rFonts w:ascii="Arial" w:cs="Arial" w:eastAsia="Arial" w:hAnsi="Arial"/>
                  <w:sz w:val="18"/>
                  <w:szCs w:val="18"/>
                  <w:color w:val="0000FF"/>
                  <w:w w:val="99"/>
                </w:rPr>
                <w:t>Warrant Instrument issued to NPlus1 Singer LLP</w:t>
              </w:r>
            </w:hyperlink>
          </w:p>
        </w:tc>
        <w:tc>
          <w:tcPr>
            <w:tcW w:w="400" w:type="dxa"/>
            <w:vAlign w:val="bottom"/>
            <w:gridSpan w:val="8"/>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F-1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333-217124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2300" w:type="dxa"/>
            <w:vAlign w:val="bottom"/>
          </w:tcPr>
          <w:p>
            <w:pPr>
              <w:jc w:val="right"/>
              <w:ind w:right="1150"/>
              <w:spacing w:after="0"/>
              <w:rPr>
                <w:sz w:val="20"/>
                <w:szCs w:val="20"/>
                <w:color w:val="auto"/>
              </w:rPr>
            </w:pPr>
            <w:r>
              <w:rPr>
                <w:rFonts w:ascii="Arial" w:cs="Arial" w:eastAsia="Arial" w:hAnsi="Arial"/>
                <w:sz w:val="18"/>
                <w:szCs w:val="18"/>
                <w:color w:val="auto"/>
              </w:rPr>
              <w:t>4/3/2017</w:t>
            </w:r>
          </w:p>
        </w:tc>
        <w:tc>
          <w:tcPr>
            <w:tcW w:w="0" w:type="dxa"/>
            <w:vAlign w:val="bottom"/>
          </w:tcPr>
          <w:p>
            <w:pPr>
              <w:spacing w:after="0"/>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80" w:type="dxa"/>
            <w:vAlign w:val="bottom"/>
            <w:gridSpan w:val="18"/>
          </w:tcPr>
          <w:p>
            <w:pPr>
              <w:spacing w:after="0"/>
              <w:rPr>
                <w:rFonts w:ascii="Arial" w:cs="Arial" w:eastAsia="Arial" w:hAnsi="Arial"/>
                <w:sz w:val="18"/>
                <w:szCs w:val="18"/>
                <w:color w:val="0000FF"/>
              </w:rPr>
            </w:pPr>
            <w:hyperlink r:id="rId31">
              <w:r>
                <w:rPr>
                  <w:rFonts w:ascii="Arial" w:cs="Arial" w:eastAsia="Arial" w:hAnsi="Arial"/>
                  <w:sz w:val="18"/>
                  <w:szCs w:val="18"/>
                  <w:color w:val="0000FF"/>
                </w:rPr>
                <w:t>Registration Rights Agreement, dated July 29, 2016,</w:t>
              </w:r>
            </w:hyperlink>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by and among Verona Pharma plc and the investors</w:t>
              </w:r>
            </w:hyperlink>
          </w:p>
        </w:tc>
        <w:tc>
          <w:tcPr>
            <w:tcW w:w="20" w:type="dxa"/>
            <w:vAlign w:val="bottom"/>
            <w:tcBorders>
              <w:top w:val="single" w:sz="8" w:color="0000FF"/>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line="182"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80" w:type="dxa"/>
            <w:vAlign w:val="bottom"/>
            <w:gridSpan w:val="18"/>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set forth therein</w:t>
              </w:r>
            </w:hyperlink>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5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333-217124</w:t>
            </w:r>
          </w:p>
        </w:tc>
        <w:tc>
          <w:tcPr>
            <w:tcW w:w="9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10.1</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Borders>
              <w:bottom w:val="single" w:sz="8" w:color="0000FF"/>
            </w:tcBorders>
            <w:gridSpan w:val="8"/>
          </w:tcPr>
          <w:p>
            <w:pPr>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Intellectual Property Assignment and Licence</w:t>
              </w:r>
            </w:hyperlink>
          </w:p>
        </w:tc>
        <w:tc>
          <w:tcPr>
            <w:tcW w:w="680" w:type="dxa"/>
            <w:vAlign w:val="bottom"/>
            <w:gridSpan w:val="10"/>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4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Agreement between Vernalis Development Limited</w:t>
              </w:r>
            </w:hyperlink>
          </w:p>
        </w:tc>
        <w:tc>
          <w:tcPr>
            <w:tcW w:w="2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80" w:type="dxa"/>
            <w:vAlign w:val="bottom"/>
            <w:gridSpan w:val="18"/>
          </w:tcPr>
          <w:p>
            <w:pPr>
              <w:spacing w:after="0" w:line="182" w:lineRule="exact"/>
              <w:rPr>
                <w:rFonts w:ascii="Arial" w:cs="Arial" w:eastAsia="Arial" w:hAnsi="Arial"/>
                <w:sz w:val="18"/>
                <w:szCs w:val="18"/>
                <w:color w:val="0000FF"/>
              </w:rPr>
            </w:pPr>
            <w:hyperlink r:id="rId32">
              <w:r>
                <w:rPr>
                  <w:rFonts w:ascii="Arial" w:cs="Arial" w:eastAsia="Arial" w:hAnsi="Arial"/>
                  <w:sz w:val="18"/>
                  <w:szCs w:val="18"/>
                  <w:color w:val="0000FF"/>
                </w:rPr>
                <w:t>and Rhinopharma Limited, as predecessor to Verona</w:t>
              </w:r>
            </w:hyperlink>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Borders>
              <w:bottom w:val="single" w:sz="8" w:color="0000FF"/>
            </w:tcBorders>
            <w:gridSpan w:val="2"/>
          </w:tcPr>
          <w:p>
            <w:pPr>
              <w:spacing w:after="0" w:line="182"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4.</w:t>
              </w:r>
              <w:r>
                <w:rPr>
                  <w:rFonts w:ascii="Arial" w:cs="Arial" w:eastAsia="Arial" w:hAnsi="Arial"/>
                  <w:sz w:val="18"/>
                  <w:szCs w:val="18"/>
                  <w:u w:val="single" w:color="auto"/>
                  <w:color w:val="0000FF"/>
                  <w:w w:val="96"/>
                </w:rPr>
                <w:t>2†</w:t>
              </w:r>
            </w:hyperlink>
          </w:p>
        </w:tc>
        <w:tc>
          <w:tcPr>
            <w:tcW w:w="80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Pharma plc, dated February 7, 2005</w:t>
              </w:r>
            </w:hyperlink>
          </w:p>
        </w:tc>
        <w:tc>
          <w:tcPr>
            <w:tcW w:w="1320" w:type="dxa"/>
            <w:vAlign w:val="bottom"/>
            <w:tcBorders>
              <w:top w:val="single" w:sz="8" w:color="0000FF"/>
            </w:tcBorders>
            <w:gridSpan w:val="1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5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333-217124</w:t>
            </w:r>
          </w:p>
        </w:tc>
        <w:tc>
          <w:tcPr>
            <w:tcW w:w="90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10.2</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c>
          <w:tcPr>
            <w:tcW w:w="0" w:type="dxa"/>
            <w:vAlign w:val="bottom"/>
          </w:tcPr>
          <w:p>
            <w:pPr>
              <w:spacing w:after="0"/>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80" w:type="dxa"/>
            <w:vAlign w:val="bottom"/>
            <w:gridSpan w:val="18"/>
          </w:tcPr>
          <w:p>
            <w:pPr>
              <w:spacing w:after="0"/>
              <w:rPr>
                <w:sz w:val="20"/>
                <w:szCs w:val="20"/>
                <w:color w:val="auto"/>
              </w:rPr>
            </w:pPr>
            <w:r>
              <w:rPr>
                <w:rFonts w:ascii="Arial" w:cs="Arial" w:eastAsia="Arial" w:hAnsi="Arial"/>
                <w:sz w:val="18"/>
                <w:szCs w:val="18"/>
                <w:color w:val="0000FF"/>
              </w:rPr>
              <w:t>Renewal Agreement to Lease by and between the</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8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Verona Pharma plc and Regus Management (UK)</w:t>
            </w:r>
          </w:p>
        </w:tc>
        <w:tc>
          <w:tcPr>
            <w:tcW w:w="30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vMerge w:val="restart"/>
          </w:tcPr>
          <w:p>
            <w:pPr>
              <w:spacing w:after="0"/>
              <w:rPr>
                <w:sz w:val="20"/>
                <w:szCs w:val="20"/>
                <w:color w:val="auto"/>
              </w:rPr>
            </w:pPr>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Limited dated October 19, 2017</w:t>
            </w:r>
          </w:p>
        </w:tc>
        <w:tc>
          <w:tcPr>
            <w:tcW w:w="32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6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5"/>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rPr>
              <w:t>108</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76" w:right="25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80" w:type="dxa"/>
            <w:vAlign w:val="bottom"/>
            <w:gridSpan w:val="31"/>
          </w:tcPr>
          <w:p>
            <w:pPr>
              <w:spacing w:after="0"/>
              <w:rPr>
                <w:sz w:val="20"/>
                <w:szCs w:val="20"/>
                <w:color w:val="auto"/>
              </w:rPr>
            </w:pPr>
            <w:r>
              <w:rPr>
                <w:rFonts w:ascii="Arial" w:cs="Arial" w:eastAsia="Arial" w:hAnsi="Arial"/>
                <w:sz w:val="18"/>
                <w:szCs w:val="18"/>
                <w:color w:val="0000FF"/>
              </w:rPr>
              <w:t>Renewal Agreement to Lease by and between the</w:t>
            </w: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w w:val="99"/>
              </w:rPr>
              <w:t>Verona Pharma plc and Regus Management (UK)</w:t>
            </w:r>
          </w:p>
        </w:tc>
        <w:tc>
          <w:tcPr>
            <w:tcW w:w="30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40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4"/>
              </w:rPr>
              <w:t>4.</w:t>
            </w:r>
            <w:r>
              <w:rPr>
                <w:rFonts w:ascii="Arial" w:cs="Arial" w:eastAsia="Arial" w:hAnsi="Arial"/>
                <w:sz w:val="18"/>
                <w:szCs w:val="18"/>
                <w:u w:val="single" w:color="auto"/>
                <w:color w:val="0000FF"/>
                <w:w w:val="94"/>
              </w:rPr>
              <w:t>3.1</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Limited dated November 8, 2017</w:t>
            </w:r>
          </w:p>
        </w:tc>
        <w:tc>
          <w:tcPr>
            <w:tcW w:w="1340" w:type="dxa"/>
            <w:vAlign w:val="bottom"/>
            <w:tcBorders>
              <w:top w:val="single" w:sz="8" w:color="0000FF"/>
            </w:tcBorders>
            <w:gridSpan w:val="12"/>
          </w:tcPr>
          <w:p>
            <w:pPr>
              <w:spacing w:after="0"/>
              <w:rPr>
                <w:sz w:val="15"/>
                <w:szCs w:val="15"/>
                <w:color w:val="auto"/>
              </w:rPr>
            </w:pPr>
          </w:p>
        </w:tc>
        <w:tc>
          <w:tcPr>
            <w:tcW w:w="32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31"/>
          </w:tcPr>
          <w:p>
            <w:pPr>
              <w:spacing w:after="0"/>
              <w:rPr>
                <w:sz w:val="20"/>
                <w:szCs w:val="20"/>
                <w:color w:val="auto"/>
              </w:rPr>
            </w:pPr>
            <w:r>
              <w:rPr>
                <w:rFonts w:ascii="Arial" w:cs="Arial" w:eastAsia="Arial" w:hAnsi="Arial"/>
                <w:sz w:val="18"/>
                <w:szCs w:val="18"/>
                <w:color w:val="0000FF"/>
              </w:rPr>
              <w:t>Renewal Agreement to Lease by and between the</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w w:val="99"/>
              </w:rPr>
              <w:t>Verona Pharma plc and Regus Management (UK)</w:t>
            </w:r>
          </w:p>
        </w:tc>
        <w:tc>
          <w:tcPr>
            <w:tcW w:w="30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40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4"/>
              </w:rPr>
              <w:t>4.</w:t>
            </w:r>
            <w:r>
              <w:rPr>
                <w:rFonts w:ascii="Arial" w:cs="Arial" w:eastAsia="Arial" w:hAnsi="Arial"/>
                <w:sz w:val="18"/>
                <w:szCs w:val="18"/>
                <w:u w:val="single" w:color="auto"/>
                <w:color w:val="0000FF"/>
                <w:w w:val="94"/>
              </w:rPr>
              <w:t>3.2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8"/>
              </w:rPr>
              <w:t>Limited dated April 3, 2018</w:t>
            </w:r>
          </w:p>
        </w:tc>
        <w:tc>
          <w:tcPr>
            <w:tcW w:w="1820" w:type="dxa"/>
            <w:vAlign w:val="bottom"/>
            <w:tcBorders>
              <w:top w:val="single" w:sz="8" w:color="0000FF"/>
            </w:tcBorders>
            <w:gridSpan w:val="14"/>
          </w:tcPr>
          <w:p>
            <w:pPr>
              <w:spacing w:after="0"/>
              <w:rPr>
                <w:sz w:val="15"/>
                <w:szCs w:val="15"/>
                <w:color w:val="auto"/>
              </w:rPr>
            </w:pPr>
          </w:p>
        </w:tc>
        <w:tc>
          <w:tcPr>
            <w:tcW w:w="32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372"/>
        </w:trPr>
        <w:tc>
          <w:tcPr>
            <w:tcW w:w="360" w:type="dxa"/>
            <w:vAlign w:val="bottom"/>
            <w:gridSpan w:val="2"/>
          </w:tcPr>
          <w:p>
            <w:pPr>
              <w:spacing w:after="0"/>
              <w:rPr>
                <w:rFonts w:ascii="Arial" w:cs="Arial" w:eastAsia="Arial" w:hAnsi="Arial"/>
                <w:sz w:val="18"/>
                <w:szCs w:val="18"/>
                <w:color w:val="0000FF"/>
                <w:w w:val="96"/>
              </w:rPr>
            </w:pPr>
            <w:hyperlink r:id="rId33">
              <w:r>
                <w:rPr>
                  <w:rFonts w:ascii="Arial" w:cs="Arial" w:eastAsia="Arial" w:hAnsi="Arial"/>
                  <w:sz w:val="18"/>
                  <w:szCs w:val="18"/>
                  <w:color w:val="0000FF"/>
                  <w:w w:val="96"/>
                </w:rPr>
                <w:t>4.</w:t>
              </w:r>
              <w:r>
                <w:rPr>
                  <w:rFonts w:ascii="Arial" w:cs="Arial" w:eastAsia="Arial" w:hAnsi="Arial"/>
                  <w:sz w:val="18"/>
                  <w:szCs w:val="18"/>
                  <w:u w:val="single" w:color="auto"/>
                  <w:color w:val="0000FF"/>
                  <w:w w:val="96"/>
                </w:rPr>
                <w:t>4#</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31"/>
          </w:tcPr>
          <w:p>
            <w:pPr>
              <w:spacing w:after="0"/>
              <w:rPr>
                <w:rFonts w:ascii="Arial" w:cs="Arial" w:eastAsia="Arial" w:hAnsi="Arial"/>
                <w:sz w:val="18"/>
                <w:szCs w:val="18"/>
                <w:color w:val="0000FF"/>
              </w:rPr>
            </w:pPr>
            <w:hyperlink r:id="rId33">
              <w:r>
                <w:rPr>
                  <w:rFonts w:ascii="Arial" w:cs="Arial" w:eastAsia="Arial" w:hAnsi="Arial"/>
                  <w:sz w:val="18"/>
                  <w:szCs w:val="18"/>
                  <w:color w:val="0000FF"/>
                </w:rPr>
                <w:t>EMI Option Scheme</w:t>
              </w:r>
            </w:hyperlink>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230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72"/>
        </w:trPr>
        <w:tc>
          <w:tcPr>
            <w:tcW w:w="360" w:type="dxa"/>
            <w:vAlign w:val="bottom"/>
            <w:tcBorders>
              <w:bottom w:val="single" w:sz="8" w:color="0000FF"/>
            </w:tcBorders>
            <w:gridSpan w:val="2"/>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4.</w:t>
              </w:r>
              <w:r>
                <w:rPr>
                  <w:rFonts w:ascii="Arial" w:cs="Arial" w:eastAsia="Arial" w:hAnsi="Arial"/>
                  <w:sz w:val="18"/>
                  <w:szCs w:val="18"/>
                  <w:u w:val="single" w:color="auto"/>
                  <w:color w:val="0000FF"/>
                  <w:w w:val="96"/>
                </w:rPr>
                <w:t>5#</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Borders>
              <w:bottom w:val="single" w:sz="8" w:color="0000FF"/>
            </w:tcBorders>
            <w:gridSpan w:val="20"/>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Unapproved Share Option Scheme, as amended</w:t>
              </w:r>
            </w:hyperlink>
          </w:p>
        </w:tc>
        <w:tc>
          <w:tcPr>
            <w:tcW w:w="380" w:type="dxa"/>
            <w:vAlign w:val="bottom"/>
            <w:gridSpan w:val="11"/>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230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31"/>
          </w:tcPr>
          <w:p>
            <w:pPr>
              <w:spacing w:after="0"/>
              <w:rPr>
                <w:rFonts w:ascii="Arial" w:cs="Arial" w:eastAsia="Arial" w:hAnsi="Arial"/>
                <w:sz w:val="18"/>
                <w:szCs w:val="18"/>
                <w:color w:val="0000FF"/>
              </w:rPr>
            </w:pPr>
            <w:hyperlink r:id="rId35">
              <w:r>
                <w:rPr>
                  <w:rFonts w:ascii="Arial" w:cs="Arial" w:eastAsia="Arial" w:hAnsi="Arial"/>
                  <w:sz w:val="18"/>
                  <w:szCs w:val="18"/>
                  <w:color w:val="0000FF"/>
                </w:rPr>
                <w:t>2017 Incentive Award Plan and forms of award</w:t>
              </w:r>
            </w:hyperlink>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gridSpan w:val="2"/>
          </w:tcPr>
          <w:p>
            <w:pPr>
              <w:spacing w:after="0" w:line="182"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4.</w:t>
              </w:r>
              <w:r>
                <w:rPr>
                  <w:rFonts w:ascii="Arial" w:cs="Arial" w:eastAsia="Arial" w:hAnsi="Arial"/>
                  <w:sz w:val="18"/>
                  <w:szCs w:val="18"/>
                  <w:u w:val="single" w:color="auto"/>
                  <w:color w:val="0000FF"/>
                  <w:w w:val="96"/>
                </w:rPr>
                <w:t>6#</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35">
              <w:r>
                <w:rPr>
                  <w:rFonts w:ascii="Arial" w:cs="Arial" w:eastAsia="Arial" w:hAnsi="Arial"/>
                  <w:sz w:val="18"/>
                  <w:szCs w:val="18"/>
                  <w:color w:val="0000FF"/>
                </w:rPr>
                <w:t>agreements thereunder</w:t>
              </w:r>
            </w:hyperlink>
          </w:p>
        </w:tc>
        <w:tc>
          <w:tcPr>
            <w:tcW w:w="560" w:type="dxa"/>
            <w:vAlign w:val="bottom"/>
            <w:gridSpan w:val="14"/>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20-F</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001-38067</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4.6</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2/27/2018</w:t>
            </w: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Borders>
              <w:bottom w:val="single" w:sz="8" w:color="0000FF"/>
            </w:tcBorders>
            <w:gridSpan w:val="22"/>
          </w:tcPr>
          <w:p>
            <w:pPr>
              <w:spacing w:after="0"/>
              <w:rPr>
                <w:rFonts w:ascii="Arial" w:cs="Arial" w:eastAsia="Arial" w:hAnsi="Arial"/>
                <w:sz w:val="18"/>
                <w:szCs w:val="18"/>
                <w:color w:val="0000FF"/>
                <w:w w:val="99"/>
              </w:rPr>
            </w:pPr>
            <w:hyperlink r:id="rId36">
              <w:r>
                <w:rPr>
                  <w:rFonts w:ascii="Arial" w:cs="Arial" w:eastAsia="Arial" w:hAnsi="Arial"/>
                  <w:sz w:val="18"/>
                  <w:szCs w:val="18"/>
                  <w:color w:val="0000FF"/>
                  <w:w w:val="99"/>
                </w:rPr>
                <w:t>Employment Agreement, dated April 30, 2012, as</w:t>
              </w:r>
            </w:hyperlink>
          </w:p>
        </w:tc>
        <w:tc>
          <w:tcPr>
            <w:tcW w:w="340" w:type="dxa"/>
            <w:vAlign w:val="bottom"/>
            <w:gridSpan w:val="9"/>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6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amended, between Verona Pharma plc and Jan-</w:t>
              </w:r>
            </w:hyperlink>
          </w:p>
        </w:tc>
        <w:tc>
          <w:tcPr>
            <w:tcW w:w="420" w:type="dxa"/>
            <w:vAlign w:val="bottom"/>
            <w:gridSpan w:val="13"/>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360" w:type="dxa"/>
            <w:vAlign w:val="bottom"/>
            <w:tcBorders>
              <w:bottom w:val="single" w:sz="8" w:color="0000FF"/>
            </w:tcBorders>
            <w:gridSpan w:val="2"/>
          </w:tcPr>
          <w:p>
            <w:pPr>
              <w:spacing w:after="0" w:line="182" w:lineRule="exact"/>
              <w:rPr>
                <w:rFonts w:ascii="Arial" w:cs="Arial" w:eastAsia="Arial" w:hAnsi="Arial"/>
                <w:sz w:val="18"/>
                <w:szCs w:val="18"/>
                <w:color w:val="0000FF"/>
                <w:w w:val="96"/>
              </w:rPr>
            </w:pPr>
            <w:hyperlink r:id="rId36">
              <w:r>
                <w:rPr>
                  <w:rFonts w:ascii="Arial" w:cs="Arial" w:eastAsia="Arial" w:hAnsi="Arial"/>
                  <w:sz w:val="18"/>
                  <w:szCs w:val="18"/>
                  <w:color w:val="0000FF"/>
                  <w:w w:val="96"/>
                </w:rPr>
                <w:t>4.</w:t>
              </w:r>
              <w:r>
                <w:rPr>
                  <w:rFonts w:ascii="Arial" w:cs="Arial" w:eastAsia="Arial" w:hAnsi="Arial"/>
                  <w:sz w:val="18"/>
                  <w:szCs w:val="18"/>
                  <w:u w:val="single" w:color="auto"/>
                  <w:color w:val="0000FF"/>
                  <w:w w:val="96"/>
                </w:rPr>
                <w:t>7#</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r:id="rId36">
              <w:r>
                <w:rPr>
                  <w:rFonts w:ascii="Arial" w:cs="Arial" w:eastAsia="Arial" w:hAnsi="Arial"/>
                  <w:sz w:val="18"/>
                  <w:szCs w:val="18"/>
                  <w:color w:val="0000FF"/>
                  <w:w w:val="98"/>
                </w:rPr>
                <w:t>Anders Karlsson</w:t>
              </w:r>
            </w:hyperlink>
          </w:p>
        </w:tc>
        <w:tc>
          <w:tcPr>
            <w:tcW w:w="2960" w:type="dxa"/>
            <w:vAlign w:val="bottom"/>
            <w:gridSpan w:val="27"/>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10.6</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6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Employment Agreement, dated December 21, 2019,</w:t>
            </w:r>
          </w:p>
        </w:tc>
        <w:tc>
          <w:tcPr>
            <w:tcW w:w="12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6"/>
              </w:rPr>
              <w:t>4.</w:t>
            </w:r>
            <w:r>
              <w:rPr>
                <w:rFonts w:ascii="Arial" w:cs="Arial" w:eastAsia="Arial" w:hAnsi="Arial"/>
                <w:sz w:val="18"/>
                <w:szCs w:val="18"/>
                <w:u w:val="single" w:color="auto"/>
                <w:color w:val="0000FF"/>
                <w:w w:val="96"/>
              </w:rPr>
              <w:t>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Borders>
              <w:bottom w:val="single" w:sz="8" w:color="0000FF"/>
            </w:tcBorders>
            <w:gridSpan w:val="26"/>
          </w:tcPr>
          <w:p>
            <w:pPr>
              <w:spacing w:after="0" w:line="182" w:lineRule="exact"/>
              <w:rPr>
                <w:sz w:val="20"/>
                <w:szCs w:val="20"/>
                <w:color w:val="auto"/>
              </w:rPr>
            </w:pPr>
            <w:r>
              <w:rPr>
                <w:rFonts w:ascii="Arial" w:cs="Arial" w:eastAsia="Arial" w:hAnsi="Arial"/>
                <w:sz w:val="18"/>
                <w:szCs w:val="18"/>
                <w:color w:val="0000FF"/>
                <w:w w:val="99"/>
              </w:rPr>
              <w:t>between Verona Pharma plc and Kathleen Rickard</w:t>
            </w:r>
          </w:p>
        </w:tc>
        <w:tc>
          <w:tcPr>
            <w:tcW w:w="2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31"/>
          </w:tcPr>
          <w:p>
            <w:pPr>
              <w:spacing w:after="0"/>
              <w:rPr>
                <w:rFonts w:ascii="Arial" w:cs="Arial" w:eastAsia="Arial" w:hAnsi="Arial"/>
                <w:sz w:val="18"/>
                <w:szCs w:val="18"/>
                <w:color w:val="0000FF"/>
              </w:rPr>
            </w:pPr>
            <w:hyperlink r:id="rId37">
              <w:r>
                <w:rPr>
                  <w:rFonts w:ascii="Arial" w:cs="Arial" w:eastAsia="Arial" w:hAnsi="Arial"/>
                  <w:sz w:val="18"/>
                  <w:szCs w:val="18"/>
                  <w:color w:val="0000FF"/>
                </w:rPr>
                <w:t>Employment Agreement, dated September 24, 2016,</w:t>
              </w:r>
            </w:hyperlink>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tcBorders>
              <w:bottom w:val="single" w:sz="8" w:color="0000FF"/>
            </w:tcBorders>
            <w:gridSpan w:val="2"/>
          </w:tcPr>
          <w:p>
            <w:pPr>
              <w:spacing w:after="0" w:line="182"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4.</w:t>
              </w:r>
              <w:r>
                <w:rPr>
                  <w:rFonts w:ascii="Arial" w:cs="Arial" w:eastAsia="Arial" w:hAnsi="Arial"/>
                  <w:sz w:val="18"/>
                  <w:szCs w:val="18"/>
                  <w:u w:val="single" w:color="auto"/>
                  <w:color w:val="0000FF"/>
                  <w:w w:val="96"/>
                </w:rPr>
                <w:t>9#</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30"/>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between Verona Pharma plc and Piers John Morgan</w:t>
              </w:r>
            </w:hyperlink>
          </w:p>
        </w:tc>
        <w:tc>
          <w:tcPr>
            <w:tcW w:w="80" w:type="dxa"/>
            <w:vAlign w:val="bottom"/>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10.8</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31"/>
          </w:tcPr>
          <w:p>
            <w:pPr>
              <w:spacing w:after="0"/>
              <w:rPr>
                <w:rFonts w:ascii="Arial" w:cs="Arial" w:eastAsia="Arial" w:hAnsi="Arial"/>
                <w:sz w:val="18"/>
                <w:szCs w:val="18"/>
                <w:color w:val="0000FF"/>
              </w:rPr>
            </w:pPr>
            <w:hyperlink r:id="rId38">
              <w:r>
                <w:rPr>
                  <w:rFonts w:ascii="Arial" w:cs="Arial" w:eastAsia="Arial" w:hAnsi="Arial"/>
                  <w:sz w:val="18"/>
                  <w:szCs w:val="18"/>
                  <w:color w:val="0000FF"/>
                </w:rPr>
                <w:t>Employment Agreement, dated October 1, 2016,</w:t>
              </w:r>
            </w:hyperlink>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460" w:type="dxa"/>
            <w:vAlign w:val="bottom"/>
            <w:tcBorders>
              <w:bottom w:val="single" w:sz="8" w:color="0000FF"/>
            </w:tcBorders>
            <w:gridSpan w:val="4"/>
          </w:tcPr>
          <w:p>
            <w:pPr>
              <w:spacing w:after="0" w:line="182"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4.</w:t>
              </w:r>
              <w:r>
                <w:rPr>
                  <w:rFonts w:ascii="Arial" w:cs="Arial" w:eastAsia="Arial" w:hAnsi="Arial"/>
                  <w:sz w:val="18"/>
                  <w:szCs w:val="18"/>
                  <w:u w:val="single" w:color="auto"/>
                  <w:color w:val="0000FF"/>
                  <w:w w:val="97"/>
                </w:rPr>
                <w:t>10#</w:t>
              </w:r>
            </w:hyperlink>
          </w:p>
        </w:tc>
        <w:tc>
          <w:tcPr>
            <w:tcW w:w="700" w:type="dxa"/>
            <w:vAlign w:val="bottom"/>
          </w:tcPr>
          <w:p>
            <w:pPr>
              <w:spacing w:after="0"/>
              <w:rPr>
                <w:sz w:val="15"/>
                <w:szCs w:val="15"/>
                <w:color w:val="auto"/>
              </w:rPr>
            </w:pPr>
          </w:p>
        </w:tc>
        <w:tc>
          <w:tcPr>
            <w:tcW w:w="34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between Verona Pharma plc and Claire Poll</w:t>
              </w:r>
            </w:hyperlink>
          </w:p>
        </w:tc>
        <w:tc>
          <w:tcPr>
            <w:tcW w:w="380" w:type="dxa"/>
            <w:vAlign w:val="bottom"/>
            <w:tcBorders>
              <w:top w:val="single" w:sz="8" w:color="0000FF"/>
            </w:tcBorders>
            <w:gridSpan w:val="4"/>
          </w:tcPr>
          <w:p>
            <w:pPr>
              <w:spacing w:after="0"/>
              <w:rPr>
                <w:sz w:val="15"/>
                <w:szCs w:val="15"/>
                <w:color w:val="auto"/>
              </w:rPr>
            </w:pPr>
          </w:p>
        </w:tc>
        <w:tc>
          <w:tcPr>
            <w:tcW w:w="420" w:type="dxa"/>
            <w:vAlign w:val="bottom"/>
            <w:gridSpan w:val="13"/>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10.9</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80" w:type="dxa"/>
            <w:vAlign w:val="bottom"/>
            <w:tcBorders>
              <w:bottom w:val="single" w:sz="8" w:color="0000FF"/>
            </w:tcBorders>
            <w:gridSpan w:val="15"/>
          </w:tcPr>
          <w:p>
            <w:pPr>
              <w:spacing w:after="0"/>
              <w:rPr>
                <w:rFonts w:ascii="Arial" w:cs="Arial" w:eastAsia="Arial" w:hAnsi="Arial"/>
                <w:sz w:val="18"/>
                <w:szCs w:val="18"/>
                <w:color w:val="0000FF"/>
                <w:w w:val="99"/>
              </w:rPr>
            </w:pPr>
            <w:hyperlink r:id="rId39">
              <w:r>
                <w:rPr>
                  <w:rFonts w:ascii="Arial" w:cs="Arial" w:eastAsia="Arial" w:hAnsi="Arial"/>
                  <w:sz w:val="18"/>
                  <w:szCs w:val="18"/>
                  <w:color w:val="0000FF"/>
                  <w:w w:val="99"/>
                </w:rPr>
                <w:t>Form of Indemnification Agreement for board</w:t>
              </w:r>
            </w:hyperlink>
          </w:p>
        </w:tc>
        <w:tc>
          <w:tcPr>
            <w:tcW w:w="700" w:type="dxa"/>
            <w:vAlign w:val="bottom"/>
            <w:gridSpan w:val="16"/>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gridSpan w:val="2"/>
          </w:tcPr>
          <w:p>
            <w:pPr>
              <w:spacing w:after="0" w:line="182"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80" w:type="dxa"/>
            <w:vAlign w:val="bottom"/>
            <w:gridSpan w:val="31"/>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members</w:t>
              </w:r>
            </w:hyperlink>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F-1/A</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10.11.1</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4/18/2017</w:t>
            </w: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80" w:type="dxa"/>
            <w:vAlign w:val="bottom"/>
            <w:tcBorders>
              <w:bottom w:val="single" w:sz="8" w:color="0000FF"/>
            </w:tcBorders>
            <w:gridSpan w:val="19"/>
          </w:tcPr>
          <w:p>
            <w:pPr>
              <w:spacing w:after="0"/>
              <w:rPr>
                <w:rFonts w:ascii="Arial" w:cs="Arial" w:eastAsia="Arial" w:hAnsi="Arial"/>
                <w:sz w:val="18"/>
                <w:szCs w:val="18"/>
                <w:color w:val="0000FF"/>
                <w:w w:val="99"/>
              </w:rPr>
            </w:pPr>
            <w:hyperlink r:id="rId40">
              <w:r>
                <w:rPr>
                  <w:rFonts w:ascii="Arial" w:cs="Arial" w:eastAsia="Arial" w:hAnsi="Arial"/>
                  <w:sz w:val="18"/>
                  <w:szCs w:val="18"/>
                  <w:color w:val="0000FF"/>
                  <w:w w:val="99"/>
                </w:rPr>
                <w:t>Form of Indemnification Agreement for executive</w:t>
              </w:r>
            </w:hyperlink>
          </w:p>
        </w:tc>
        <w:tc>
          <w:tcPr>
            <w:tcW w:w="400" w:type="dxa"/>
            <w:vAlign w:val="bottom"/>
            <w:gridSpan w:val="12"/>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tcBorders>
              <w:bottom w:val="single" w:sz="8" w:color="0000FF"/>
            </w:tcBorders>
            <w:gridSpan w:val="2"/>
          </w:tcPr>
          <w:p>
            <w:pPr>
              <w:spacing w:after="0" w:line="182"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12</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officers</w:t>
              </w:r>
            </w:hyperlink>
          </w:p>
        </w:tc>
        <w:tc>
          <w:tcPr>
            <w:tcW w:w="3700" w:type="dxa"/>
            <w:vAlign w:val="bottom"/>
            <w:gridSpan w:val="30"/>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F-1/A</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10.11.2</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4/18/2017</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Borders>
              <w:bottom w:val="single" w:sz="8" w:color="0000FF"/>
            </w:tcBorders>
            <w:gridSpan w:val="13"/>
          </w:tcPr>
          <w:p>
            <w:pPr>
              <w:spacing w:after="0"/>
              <w:rPr>
                <w:rFonts w:ascii="Arial" w:cs="Arial" w:eastAsia="Arial" w:hAnsi="Arial"/>
                <w:sz w:val="18"/>
                <w:szCs w:val="18"/>
                <w:color w:val="0000FF"/>
                <w:w w:val="99"/>
              </w:rPr>
            </w:pPr>
            <w:hyperlink r:id="rId41">
              <w:r>
                <w:rPr>
                  <w:rFonts w:ascii="Arial" w:cs="Arial" w:eastAsia="Arial" w:hAnsi="Arial"/>
                  <w:sz w:val="18"/>
                  <w:szCs w:val="18"/>
                  <w:color w:val="0000FF"/>
                  <w:w w:val="99"/>
                </w:rPr>
                <w:t>Relationship Agreement relating to Verona</w:t>
              </w:r>
            </w:hyperlink>
          </w:p>
        </w:tc>
        <w:tc>
          <w:tcPr>
            <w:tcW w:w="900" w:type="dxa"/>
            <w:vAlign w:val="bottom"/>
            <w:gridSpan w:val="18"/>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Pharma plc, dated July 29, 2016, by and among the</w:t>
              </w:r>
            </w:hyperlink>
          </w:p>
        </w:tc>
        <w:tc>
          <w:tcPr>
            <w:tcW w:w="16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80" w:type="dxa"/>
            <w:vAlign w:val="bottom"/>
            <w:gridSpan w:val="31"/>
          </w:tcPr>
          <w:p>
            <w:pPr>
              <w:spacing w:after="0" w:line="182" w:lineRule="exact"/>
              <w:rPr>
                <w:rFonts w:ascii="Arial" w:cs="Arial" w:eastAsia="Arial" w:hAnsi="Arial"/>
                <w:sz w:val="18"/>
                <w:szCs w:val="18"/>
                <w:color w:val="0000FF"/>
              </w:rPr>
            </w:pPr>
            <w:hyperlink r:id="rId41">
              <w:r>
                <w:rPr>
                  <w:rFonts w:ascii="Arial" w:cs="Arial" w:eastAsia="Arial" w:hAnsi="Arial"/>
                  <w:sz w:val="18"/>
                  <w:szCs w:val="18"/>
                  <w:color w:val="0000FF"/>
                </w:rPr>
                <w:t>Verona Pharma plc, OrbiMed Private</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3"/>
        </w:trPr>
        <w:tc>
          <w:tcPr>
            <w:tcW w:w="360" w:type="dxa"/>
            <w:vAlign w:val="bottom"/>
            <w:tcBorders>
              <w:bottom w:val="single" w:sz="8" w:color="0000FF"/>
            </w:tcBorders>
            <w:gridSpan w:val="2"/>
          </w:tcPr>
          <w:p>
            <w:pPr>
              <w:spacing w:after="0" w:line="182"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13</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8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Investments VI, LP and NPlus1 Singer Advisory LLP</w:t>
              </w:r>
            </w:hyperlink>
          </w:p>
        </w:tc>
        <w:tc>
          <w:tcPr>
            <w:tcW w:w="100" w:type="dxa"/>
            <w:vAlign w:val="bottom"/>
            <w:gridSpan w:val="2"/>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10.12</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Borders>
              <w:bottom w:val="single" w:sz="8" w:color="0000FF"/>
            </w:tcBorders>
            <w:gridSpan w:val="13"/>
          </w:tcPr>
          <w:p>
            <w:pPr>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Relationship Agreement relating to Verona</w:t>
              </w:r>
            </w:hyperlink>
          </w:p>
        </w:tc>
        <w:tc>
          <w:tcPr>
            <w:tcW w:w="900" w:type="dxa"/>
            <w:vAlign w:val="bottom"/>
            <w:gridSpan w:val="18"/>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Pharma plc, dated July 29, 2016, by and among the</w:t>
              </w:r>
            </w:hyperlink>
          </w:p>
        </w:tc>
        <w:tc>
          <w:tcPr>
            <w:tcW w:w="16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2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Verona Pharma plc, Abingworth Bioventures VI LP</w:t>
              </w:r>
            </w:hyperlink>
          </w:p>
        </w:tc>
        <w:tc>
          <w:tcPr>
            <w:tcW w:w="26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360" w:type="dxa"/>
            <w:vAlign w:val="bottom"/>
            <w:gridSpan w:val="2"/>
          </w:tcPr>
          <w:p>
            <w:pPr>
              <w:spacing w:after="0" w:line="182"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80" w:type="dxa"/>
            <w:vAlign w:val="bottom"/>
            <w:gridSpan w:val="31"/>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and NPlus1 Singer Advisory LLP</w:t>
              </w:r>
            </w:hyperlink>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10.13</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Borders>
              <w:bottom w:val="single" w:sz="8" w:color="0000FF"/>
            </w:tcBorders>
            <w:gridSpan w:val="13"/>
          </w:tcPr>
          <w:p>
            <w:pPr>
              <w:spacing w:after="0"/>
              <w:rPr>
                <w:rFonts w:ascii="Arial" w:cs="Arial" w:eastAsia="Arial" w:hAnsi="Arial"/>
                <w:sz w:val="18"/>
                <w:szCs w:val="18"/>
                <w:color w:val="0000FF"/>
                <w:w w:val="99"/>
              </w:rPr>
            </w:pPr>
            <w:hyperlink r:id="rId43">
              <w:r>
                <w:rPr>
                  <w:rFonts w:ascii="Arial" w:cs="Arial" w:eastAsia="Arial" w:hAnsi="Arial"/>
                  <w:sz w:val="18"/>
                  <w:szCs w:val="18"/>
                  <w:color w:val="0000FF"/>
                  <w:w w:val="99"/>
                </w:rPr>
                <w:t>Relationship Agreement relating to Verona</w:t>
              </w:r>
            </w:hyperlink>
          </w:p>
        </w:tc>
        <w:tc>
          <w:tcPr>
            <w:tcW w:w="900" w:type="dxa"/>
            <w:vAlign w:val="bottom"/>
            <w:gridSpan w:val="18"/>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Pharma plc, dated July 29, 2016, by and among the</w:t>
              </w:r>
            </w:hyperlink>
          </w:p>
        </w:tc>
        <w:tc>
          <w:tcPr>
            <w:tcW w:w="16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20" w:type="dxa"/>
            <w:vAlign w:val="bottom"/>
            <w:tcBorders>
              <w:bottom w:val="single" w:sz="8" w:color="0000FF"/>
            </w:tcBorders>
            <w:gridSpan w:val="21"/>
          </w:tcPr>
          <w:p>
            <w:pPr>
              <w:spacing w:after="0" w:line="182" w:lineRule="exact"/>
              <w:rPr>
                <w:rFonts w:ascii="Arial" w:cs="Arial" w:eastAsia="Arial" w:hAnsi="Arial"/>
                <w:sz w:val="18"/>
                <w:szCs w:val="18"/>
                <w:color w:val="0000FF"/>
                <w:w w:val="98"/>
              </w:rPr>
            </w:pPr>
            <w:hyperlink r:id="rId43">
              <w:r>
                <w:rPr>
                  <w:rFonts w:ascii="Arial" w:cs="Arial" w:eastAsia="Arial" w:hAnsi="Arial"/>
                  <w:sz w:val="18"/>
                  <w:szCs w:val="18"/>
                  <w:color w:val="0000FF"/>
                  <w:w w:val="98"/>
                </w:rPr>
                <w:t>Verona Pharma plc, Vivo Ventures Fund VII, L.P.,</w:t>
              </w:r>
            </w:hyperlink>
          </w:p>
        </w:tc>
        <w:tc>
          <w:tcPr>
            <w:tcW w:w="360" w:type="dxa"/>
            <w:vAlign w:val="bottom"/>
            <w:gridSpan w:val="10"/>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80" w:type="dxa"/>
            <w:vAlign w:val="bottom"/>
            <w:gridSpan w:val="31"/>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Vivo Ventures VII Affiliates Fund, L.P., Vivo Ventures</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7"/>
              </w:rPr>
            </w:pPr>
            <w:hyperlink r:id="rId43">
              <w:r>
                <w:rPr>
                  <w:rFonts w:ascii="Arial" w:cs="Arial" w:eastAsia="Arial" w:hAnsi="Arial"/>
                  <w:sz w:val="18"/>
                  <w:szCs w:val="18"/>
                  <w:color w:val="0000FF"/>
                  <w:w w:val="97"/>
                </w:rPr>
                <w:t>Fund VI, L.P., Vivo Ventures VI Affiliates Fund, L.P.</w:t>
              </w:r>
            </w:hyperlink>
          </w:p>
        </w:tc>
        <w:tc>
          <w:tcPr>
            <w:tcW w:w="120" w:type="dxa"/>
            <w:vAlign w:val="bottom"/>
            <w:tcBorders>
              <w:top w:val="single" w:sz="8" w:color="0000FF"/>
            </w:tcBorders>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83"/>
        </w:trPr>
        <w:tc>
          <w:tcPr>
            <w:tcW w:w="360" w:type="dxa"/>
            <w:vAlign w:val="bottom"/>
            <w:gridSpan w:val="2"/>
          </w:tcPr>
          <w:p>
            <w:pPr>
              <w:spacing w:after="0" w:line="182"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15</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80" w:type="dxa"/>
            <w:vAlign w:val="bottom"/>
            <w:gridSpan w:val="31"/>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and NPlus1 Singer Advisory LLP</w:t>
              </w:r>
            </w:hyperlink>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10.14</w:t>
            </w:r>
          </w:p>
        </w:tc>
        <w:tc>
          <w:tcPr>
            <w:tcW w:w="2300" w:type="dxa"/>
            <w:vAlign w:val="bottom"/>
          </w:tcPr>
          <w:p>
            <w:pPr>
              <w:jc w:val="right"/>
              <w:ind w:right="1150"/>
              <w:spacing w:after="0" w:line="182" w:lineRule="exact"/>
              <w:rPr>
                <w:sz w:val="20"/>
                <w:szCs w:val="20"/>
                <w:color w:val="auto"/>
              </w:rPr>
            </w:pPr>
            <w:r>
              <w:rPr>
                <w:rFonts w:ascii="Arial" w:cs="Arial" w:eastAsia="Arial" w:hAnsi="Arial"/>
                <w:sz w:val="18"/>
                <w:szCs w:val="18"/>
                <w:color w:val="auto"/>
              </w:rPr>
              <w:t>4/3/2017</w:t>
            </w:r>
          </w:p>
        </w:tc>
      </w:tr>
      <w:tr>
        <w:trPr>
          <w:trHeight w:val="372"/>
        </w:trPr>
        <w:tc>
          <w:tcPr>
            <w:tcW w:w="260" w:type="dxa"/>
            <w:vAlign w:val="bottom"/>
            <w:tcBorders>
              <w:top w:val="single" w:sz="8" w:color="0000FF"/>
            </w:tcBorders>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8.</w:t>
              </w:r>
              <w:r>
                <w:rPr>
                  <w:rFonts w:ascii="Arial" w:cs="Arial" w:eastAsia="Arial" w:hAnsi="Arial"/>
                  <w:sz w:val="18"/>
                  <w:szCs w:val="18"/>
                  <w:u w:val="single" w:color="auto"/>
                  <w:color w:val="0000FF"/>
                  <w:w w:val="95"/>
                </w:rPr>
                <w:t>1</w:t>
              </w:r>
            </w:hyperlink>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0" w:type="dxa"/>
            <w:vAlign w:val="bottom"/>
            <w:tcBorders>
              <w:top w:val="single" w:sz="8" w:color="0000FF"/>
            </w:tcBorders>
            <w:gridSpan w:val="10"/>
          </w:tcPr>
          <w:p>
            <w:pPr>
              <w:spacing w:after="0"/>
              <w:rPr>
                <w:rFonts w:ascii="Arial" w:cs="Arial" w:eastAsia="Arial" w:hAnsi="Arial"/>
                <w:sz w:val="18"/>
                <w:szCs w:val="18"/>
                <w:color w:val="0000FF"/>
              </w:rPr>
            </w:pPr>
            <w:hyperlink r:id="rId44">
              <w:r>
                <w:rPr>
                  <w:rFonts w:ascii="Arial" w:cs="Arial" w:eastAsia="Arial" w:hAnsi="Arial"/>
                  <w:sz w:val="18"/>
                  <w:szCs w:val="18"/>
                  <w:color w:val="0000FF"/>
                </w:rPr>
                <w:t>List of Subsidiaries</w:t>
              </w:r>
            </w:hyperlink>
          </w:p>
        </w:tc>
        <w:tc>
          <w:tcPr>
            <w:tcW w:w="1680" w:type="dxa"/>
            <w:vAlign w:val="bottom"/>
            <w:gridSpan w:val="21"/>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F-1</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333-217124</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21.1</w:t>
            </w:r>
          </w:p>
        </w:tc>
        <w:tc>
          <w:tcPr>
            <w:tcW w:w="2300" w:type="dxa"/>
            <w:vAlign w:val="bottom"/>
          </w:tcPr>
          <w:p>
            <w:pPr>
              <w:jc w:val="right"/>
              <w:ind w:right="1150"/>
              <w:spacing w:after="0"/>
              <w:rPr>
                <w:sz w:val="20"/>
                <w:szCs w:val="20"/>
                <w:color w:val="auto"/>
              </w:rPr>
            </w:pPr>
            <w:r>
              <w:rPr>
                <w:rFonts w:ascii="Arial" w:cs="Arial" w:eastAsia="Arial" w:hAnsi="Arial"/>
                <w:sz w:val="18"/>
                <w:szCs w:val="18"/>
                <w:color w:val="auto"/>
              </w:rPr>
              <w:t>4/3/2017</w:t>
            </w: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Rule 13a-14(a)/15d-14(a) Certification of Chief</w:t>
            </w:r>
          </w:p>
        </w:tc>
        <w:tc>
          <w:tcPr>
            <w:tcW w:w="580" w:type="dxa"/>
            <w:vAlign w:val="bottom"/>
            <w:gridSpan w:val="15"/>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6"/>
              </w:rPr>
              <w:t>12.</w:t>
            </w:r>
            <w:r>
              <w:rPr>
                <w:rFonts w:ascii="Arial" w:cs="Arial" w:eastAsia="Arial" w:hAnsi="Arial"/>
                <w:sz w:val="18"/>
                <w:szCs w:val="18"/>
                <w:u w:val="single" w:color="auto"/>
                <w:color w:val="0000FF"/>
                <w:w w:val="96"/>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Executive Officer</w:t>
            </w:r>
          </w:p>
        </w:tc>
        <w:tc>
          <w:tcPr>
            <w:tcW w:w="2920" w:type="dxa"/>
            <w:vAlign w:val="bottom"/>
            <w:gridSpan w:val="26"/>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358"/>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Rule 13a-14(a)/15d-14(a) Certification of Chief</w:t>
            </w:r>
          </w:p>
        </w:tc>
        <w:tc>
          <w:tcPr>
            <w:tcW w:w="580" w:type="dxa"/>
            <w:vAlign w:val="bottom"/>
            <w:gridSpan w:val="15"/>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3"/>
        </w:trPr>
        <w:tc>
          <w:tcPr>
            <w:tcW w:w="360" w:type="dxa"/>
            <w:vAlign w:val="bottom"/>
            <w:gridSpan w:val="2"/>
          </w:tcPr>
          <w:p>
            <w:pPr>
              <w:spacing w:after="0" w:line="182" w:lineRule="exact"/>
              <w:rPr>
                <w:sz w:val="20"/>
                <w:szCs w:val="20"/>
                <w:color w:val="auto"/>
              </w:rPr>
            </w:pPr>
            <w:r>
              <w:rPr>
                <w:rFonts w:ascii="Arial" w:cs="Arial" w:eastAsia="Arial" w:hAnsi="Arial"/>
                <w:sz w:val="18"/>
                <w:szCs w:val="18"/>
                <w:color w:val="0000FF"/>
                <w:w w:val="96"/>
              </w:rPr>
              <w:t>12.</w:t>
            </w:r>
            <w:r>
              <w:rPr>
                <w:rFonts w:ascii="Arial" w:cs="Arial" w:eastAsia="Arial" w:hAnsi="Arial"/>
                <w:sz w:val="18"/>
                <w:szCs w:val="18"/>
                <w:u w:val="single" w:color="auto"/>
                <w:color w:val="0000FF"/>
                <w:w w:val="96"/>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80" w:type="dxa"/>
            <w:vAlign w:val="bottom"/>
            <w:gridSpan w:val="31"/>
          </w:tcPr>
          <w:p>
            <w:pPr>
              <w:spacing w:after="0" w:line="182" w:lineRule="exact"/>
              <w:rPr>
                <w:sz w:val="20"/>
                <w:szCs w:val="20"/>
                <w:color w:val="auto"/>
              </w:rPr>
            </w:pPr>
            <w:r>
              <w:rPr>
                <w:rFonts w:ascii="Arial" w:cs="Arial" w:eastAsia="Arial" w:hAnsi="Arial"/>
                <w:sz w:val="18"/>
                <w:szCs w:val="18"/>
                <w:color w:val="0000FF"/>
              </w:rPr>
              <w:t>Financial Officer</w:t>
            </w: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615"/>
        </w:trPr>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rPr>
              <w:t>109</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340"/>
          </w:cols>
          <w:pgMar w:left="280" w:top="513" w:right="279" w:bottom="1440" w:gutter="0" w:footer="0" w:header="0"/>
        </w:sectPr>
      </w:pPr>
    </w:p>
    <w:bookmarkStart w:id="111" w:name="page112"/>
    <w:bookmarkEnd w:id="111"/>
    <w:p>
      <w:pPr>
        <w:spacing w:after="0" w:line="1" w:lineRule="exact"/>
        <w:rPr>
          <w:sz w:val="20"/>
          <w:szCs w:val="20"/>
          <w:color w:val="auto"/>
        </w:rPr>
      </w:pPr>
    </w:p>
    <w:tbl>
      <w:tblPr>
        <w:tblLayout w:type="fixed"/>
        <w:tblInd w:w="18"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0000FF"/>
                <w:w w:val="96"/>
              </w:rPr>
              <w:t>13.</w:t>
            </w:r>
            <w:r>
              <w:rPr>
                <w:rFonts w:ascii="Arial" w:cs="Arial" w:eastAsia="Arial" w:hAnsi="Arial"/>
                <w:sz w:val="18"/>
                <w:szCs w:val="18"/>
                <w:u w:val="single" w:color="auto"/>
                <w:color w:val="0000FF"/>
                <w:w w:val="96"/>
              </w:rPr>
              <w:t>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80" w:type="dxa"/>
            <w:vAlign w:val="bottom"/>
            <w:gridSpan w:val="11"/>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3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6"/>
              </w:rPr>
              <w:t>13.</w:t>
            </w:r>
            <w:r>
              <w:rPr>
                <w:rFonts w:ascii="Arial" w:cs="Arial" w:eastAsia="Arial" w:hAnsi="Arial"/>
                <w:sz w:val="18"/>
                <w:szCs w:val="18"/>
                <w:u w:val="single" w:color="auto"/>
                <w:color w:val="0000FF"/>
                <w:w w:val="96"/>
              </w:rPr>
              <w:t>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296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3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6"/>
              </w:rPr>
              <w:t>15.</w:t>
            </w:r>
            <w:r>
              <w:rPr>
                <w:rFonts w:ascii="Arial" w:cs="Arial" w:eastAsia="Arial" w:hAnsi="Arial"/>
                <w:sz w:val="18"/>
                <w:szCs w:val="18"/>
                <w:u w:val="single" w:color="auto"/>
                <w:color w:val="0000FF"/>
                <w:w w:val="96"/>
              </w:rPr>
              <w:t>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Consent of PricewaterhouseCoopers LLP</w:t>
            </w:r>
          </w:p>
        </w:tc>
        <w:tc>
          <w:tcPr>
            <w:tcW w:w="3020" w:type="dxa"/>
            <w:vAlign w:val="bottom"/>
            <w:gridSpan w:val="2"/>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2"/>
        </w:trPr>
        <w:tc>
          <w:tcPr>
            <w:tcW w:w="660" w:type="dxa"/>
            <w:vAlign w:val="bottom"/>
            <w:gridSpan w:val="2"/>
          </w:tcPr>
          <w:p>
            <w:pPr>
              <w:spacing w:after="0"/>
              <w:rPr>
                <w:sz w:val="20"/>
                <w:szCs w:val="20"/>
                <w:color w:val="auto"/>
              </w:rPr>
            </w:pPr>
            <w:r>
              <w:rPr>
                <w:rFonts w:ascii="Arial" w:cs="Arial" w:eastAsia="Arial" w:hAnsi="Arial"/>
                <w:sz w:val="18"/>
                <w:szCs w:val="18"/>
                <w:color w:val="0000FF"/>
                <w:w w:val="95"/>
              </w:rPr>
              <w:t>101.</w:t>
            </w:r>
            <w:r>
              <w:rPr>
                <w:rFonts w:ascii="Arial" w:cs="Arial" w:eastAsia="Arial" w:hAnsi="Arial"/>
                <w:sz w:val="18"/>
                <w:szCs w:val="18"/>
                <w:u w:val="single" w:color="auto"/>
                <w:color w:val="0000FF"/>
                <w:w w:val="95"/>
              </w:rPr>
              <w:t>INS</w:t>
            </w:r>
          </w:p>
        </w:tc>
        <w:tc>
          <w:tcPr>
            <w:tcW w:w="500" w:type="dxa"/>
            <w:vAlign w:val="bottom"/>
            <w:gridSpan w:val="2"/>
          </w:tcPr>
          <w:p>
            <w:pPr>
              <w:spacing w:after="0"/>
              <w:rPr>
                <w:sz w:val="24"/>
                <w:szCs w:val="24"/>
                <w:color w:val="auto"/>
              </w:rPr>
            </w:pPr>
          </w:p>
        </w:tc>
        <w:tc>
          <w:tcPr>
            <w:tcW w:w="7080" w:type="dxa"/>
            <w:vAlign w:val="bottom"/>
            <w:gridSpan w:val="11"/>
          </w:tcPr>
          <w:p>
            <w:pPr>
              <w:spacing w:after="0"/>
              <w:rPr>
                <w:sz w:val="20"/>
                <w:szCs w:val="20"/>
                <w:color w:val="auto"/>
              </w:rPr>
            </w:pPr>
            <w:r>
              <w:rPr>
                <w:rFonts w:ascii="Arial" w:cs="Arial" w:eastAsia="Arial" w:hAnsi="Arial"/>
                <w:sz w:val="18"/>
                <w:szCs w:val="18"/>
                <w:color w:val="0000FF"/>
              </w:rPr>
              <w:t>XBRL Instance Document</w:t>
            </w: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2"/>
        </w:trPr>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101.</w:t>
            </w:r>
            <w:r>
              <w:rPr>
                <w:rFonts w:ascii="Arial" w:cs="Arial" w:eastAsia="Arial" w:hAnsi="Arial"/>
                <w:sz w:val="18"/>
                <w:szCs w:val="18"/>
                <w:u w:val="single" w:color="auto"/>
                <w:color w:val="0000FF"/>
                <w:w w:val="98"/>
              </w:rPr>
              <w:t>SCH</w:t>
            </w:r>
          </w:p>
        </w:tc>
        <w:tc>
          <w:tcPr>
            <w:tcW w:w="420" w:type="dxa"/>
            <w:vAlign w:val="bottom"/>
          </w:tcPr>
          <w:p>
            <w:pPr>
              <w:spacing w:after="0"/>
              <w:rPr>
                <w:sz w:val="24"/>
                <w:szCs w:val="24"/>
                <w:color w:val="auto"/>
              </w:rPr>
            </w:pPr>
          </w:p>
        </w:tc>
        <w:tc>
          <w:tcPr>
            <w:tcW w:w="3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XBRL Taxonomy Extension Schema Document</w:t>
            </w:r>
          </w:p>
        </w:tc>
        <w:tc>
          <w:tcPr>
            <w:tcW w:w="3320" w:type="dxa"/>
            <w:vAlign w:val="bottom"/>
            <w:gridSpan w:val="5"/>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gridSpan w:val="11"/>
          </w:tcPr>
          <w:p>
            <w:pPr>
              <w:spacing w:after="0"/>
              <w:rPr>
                <w:sz w:val="20"/>
                <w:szCs w:val="20"/>
                <w:color w:val="auto"/>
              </w:rPr>
            </w:pPr>
            <w:r>
              <w:rPr>
                <w:rFonts w:ascii="Arial" w:cs="Arial" w:eastAsia="Arial" w:hAnsi="Arial"/>
                <w:sz w:val="18"/>
                <w:szCs w:val="18"/>
                <w:color w:val="0000FF"/>
              </w:rPr>
              <w:t>XBRL Taxonomy Extension Calculation Linkbase</w:t>
            </w:r>
          </w:p>
        </w:tc>
        <w:tc>
          <w:tcPr>
            <w:tcW w:w="3100" w:type="dxa"/>
            <w:vAlign w:val="bottom"/>
          </w:tcPr>
          <w:p>
            <w:pPr>
              <w:spacing w:after="0"/>
              <w:rPr>
                <w:sz w:val="24"/>
                <w:szCs w:val="24"/>
                <w:color w:val="auto"/>
              </w:rPr>
            </w:pPr>
          </w:p>
        </w:tc>
      </w:tr>
      <w:tr>
        <w:trPr>
          <w:trHeight w:val="183"/>
        </w:trPr>
        <w:tc>
          <w:tcPr>
            <w:tcW w:w="1160" w:type="dxa"/>
            <w:vAlign w:val="bottom"/>
            <w:gridSpan w:val="4"/>
          </w:tcPr>
          <w:p>
            <w:pPr>
              <w:spacing w:after="0" w:line="182" w:lineRule="exact"/>
              <w:rPr>
                <w:sz w:val="20"/>
                <w:szCs w:val="20"/>
                <w:color w:val="auto"/>
              </w:rPr>
            </w:pPr>
            <w:r>
              <w:rPr>
                <w:rFonts w:ascii="Arial" w:cs="Arial" w:eastAsia="Arial" w:hAnsi="Arial"/>
                <w:sz w:val="18"/>
                <w:szCs w:val="18"/>
                <w:color w:val="0000FF"/>
              </w:rPr>
              <w:t>101.</w:t>
            </w:r>
            <w:r>
              <w:rPr>
                <w:rFonts w:ascii="Arial" w:cs="Arial" w:eastAsia="Arial" w:hAnsi="Arial"/>
                <w:sz w:val="18"/>
                <w:szCs w:val="18"/>
                <w:u w:val="single" w:color="auto"/>
                <w:color w:val="0000FF"/>
              </w:rPr>
              <w:t>CAL</w:t>
            </w:r>
          </w:p>
        </w:tc>
        <w:tc>
          <w:tcPr>
            <w:tcW w:w="38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Document</w:t>
            </w:r>
          </w:p>
        </w:tc>
        <w:tc>
          <w:tcPr>
            <w:tcW w:w="3200" w:type="dxa"/>
            <w:vAlign w:val="bottom"/>
            <w:gridSpan w:val="4"/>
          </w:tcPr>
          <w:p>
            <w:pPr>
              <w:spacing w:after="0"/>
              <w:rPr>
                <w:sz w:val="15"/>
                <w:szCs w:val="15"/>
                <w:color w:val="auto"/>
              </w:rPr>
            </w:pPr>
          </w:p>
        </w:tc>
        <w:tc>
          <w:tcPr>
            <w:tcW w:w="3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XBRL Taxonomy Extension Label Linkbase</w:t>
            </w:r>
          </w:p>
        </w:tc>
        <w:tc>
          <w:tcPr>
            <w:tcW w:w="3640" w:type="dxa"/>
            <w:vAlign w:val="bottom"/>
            <w:gridSpan w:val="7"/>
          </w:tcPr>
          <w:p>
            <w:pPr>
              <w:spacing w:after="0"/>
              <w:rPr>
                <w:sz w:val="24"/>
                <w:szCs w:val="24"/>
                <w:color w:val="auto"/>
              </w:rPr>
            </w:pPr>
          </w:p>
        </w:tc>
        <w:tc>
          <w:tcPr>
            <w:tcW w:w="3100" w:type="dxa"/>
            <w:vAlign w:val="bottom"/>
          </w:tcPr>
          <w:p>
            <w:pPr>
              <w:spacing w:after="0"/>
              <w:rPr>
                <w:sz w:val="24"/>
                <w:szCs w:val="24"/>
                <w:color w:val="auto"/>
              </w:rPr>
            </w:pPr>
          </w:p>
        </w:tc>
      </w:tr>
      <w:tr>
        <w:trPr>
          <w:trHeight w:val="183"/>
        </w:trPr>
        <w:tc>
          <w:tcPr>
            <w:tcW w:w="6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101.</w:t>
            </w:r>
            <w:r>
              <w:rPr>
                <w:rFonts w:ascii="Arial" w:cs="Arial" w:eastAsia="Arial" w:hAnsi="Arial"/>
                <w:sz w:val="18"/>
                <w:szCs w:val="18"/>
                <w:u w:val="single" w:color="auto"/>
                <w:color w:val="0000FF"/>
                <w:w w:val="89"/>
              </w:rPr>
              <w:t>LAB</w:t>
            </w:r>
          </w:p>
        </w:tc>
        <w:tc>
          <w:tcPr>
            <w:tcW w:w="500" w:type="dxa"/>
            <w:vAlign w:val="bottom"/>
            <w:gridSpan w:val="2"/>
          </w:tcPr>
          <w:p>
            <w:pPr>
              <w:spacing w:after="0"/>
              <w:rPr>
                <w:sz w:val="15"/>
                <w:szCs w:val="15"/>
                <w:color w:val="auto"/>
              </w:rPr>
            </w:pPr>
          </w:p>
        </w:tc>
        <w:tc>
          <w:tcPr>
            <w:tcW w:w="82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Document</w:t>
            </w:r>
          </w:p>
        </w:tc>
        <w:tc>
          <w:tcPr>
            <w:tcW w:w="6260" w:type="dxa"/>
            <w:vAlign w:val="bottom"/>
            <w:gridSpan w:val="10"/>
          </w:tcPr>
          <w:p>
            <w:pPr>
              <w:spacing w:after="0"/>
              <w:rPr>
                <w:sz w:val="15"/>
                <w:szCs w:val="15"/>
                <w:color w:val="auto"/>
              </w:rPr>
            </w:pPr>
          </w:p>
        </w:tc>
        <w:tc>
          <w:tcPr>
            <w:tcW w:w="3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gridSpan w:val="11"/>
          </w:tcPr>
          <w:p>
            <w:pPr>
              <w:spacing w:after="0"/>
              <w:rPr>
                <w:sz w:val="20"/>
                <w:szCs w:val="20"/>
                <w:color w:val="auto"/>
              </w:rPr>
            </w:pPr>
            <w:r>
              <w:rPr>
                <w:rFonts w:ascii="Arial" w:cs="Arial" w:eastAsia="Arial" w:hAnsi="Arial"/>
                <w:sz w:val="18"/>
                <w:szCs w:val="18"/>
                <w:color w:val="0000FF"/>
              </w:rPr>
              <w:t>XBRL Taxonomy Extension Presentation Linkbase</w:t>
            </w:r>
          </w:p>
        </w:tc>
        <w:tc>
          <w:tcPr>
            <w:tcW w:w="3100" w:type="dxa"/>
            <w:vAlign w:val="bottom"/>
          </w:tcPr>
          <w:p>
            <w:pPr>
              <w:spacing w:after="0"/>
              <w:rPr>
                <w:sz w:val="24"/>
                <w:szCs w:val="24"/>
                <w:color w:val="auto"/>
              </w:rPr>
            </w:pPr>
          </w:p>
        </w:tc>
      </w:tr>
      <w:tr>
        <w:trPr>
          <w:trHeight w:val="183"/>
        </w:trPr>
        <w:tc>
          <w:tcPr>
            <w:tcW w:w="1160" w:type="dxa"/>
            <w:vAlign w:val="bottom"/>
            <w:gridSpan w:val="4"/>
          </w:tcPr>
          <w:p>
            <w:pPr>
              <w:spacing w:after="0" w:line="182" w:lineRule="exact"/>
              <w:rPr>
                <w:sz w:val="20"/>
                <w:szCs w:val="20"/>
                <w:color w:val="auto"/>
              </w:rPr>
            </w:pPr>
            <w:r>
              <w:rPr>
                <w:rFonts w:ascii="Arial" w:cs="Arial" w:eastAsia="Arial" w:hAnsi="Arial"/>
                <w:sz w:val="18"/>
                <w:szCs w:val="18"/>
                <w:color w:val="0000FF"/>
              </w:rPr>
              <w:t>101.</w:t>
            </w:r>
            <w:r>
              <w:rPr>
                <w:rFonts w:ascii="Arial" w:cs="Arial" w:eastAsia="Arial" w:hAnsi="Arial"/>
                <w:sz w:val="18"/>
                <w:szCs w:val="18"/>
                <w:u w:val="single" w:color="auto"/>
                <w:color w:val="0000FF"/>
              </w:rPr>
              <w:t>PRE</w:t>
            </w:r>
          </w:p>
        </w:tc>
        <w:tc>
          <w:tcPr>
            <w:tcW w:w="40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Document</w:t>
            </w:r>
          </w:p>
        </w:tc>
        <w:tc>
          <w:tcPr>
            <w:tcW w:w="3080" w:type="dxa"/>
            <w:vAlign w:val="bottom"/>
            <w:gridSpan w:val="3"/>
          </w:tcPr>
          <w:p>
            <w:pPr>
              <w:spacing w:after="0"/>
              <w:rPr>
                <w:sz w:val="15"/>
                <w:szCs w:val="15"/>
                <w:color w:val="auto"/>
              </w:rPr>
            </w:pPr>
          </w:p>
        </w:tc>
        <w:tc>
          <w:tcPr>
            <w:tcW w:w="3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gridSpan w:val="11"/>
          </w:tcPr>
          <w:p>
            <w:pPr>
              <w:spacing w:after="0"/>
              <w:rPr>
                <w:sz w:val="20"/>
                <w:szCs w:val="20"/>
                <w:color w:val="auto"/>
              </w:rPr>
            </w:pPr>
            <w:r>
              <w:rPr>
                <w:rFonts w:ascii="Arial" w:cs="Arial" w:eastAsia="Arial" w:hAnsi="Arial"/>
                <w:sz w:val="18"/>
                <w:szCs w:val="18"/>
                <w:color w:val="0000FF"/>
              </w:rPr>
              <w:t>XBRL Taxonomy Extension Definition Linkbase</w:t>
            </w:r>
          </w:p>
        </w:tc>
        <w:tc>
          <w:tcPr>
            <w:tcW w:w="3100" w:type="dxa"/>
            <w:vAlign w:val="bottom"/>
          </w:tcPr>
          <w:p>
            <w:pPr>
              <w:spacing w:after="0"/>
              <w:rPr>
                <w:sz w:val="24"/>
                <w:szCs w:val="24"/>
                <w:color w:val="auto"/>
              </w:rPr>
            </w:pPr>
          </w:p>
        </w:tc>
      </w:tr>
      <w:tr>
        <w:trPr>
          <w:trHeight w:val="183"/>
        </w:trPr>
        <w:tc>
          <w:tcPr>
            <w:tcW w:w="6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7"/>
              </w:rPr>
              <w:t>101.</w:t>
            </w:r>
            <w:r>
              <w:rPr>
                <w:rFonts w:ascii="Arial" w:cs="Arial" w:eastAsia="Arial" w:hAnsi="Arial"/>
                <w:sz w:val="18"/>
                <w:szCs w:val="18"/>
                <w:u w:val="single" w:color="auto"/>
                <w:color w:val="0000FF"/>
                <w:w w:val="87"/>
              </w:rPr>
              <w:t>DEF</w:t>
            </w:r>
          </w:p>
        </w:tc>
        <w:tc>
          <w:tcPr>
            <w:tcW w:w="500" w:type="dxa"/>
            <w:vAlign w:val="bottom"/>
            <w:gridSpan w:val="2"/>
          </w:tcPr>
          <w:p>
            <w:pPr>
              <w:spacing w:after="0"/>
              <w:rPr>
                <w:sz w:val="15"/>
                <w:szCs w:val="15"/>
                <w:color w:val="auto"/>
              </w:rPr>
            </w:pPr>
          </w:p>
        </w:tc>
        <w:tc>
          <w:tcPr>
            <w:tcW w:w="82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Document</w:t>
            </w:r>
          </w:p>
        </w:tc>
        <w:tc>
          <w:tcPr>
            <w:tcW w:w="2920" w:type="dxa"/>
            <w:vAlign w:val="bottom"/>
            <w:tcBorders>
              <w:top w:val="single" w:sz="8" w:color="0000FF"/>
            </w:tcBorders>
            <w:gridSpan w:val="4"/>
          </w:tcPr>
          <w:p>
            <w:pPr>
              <w:spacing w:after="0"/>
              <w:rPr>
                <w:sz w:val="15"/>
                <w:szCs w:val="15"/>
                <w:color w:val="auto"/>
              </w:rPr>
            </w:pPr>
          </w:p>
        </w:tc>
        <w:tc>
          <w:tcPr>
            <w:tcW w:w="3340" w:type="dxa"/>
            <w:vAlign w:val="bottom"/>
            <w:gridSpan w:val="6"/>
          </w:tcPr>
          <w:p>
            <w:pPr>
              <w:spacing w:after="0"/>
              <w:rPr>
                <w:sz w:val="15"/>
                <w:szCs w:val="15"/>
                <w:color w:val="auto"/>
              </w:rPr>
            </w:pPr>
          </w:p>
        </w:tc>
        <w:tc>
          <w:tcPr>
            <w:tcW w:w="3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38" w:hanging="438"/>
        <w:spacing w:after="0"/>
        <w:tabs>
          <w:tab w:leader="none" w:pos="4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38" w:hanging="438"/>
        <w:spacing w:after="0"/>
        <w:tabs>
          <w:tab w:leader="none" w:pos="4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38" w:hanging="438"/>
        <w:spacing w:after="0"/>
        <w:tabs>
          <w:tab w:leader="none" w:pos="4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438" w:hanging="438"/>
        <w:spacing w:after="0"/>
        <w:tabs>
          <w:tab w:leader="none" w:pos="4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the exhibit. Confidential materials omitted and filed separately with the SEC.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1" w:lineRule="exact"/>
        <w:rPr>
          <w:rFonts w:ascii="Arial" w:cs="Arial" w:eastAsia="Arial" w:hAnsi="Arial"/>
          <w:sz w:val="18"/>
          <w:szCs w:val="18"/>
          <w:color w:val="auto"/>
        </w:rPr>
      </w:pPr>
    </w:p>
    <w:p>
      <w:pPr>
        <w:ind w:left="5538"/>
        <w:spacing w:after="0"/>
        <w:rPr>
          <w:rFonts w:ascii="Arial" w:cs="Arial" w:eastAsia="Arial" w:hAnsi="Arial"/>
          <w:sz w:val="18"/>
          <w:szCs w:val="18"/>
          <w:color w:val="auto"/>
        </w:rPr>
      </w:pPr>
      <w:r>
        <w:rPr>
          <w:rFonts w:ascii="Arial" w:cs="Arial" w:eastAsia="Arial" w:hAnsi="Arial"/>
          <w:sz w:val="18"/>
          <w:szCs w:val="18"/>
          <w:color w:val="auto"/>
        </w:rPr>
        <w:t>110</w:t>
      </w:r>
    </w:p>
    <w:p>
      <w:pPr>
        <w:sectPr>
          <w:pgSz w:w="11900" w:h="16838" w:orient="portrait"/>
          <w:cols w:equalWidth="0" w:num="1">
            <w:col w:w="11358"/>
          </w:cols>
          <w:pgMar w:left="262" w:top="527"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VERONA PHARMA PLC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Jan-Anders Karlsson</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Jan-Anders Karlsson, Ph.D.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2019</w:t>
      </w: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240" w:top="576" w:right="4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9"/>
        </w:trPr>
        <w:tc>
          <w:tcPr>
            <w:tcW w:w="9880" w:type="dxa"/>
            <w:vAlign w:val="bottom"/>
            <w:gridSpan w:val="7"/>
          </w:tcPr>
          <w:p>
            <w:pPr>
              <w:jc w:val="center"/>
              <w:ind w:left="13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86"/>
        </w:trPr>
        <w:tc>
          <w:tcPr>
            <w:tcW w:w="3800" w:type="dxa"/>
            <w:vAlign w:val="bottom"/>
          </w:tcPr>
          <w:p>
            <w:pPr>
              <w:spacing w:after="0"/>
              <w:rPr>
                <w:sz w:val="24"/>
                <w:szCs w:val="24"/>
                <w:color w:val="auto"/>
              </w:rPr>
            </w:pPr>
          </w:p>
        </w:tc>
        <w:tc>
          <w:tcPr>
            <w:tcW w:w="6080" w:type="dxa"/>
            <w:vAlign w:val="bottom"/>
            <w:gridSpan w:val="6"/>
          </w:tcPr>
          <w:p>
            <w:pPr>
              <w:jc w:val="center"/>
              <w:ind w:right="2320"/>
              <w:spacing w:after="0"/>
              <w:rPr>
                <w:sz w:val="20"/>
                <w:szCs w:val="20"/>
                <w:color w:val="auto"/>
              </w:rPr>
            </w:pPr>
            <w:r>
              <w:rPr>
                <w:rFonts w:ascii="Arial" w:cs="Arial" w:eastAsia="Arial" w:hAnsi="Arial"/>
                <w:sz w:val="18"/>
                <w:szCs w:val="18"/>
                <w:b w:val="1"/>
                <w:bCs w:val="1"/>
                <w:color w:val="auto"/>
                <w:w w:val="99"/>
              </w:rPr>
              <w:t>Consolidated financial statements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3"/>
        </w:trPr>
        <w:tc>
          <w:tcPr>
            <w:tcW w:w="4600" w:type="dxa"/>
            <w:vAlign w:val="bottom"/>
            <w:gridSpan w:val="2"/>
          </w:tcPr>
          <w:p>
            <w:pP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Report of Independent Registered Public Accounting Firm</w:t>
              </w:r>
            </w:hyperlink>
          </w:p>
        </w:tc>
        <w:tc>
          <w:tcPr>
            <w:tcW w:w="5280" w:type="dxa"/>
            <w:vAlign w:val="bottom"/>
            <w:gridSpan w:val="5"/>
          </w:tcPr>
          <w:p>
            <w:pPr>
              <w:spacing w:after="0"/>
              <w:rPr>
                <w:sz w:val="24"/>
                <w:szCs w:val="24"/>
                <w:color w:val="auto"/>
              </w:rPr>
            </w:pPr>
          </w:p>
        </w:tc>
        <w:tc>
          <w:tcPr>
            <w:tcW w:w="1440" w:type="dxa"/>
            <w:vAlign w:val="bottom"/>
            <w:gridSpan w:val="2"/>
          </w:tcPr>
          <w:p>
            <w:pPr>
              <w:ind w:left="1180"/>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F-2</w:t>
              </w:r>
            </w:hyperlink>
          </w:p>
        </w:tc>
      </w:tr>
      <w:tr>
        <w:trPr>
          <w:trHeight w:val="20"/>
        </w:trPr>
        <w:tc>
          <w:tcPr>
            <w:tcW w:w="3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37"/>
        </w:trPr>
        <w:tc>
          <w:tcPr>
            <w:tcW w:w="6540" w:type="dxa"/>
            <w:vAlign w:val="bottom"/>
            <w:gridSpan w:val="3"/>
          </w:tcPr>
          <w:p>
            <w:pPr>
              <w:spacing w:after="0"/>
              <w:rPr>
                <w:rFonts w:ascii="Arial" w:cs="Arial" w:eastAsia="Arial" w:hAnsi="Arial"/>
                <w:sz w:val="18"/>
                <w:szCs w:val="18"/>
                <w:color w:val="0000EE"/>
                <w:w w:val="99"/>
              </w:rPr>
            </w:pPr>
            <w:hyperlink w:anchor="page116">
              <w:r>
                <w:rPr>
                  <w:rFonts w:ascii="Arial" w:cs="Arial" w:eastAsia="Arial" w:hAnsi="Arial"/>
                  <w:sz w:val="18"/>
                  <w:szCs w:val="18"/>
                  <w:color w:val="0000EE"/>
                  <w:w w:val="99"/>
                </w:rPr>
                <w:t>Consolidated Statements of Financial Position as of December 31, 2018 and 2017</w:t>
              </w:r>
            </w:hyperlink>
          </w:p>
        </w:tc>
        <w:tc>
          <w:tcPr>
            <w:tcW w:w="3340" w:type="dxa"/>
            <w:vAlign w:val="bottom"/>
            <w:gridSpan w:val="4"/>
          </w:tcPr>
          <w:p>
            <w:pPr>
              <w:spacing w:after="0"/>
              <w:rPr>
                <w:sz w:val="20"/>
                <w:szCs w:val="20"/>
                <w:color w:val="auto"/>
              </w:rPr>
            </w:pPr>
          </w:p>
        </w:tc>
        <w:tc>
          <w:tcPr>
            <w:tcW w:w="1440" w:type="dxa"/>
            <w:vAlign w:val="bottom"/>
            <w:gridSpan w:val="2"/>
          </w:tcPr>
          <w:p>
            <w:pPr>
              <w:ind w:left="1180"/>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F-3</w:t>
              </w:r>
            </w:hyperlink>
          </w:p>
        </w:tc>
      </w:tr>
      <w:tr>
        <w:trPr>
          <w:trHeight w:val="20"/>
        </w:trPr>
        <w:tc>
          <w:tcPr>
            <w:tcW w:w="380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37"/>
        </w:trPr>
        <w:tc>
          <w:tcPr>
            <w:tcW w:w="8700" w:type="dxa"/>
            <w:vAlign w:val="bottom"/>
            <w:gridSpan w:val="6"/>
          </w:tcPr>
          <w:p>
            <w:pPr>
              <w:spacing w:after="0"/>
              <w:rPr>
                <w:rFonts w:ascii="Arial" w:cs="Arial" w:eastAsia="Arial" w:hAnsi="Arial"/>
                <w:sz w:val="18"/>
                <w:szCs w:val="18"/>
                <w:color w:val="0000EE"/>
                <w:w w:val="99"/>
              </w:rPr>
            </w:pPr>
            <w:hyperlink w:anchor="page117">
              <w:r>
                <w:rPr>
                  <w:rFonts w:ascii="Arial" w:cs="Arial" w:eastAsia="Arial" w:hAnsi="Arial"/>
                  <w:sz w:val="18"/>
                  <w:szCs w:val="18"/>
                  <w:color w:val="0000EE"/>
                  <w:w w:val="99"/>
                </w:rPr>
                <w:t>Consolidated Statements of Comprehensive Income for the years ended December 31, 2018, 2017 and 2016</w:t>
              </w:r>
            </w:hyperlink>
          </w:p>
        </w:tc>
        <w:tc>
          <w:tcPr>
            <w:tcW w:w="1180" w:type="dxa"/>
            <w:vAlign w:val="bottom"/>
          </w:tcPr>
          <w:p>
            <w:pPr>
              <w:spacing w:after="0"/>
              <w:rPr>
                <w:sz w:val="20"/>
                <w:szCs w:val="20"/>
                <w:color w:val="auto"/>
              </w:rPr>
            </w:pPr>
          </w:p>
        </w:tc>
        <w:tc>
          <w:tcPr>
            <w:tcW w:w="1440" w:type="dxa"/>
            <w:vAlign w:val="bottom"/>
            <w:gridSpan w:val="2"/>
          </w:tcPr>
          <w:p>
            <w:pPr>
              <w:ind w:left="1180"/>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F-4</w:t>
              </w:r>
            </w:hyperlink>
          </w:p>
        </w:tc>
      </w:tr>
      <w:tr>
        <w:trPr>
          <w:trHeight w:val="20"/>
        </w:trPr>
        <w:tc>
          <w:tcPr>
            <w:tcW w:w="380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37"/>
        </w:trPr>
        <w:tc>
          <w:tcPr>
            <w:tcW w:w="8260" w:type="dxa"/>
            <w:vAlign w:val="bottom"/>
            <w:gridSpan w:val="5"/>
          </w:tcPr>
          <w:p>
            <w:pPr>
              <w:spacing w:after="0"/>
              <w:rPr>
                <w:rFonts w:ascii="Arial" w:cs="Arial" w:eastAsia="Arial" w:hAnsi="Arial"/>
                <w:sz w:val="18"/>
                <w:szCs w:val="18"/>
                <w:color w:val="0000EE"/>
                <w:w w:val="99"/>
              </w:rPr>
            </w:pPr>
            <w:hyperlink w:anchor="page118">
              <w:r>
                <w:rPr>
                  <w:rFonts w:ascii="Arial" w:cs="Arial" w:eastAsia="Arial" w:hAnsi="Arial"/>
                  <w:sz w:val="18"/>
                  <w:szCs w:val="18"/>
                  <w:color w:val="0000EE"/>
                  <w:w w:val="99"/>
                </w:rPr>
                <w:t>Consolidated Statements of Changes in Equity for the years ended December 31, 2018, 2017 and 2016</w:t>
              </w:r>
            </w:hyperlink>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40" w:type="dxa"/>
            <w:vAlign w:val="bottom"/>
            <w:gridSpan w:val="2"/>
          </w:tcPr>
          <w:p>
            <w:pPr>
              <w:ind w:left="1180"/>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F-5</w:t>
              </w:r>
            </w:hyperlink>
          </w:p>
        </w:tc>
      </w:tr>
      <w:tr>
        <w:trPr>
          <w:trHeight w:val="20"/>
        </w:trPr>
        <w:tc>
          <w:tcPr>
            <w:tcW w:w="380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37"/>
        </w:trPr>
        <w:tc>
          <w:tcPr>
            <w:tcW w:w="8260" w:type="dxa"/>
            <w:vAlign w:val="bottom"/>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Cash Flows for the years ended December 31, 2018, 2017 and 2016</w:t>
              </w:r>
            </w:hyperlink>
          </w:p>
        </w:tc>
        <w:tc>
          <w:tcPr>
            <w:tcW w:w="1620" w:type="dxa"/>
            <w:vAlign w:val="bottom"/>
            <w:gridSpan w:val="2"/>
          </w:tcPr>
          <w:p>
            <w:pPr>
              <w:spacing w:after="0"/>
              <w:rPr>
                <w:sz w:val="20"/>
                <w:szCs w:val="20"/>
                <w:color w:val="auto"/>
              </w:rPr>
            </w:pPr>
          </w:p>
        </w:tc>
        <w:tc>
          <w:tcPr>
            <w:tcW w:w="1440" w:type="dxa"/>
            <w:vAlign w:val="bottom"/>
            <w:gridSpan w:val="2"/>
          </w:tcPr>
          <w:p>
            <w:pPr>
              <w:ind w:left="1180"/>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F-6</w:t>
              </w:r>
            </w:hyperlink>
          </w:p>
        </w:tc>
      </w:tr>
      <w:tr>
        <w:trPr>
          <w:trHeight w:val="20"/>
        </w:trPr>
        <w:tc>
          <w:tcPr>
            <w:tcW w:w="380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37"/>
        </w:trPr>
        <w:tc>
          <w:tcPr>
            <w:tcW w:w="7720" w:type="dxa"/>
            <w:vAlign w:val="bottom"/>
            <w:gridSpan w:val="4"/>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Notes to the Consolidated Financial Statements</w:t>
              </w:r>
            </w:hyperlink>
          </w:p>
        </w:tc>
        <w:tc>
          <w:tcPr>
            <w:tcW w:w="2160" w:type="dxa"/>
            <w:vAlign w:val="bottom"/>
            <w:gridSpan w:val="3"/>
          </w:tcPr>
          <w:p>
            <w:pPr>
              <w:spacing w:after="0"/>
              <w:rPr>
                <w:sz w:val="20"/>
                <w:szCs w:val="20"/>
                <w:color w:val="auto"/>
              </w:rPr>
            </w:pPr>
          </w:p>
        </w:tc>
        <w:tc>
          <w:tcPr>
            <w:tcW w:w="1440" w:type="dxa"/>
            <w:vAlign w:val="bottom"/>
            <w:gridSpan w:val="2"/>
          </w:tcPr>
          <w:p>
            <w:pPr>
              <w:ind w:left="1180"/>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F-7</w:t>
              </w:r>
            </w:hyperlink>
          </w:p>
        </w:tc>
      </w:tr>
      <w:tr>
        <w:trPr>
          <w:trHeight w:val="979"/>
        </w:trPr>
        <w:tc>
          <w:tcPr>
            <w:tcW w:w="38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280" w:type="dxa"/>
            <w:vAlign w:val="bottom"/>
            <w:gridSpan w:val="5"/>
          </w:tcPr>
          <w:p>
            <w:pPr>
              <w:jc w:val="center"/>
              <w:ind w:right="3140"/>
              <w:spacing w:after="0"/>
              <w:rPr>
                <w:sz w:val="20"/>
                <w:szCs w:val="20"/>
                <w:color w:val="auto"/>
              </w:rPr>
            </w:pPr>
            <w:r>
              <w:rPr>
                <w:rFonts w:ascii="Arial" w:cs="Arial" w:eastAsia="Arial" w:hAnsi="Arial"/>
                <w:sz w:val="18"/>
                <w:szCs w:val="18"/>
                <w:color w:val="auto"/>
                <w:w w:val="96"/>
              </w:rPr>
              <w:t>F-1</w:t>
            </w:r>
          </w:p>
        </w:tc>
        <w:tc>
          <w:tcPr>
            <w:tcW w:w="11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320"/>
          </w:cols>
          <w:pgMar w:left="280" w:top="495" w:right="29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90043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9004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Verona Pharma Plc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statements of financial position of Verona Pharma plc and its subsidiaries (the “Company”) as of December 31, 2018 and 2017 and the related consolidated statements of comprehensive income, of changes in equity and of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International Financial Reporting Standards as issued by the International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440"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2018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jc w:val="right"/>
              <w:ind w:right="293"/>
              <w:spacing w:after="0"/>
              <w:rPr>
                <w:sz w:val="20"/>
                <w:szCs w:val="20"/>
                <w:color w:val="auto"/>
              </w:rPr>
            </w:pPr>
            <w:r>
              <w:rPr>
                <w:rFonts w:ascii="Arial" w:cs="Arial" w:eastAsia="Arial" w:hAnsi="Arial"/>
                <w:sz w:val="14"/>
                <w:szCs w:val="14"/>
                <w:b w:val="1"/>
                <w:bCs w:val="1"/>
                <w:color w:val="auto"/>
              </w:rPr>
              <w:t>As of</w:t>
            </w:r>
          </w:p>
        </w:tc>
      </w:tr>
      <w:tr>
        <w:trPr>
          <w:trHeight w:val="162"/>
        </w:trPr>
        <w:tc>
          <w:tcPr>
            <w:tcW w:w="8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1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20" w:type="dxa"/>
            <w:vAlign w:val="bottom"/>
          </w:tcPr>
          <w:p>
            <w:pPr>
              <w:spacing w:after="0"/>
              <w:rPr>
                <w:sz w:val="17"/>
                <w:szCs w:val="17"/>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r>
      <w:tr>
        <w:trPr>
          <w:trHeight w:val="264"/>
        </w:trPr>
        <w:tc>
          <w:tcPr>
            <w:tcW w:w="8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1,969</w:t>
            </w: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r>
      <w:tr>
        <w:trPr>
          <w:trHeight w:val="297"/>
        </w:trPr>
        <w:tc>
          <w:tcPr>
            <w:tcW w:w="8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5,006</w:t>
            </w: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48,819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19,784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31,443</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71,665</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87,078</w:t>
            </w:r>
          </w:p>
        </w:tc>
      </w:tr>
      <w:tr>
        <w:trPr>
          <w:trHeight w:val="29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74,261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51"/>
        </w:trPr>
        <w:tc>
          <w:tcPr>
            <w:tcW w:w="8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5,251</w:t>
            </w: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118,862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5,022</w:t>
            </w: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(49,254)</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62,934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97"/>
        </w:trPr>
        <w:tc>
          <w:tcPr>
            <w:tcW w:w="8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7,154</w:t>
            </w: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payable—U.S. Operations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10,225</w:t>
            </w:r>
          </w:p>
        </w:tc>
        <w:tc>
          <w:tcPr>
            <w:tcW w:w="1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8,596</w:t>
            </w:r>
          </w:p>
        </w:tc>
      </w:tr>
      <w:tr>
        <w:trPr>
          <w:trHeight w:val="324"/>
        </w:trPr>
        <w:tc>
          <w:tcPr>
            <w:tcW w:w="8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1,027</w:t>
            </w:r>
          </w:p>
        </w:tc>
      </w:tr>
      <w:tr>
        <w:trPr>
          <w:trHeight w:val="25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74,261</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0"/>
        </w:trPr>
        <w:tc>
          <w:tcPr>
            <w:tcW w:w="8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6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7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264"/>
        </w:trPr>
        <w:tc>
          <w:tcPr>
            <w:tcW w:w="5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0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72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720" w:type="dxa"/>
            <w:vAlign w:val="bottom"/>
            <w:gridSpan w:val="2"/>
          </w:tcPr>
          <w:p>
            <w:pPr>
              <w:jc w:val="center"/>
              <w:ind w:left="93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2"/>
                <w:szCs w:val="22"/>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1,841</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72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(24,133)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(5,973)</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72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4,706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954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Loss for the year</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(19,901)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(20,497)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(5,019)</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 (loss):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0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r>
      <w:tr>
        <w:trPr>
          <w:trHeight w:val="29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9"/>
              </w:rPr>
              <w:t>Total comprehensive loss attributable to owners of the Company</w:t>
            </w:r>
          </w:p>
        </w:tc>
        <w:tc>
          <w:tcPr>
            <w:tcW w:w="10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w:t>
            </w:r>
          </w:p>
        </w:tc>
      </w:tr>
      <w:tr>
        <w:trPr>
          <w:trHeight w:val="23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72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324"/>
        </w:trPr>
        <w:tc>
          <w:tcPr>
            <w:tcW w:w="7420" w:type="dxa"/>
            <w:vAlign w:val="bottom"/>
            <w:gridSpan w:val="4"/>
          </w:tcPr>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558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F-4</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360"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rPr>
              <w:t>Share-based</w:t>
            </w:r>
          </w:p>
        </w:tc>
        <w:tc>
          <w:tcPr>
            <w:tcW w:w="1620" w:type="dxa"/>
            <w:vAlign w:val="bottom"/>
          </w:tcPr>
          <w:p>
            <w:pPr>
              <w:jc w:val="center"/>
              <w:ind w:right="153"/>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580" w:type="dxa"/>
            <w:vAlign w:val="bottom"/>
          </w:tcPr>
          <w:p>
            <w:pPr>
              <w:jc w:val="center"/>
              <w:ind w:right="92"/>
              <w:spacing w:after="0"/>
              <w:rPr>
                <w:sz w:val="20"/>
                <w:szCs w:val="20"/>
                <w:color w:val="auto"/>
              </w:rPr>
            </w:pPr>
            <w:r>
              <w:rPr>
                <w:rFonts w:ascii="Arial" w:cs="Arial" w:eastAsia="Arial" w:hAnsi="Arial"/>
                <w:sz w:val="14"/>
                <w:szCs w:val="14"/>
                <w:b w:val="1"/>
                <w:bCs w:val="1"/>
                <w:color w:val="auto"/>
              </w:rPr>
              <w:t>Share</w:t>
            </w:r>
          </w:p>
        </w:tc>
        <w:tc>
          <w:tcPr>
            <w:tcW w:w="1460" w:type="dxa"/>
            <w:vAlign w:val="bottom"/>
          </w:tcPr>
          <w:p>
            <w:pPr>
              <w:jc w:val="center"/>
              <w:ind w:right="132"/>
              <w:spacing w:after="0"/>
              <w:rPr>
                <w:sz w:val="20"/>
                <w:szCs w:val="20"/>
                <w:color w:val="auto"/>
              </w:rPr>
            </w:pPr>
            <w:r>
              <w:rPr>
                <w:rFonts w:ascii="Arial" w:cs="Arial" w:eastAsia="Arial" w:hAnsi="Arial"/>
                <w:sz w:val="14"/>
                <w:szCs w:val="14"/>
                <w:b w:val="1"/>
                <w:bCs w:val="1"/>
                <w:color w:val="auto"/>
              </w:rPr>
              <w:t>Share</w:t>
            </w: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Payment</w:t>
            </w:r>
          </w:p>
        </w:tc>
        <w:tc>
          <w:tcPr>
            <w:tcW w:w="1620" w:type="dxa"/>
            <w:vAlign w:val="bottom"/>
          </w:tcPr>
          <w:p>
            <w:pPr>
              <w:jc w:val="center"/>
              <w:ind w:right="153"/>
              <w:spacing w:after="0"/>
              <w:rPr>
                <w:sz w:val="20"/>
                <w:szCs w:val="20"/>
                <w:color w:val="auto"/>
              </w:rPr>
            </w:pPr>
            <w:r>
              <w:rPr>
                <w:rFonts w:ascii="Arial" w:cs="Arial" w:eastAsia="Arial" w:hAnsi="Arial"/>
                <w:sz w:val="14"/>
                <w:szCs w:val="14"/>
                <w:b w:val="1"/>
                <w:bCs w:val="1"/>
                <w:color w:val="auto"/>
              </w:rPr>
              <w:t>Accumulated</w:t>
            </w:r>
          </w:p>
        </w:tc>
        <w:tc>
          <w:tcPr>
            <w:tcW w:w="120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tcPr>
          <w:p>
            <w:pPr>
              <w:spacing w:after="0"/>
              <w:rPr>
                <w:sz w:val="17"/>
                <w:szCs w:val="17"/>
                <w:color w:val="auto"/>
              </w:rPr>
            </w:pPr>
          </w:p>
        </w:tc>
        <w:tc>
          <w:tcPr>
            <w:tcW w:w="15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Capital</w:t>
            </w:r>
          </w:p>
        </w:tc>
        <w:tc>
          <w:tcPr>
            <w:tcW w:w="14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Premium</w:t>
            </w: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Reserve</w:t>
            </w:r>
          </w:p>
        </w:tc>
        <w:tc>
          <w:tcPr>
            <w:tcW w:w="16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Losses</w:t>
            </w: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Equity</w:t>
            </w:r>
          </w:p>
        </w:tc>
      </w:tr>
      <w:tr>
        <w:trPr>
          <w:trHeight w:val="264"/>
        </w:trPr>
        <w:tc>
          <w:tcPr>
            <w:tcW w:w="4120" w:type="dxa"/>
            <w:vAlign w:val="bottom"/>
          </w:tcPr>
          <w:p>
            <w:pPr>
              <w:spacing w:after="0"/>
              <w:rPr>
                <w:sz w:val="22"/>
                <w:szCs w:val="22"/>
                <w:color w:val="auto"/>
              </w:rPr>
            </w:pPr>
          </w:p>
        </w:tc>
        <w:tc>
          <w:tcPr>
            <w:tcW w:w="1580" w:type="dxa"/>
            <w:vAlign w:val="bottom"/>
          </w:tcPr>
          <w:p>
            <w:pPr>
              <w:jc w:val="center"/>
              <w:ind w:right="92"/>
              <w:spacing w:after="0"/>
              <w:rPr>
                <w:sz w:val="20"/>
                <w:szCs w:val="20"/>
                <w:color w:val="auto"/>
              </w:rPr>
            </w:pPr>
            <w:r>
              <w:rPr>
                <w:rFonts w:ascii="Arial" w:cs="Arial" w:eastAsia="Arial" w:hAnsi="Arial"/>
                <w:sz w:val="14"/>
                <w:szCs w:val="14"/>
                <w:b w:val="1"/>
                <w:bCs w:val="1"/>
                <w:color w:val="auto"/>
              </w:rPr>
              <w:t>£'000s</w:t>
            </w:r>
          </w:p>
        </w:tc>
        <w:tc>
          <w:tcPr>
            <w:tcW w:w="1460" w:type="dxa"/>
            <w:vAlign w:val="bottom"/>
          </w:tcPr>
          <w:p>
            <w:pPr>
              <w:jc w:val="center"/>
              <w:ind w:right="132"/>
              <w:spacing w:after="0"/>
              <w:rPr>
                <w:sz w:val="20"/>
                <w:szCs w:val="20"/>
                <w:color w:val="auto"/>
              </w:rPr>
            </w:pPr>
            <w:r>
              <w:rPr>
                <w:rFonts w:ascii="Arial" w:cs="Arial" w:eastAsia="Arial" w:hAnsi="Arial"/>
                <w:sz w:val="14"/>
                <w:szCs w:val="14"/>
                <w:b w:val="1"/>
                <w:bCs w:val="1"/>
                <w:color w:val="auto"/>
              </w:rPr>
              <w:t>£'000s</w:t>
            </w: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£'000s</w:t>
            </w:r>
          </w:p>
        </w:tc>
        <w:tc>
          <w:tcPr>
            <w:tcW w:w="1620" w:type="dxa"/>
            <w:vAlign w:val="bottom"/>
          </w:tcPr>
          <w:p>
            <w:pPr>
              <w:jc w:val="center"/>
              <w:ind w:right="173"/>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right"/>
              <w:ind w:right="372"/>
              <w:spacing w:after="0"/>
              <w:rPr>
                <w:sz w:val="20"/>
                <w:szCs w:val="20"/>
                <w:color w:val="auto"/>
              </w:rPr>
            </w:pPr>
            <w:r>
              <w:rPr>
                <w:rFonts w:ascii="Arial" w:cs="Arial" w:eastAsia="Arial" w:hAnsi="Arial"/>
                <w:sz w:val="14"/>
                <w:szCs w:val="14"/>
                <w:b w:val="1"/>
                <w:bCs w:val="1"/>
                <w:color w:val="auto"/>
              </w:rPr>
              <w:t>£'000s</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5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1,010</w:t>
            </w:r>
          </w:p>
        </w:tc>
        <w:tc>
          <w:tcPr>
            <w:tcW w:w="1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26,650</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1,526</w:t>
            </w:r>
          </w:p>
        </w:tc>
        <w:tc>
          <w:tcPr>
            <w:tcW w:w="16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(23,752)</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5,434</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(5,019)</w:t>
            </w:r>
          </w:p>
        </w:tc>
        <w:tc>
          <w:tcPr>
            <w:tcW w:w="1200" w:type="dxa"/>
            <w:vAlign w:val="bottom"/>
          </w:tcPr>
          <w:p>
            <w:pPr>
              <w:jc w:val="right"/>
              <w:spacing w:after="0"/>
              <w:rPr>
                <w:sz w:val="20"/>
                <w:szCs w:val="20"/>
                <w:color w:val="auto"/>
              </w:rPr>
            </w:pPr>
            <w:r>
              <w:rPr>
                <w:rFonts w:ascii="Arial" w:cs="Arial" w:eastAsia="Arial" w:hAnsi="Arial"/>
                <w:sz w:val="18"/>
                <w:szCs w:val="18"/>
                <w:color w:val="auto"/>
              </w:rPr>
              <w:t>(5,019)</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5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43</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year</w:t>
            </w:r>
          </w:p>
        </w:tc>
        <w:tc>
          <w:tcPr>
            <w:tcW w:w="1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(4,976)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New share capital issued</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1,556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34,151</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35,707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 on share capital issued</w:t>
            </w:r>
          </w:p>
        </w:tc>
        <w:tc>
          <w:tcPr>
            <w:tcW w:w="1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(2,325)</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Share options exercised during the year</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50</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payments</w:t>
            </w:r>
          </w:p>
        </w:tc>
        <w:tc>
          <w:tcPr>
            <w:tcW w:w="15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577</w:t>
            </w:r>
          </w:p>
        </w:tc>
        <w:tc>
          <w:tcPr>
            <w:tcW w:w="16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2,568</w:t>
            </w:r>
          </w:p>
        </w:tc>
        <w:tc>
          <w:tcPr>
            <w:tcW w:w="1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58,526</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2,103</w:t>
            </w:r>
          </w:p>
        </w:tc>
        <w:tc>
          <w:tcPr>
            <w:tcW w:w="1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(28,728)</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34,469</w:t>
            </w: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5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2,568</w:t>
            </w:r>
          </w:p>
        </w:tc>
        <w:tc>
          <w:tcPr>
            <w:tcW w:w="1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58,526</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2,103</w:t>
            </w:r>
          </w:p>
        </w:tc>
        <w:tc>
          <w:tcPr>
            <w:tcW w:w="16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(28,728)</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34,469</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3"/>
              <w:spacing w:after="0"/>
              <w:rPr>
                <w:sz w:val="20"/>
                <w:szCs w:val="20"/>
                <w:color w:val="auto"/>
              </w:rPr>
            </w:pPr>
            <w:r>
              <w:rPr>
                <w:rFonts w:ascii="Arial" w:cs="Arial" w:eastAsia="Arial" w:hAnsi="Arial"/>
                <w:sz w:val="18"/>
                <w:szCs w:val="18"/>
                <w:color w:val="auto"/>
              </w:rPr>
              <w:t>(20,497)</w:t>
            </w:r>
          </w:p>
        </w:tc>
        <w:tc>
          <w:tcPr>
            <w:tcW w:w="1200" w:type="dxa"/>
            <w:vAlign w:val="bottom"/>
          </w:tcPr>
          <w:p>
            <w:pPr>
              <w:jc w:val="right"/>
              <w:spacing w:after="0"/>
              <w:rPr>
                <w:sz w:val="20"/>
                <w:szCs w:val="20"/>
                <w:color w:val="auto"/>
              </w:rPr>
            </w:pPr>
            <w:r>
              <w:rPr>
                <w:rFonts w:ascii="Arial" w:cs="Arial" w:eastAsia="Arial" w:hAnsi="Arial"/>
                <w:sz w:val="18"/>
                <w:szCs w:val="18"/>
                <w:color w:val="auto"/>
              </w:rPr>
              <w:t>(20,497)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year:</w:t>
            </w:r>
          </w:p>
        </w:tc>
        <w:tc>
          <w:tcPr>
            <w:tcW w:w="15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year</w:t>
            </w:r>
          </w:p>
        </w:tc>
        <w:tc>
          <w:tcPr>
            <w:tcW w:w="1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(20,526)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New share capital issued</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2,677</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67,648</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70,325</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 on share capital issued</w:t>
            </w:r>
          </w:p>
        </w:tc>
        <w:tc>
          <w:tcPr>
            <w:tcW w:w="1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(7,453)</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Share options exercised during the year</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141</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payments</w:t>
            </w:r>
          </w:p>
        </w:tc>
        <w:tc>
          <w:tcPr>
            <w:tcW w:w="15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2,919</w:t>
            </w:r>
          </w:p>
        </w:tc>
        <w:tc>
          <w:tcPr>
            <w:tcW w:w="16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2,919</w:t>
            </w:r>
          </w:p>
        </w:tc>
      </w:tr>
      <w:tr>
        <w:trPr>
          <w:trHeight w:val="29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5,251</w:t>
            </w:r>
          </w:p>
        </w:tc>
        <w:tc>
          <w:tcPr>
            <w:tcW w:w="1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118,862</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5,022</w:t>
            </w:r>
          </w:p>
        </w:tc>
        <w:tc>
          <w:tcPr>
            <w:tcW w:w="1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(49,254)</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79,881</w:t>
            </w: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5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5,251</w:t>
            </w:r>
          </w:p>
        </w:tc>
        <w:tc>
          <w:tcPr>
            <w:tcW w:w="1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118,862</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5,022</w:t>
            </w:r>
          </w:p>
        </w:tc>
        <w:tc>
          <w:tcPr>
            <w:tcW w:w="16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(49,254)</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79,881</w:t>
            </w:r>
          </w:p>
        </w:tc>
      </w:tr>
    </w:tbl>
    <w:p>
      <w:pPr>
        <w:spacing w:after="0" w:line="40" w:lineRule="exact"/>
        <w:rPr>
          <w:sz w:val="20"/>
          <w:szCs w:val="20"/>
          <w:color w:val="auto"/>
        </w:rPr>
      </w:pPr>
    </w:p>
    <w:p>
      <w:pPr>
        <w:sectPr>
          <w:pgSz w:w="11900" w:h="16838" w:orient="portrait"/>
          <w:cols w:equalWidth="0" w:num="1">
            <w:col w:w="11420"/>
          </w:cols>
          <w:pgMar w:left="240" w:top="360" w:right="239" w:bottom="1440" w:gutter="0" w:footer="0" w:header="0"/>
        </w:sectPr>
      </w:pPr>
    </w:p>
    <w:p>
      <w:pPr>
        <w:ind w:left="40"/>
        <w:spacing w:after="0"/>
        <w:rPr>
          <w:sz w:val="20"/>
          <w:szCs w:val="20"/>
          <w:color w:val="auto"/>
        </w:rPr>
      </w:pPr>
      <w:r>
        <w:rPr>
          <w:rFonts w:ascii="Arial" w:cs="Arial" w:eastAsia="Arial" w:hAnsi="Arial"/>
          <w:sz w:val="18"/>
          <w:szCs w:val="18"/>
          <w:color w:val="auto"/>
        </w:rPr>
        <w:t>Loss for the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for the year:</w:t>
      </w:r>
    </w:p>
    <w:p>
      <w:pPr>
        <w:spacing w:after="0" w:line="50"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Exchange differences on translating foreign operations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comprehensive loss for the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share capital issued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payments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(19,901)</w:t>
            </w:r>
          </w:p>
        </w:tc>
        <w:tc>
          <w:tcPr>
            <w:tcW w:w="1120" w:type="dxa"/>
            <w:vAlign w:val="bottom"/>
          </w:tcPr>
          <w:p>
            <w:pPr>
              <w:jc w:val="right"/>
              <w:spacing w:after="0"/>
              <w:rPr>
                <w:sz w:val="20"/>
                <w:szCs w:val="20"/>
                <w:color w:val="auto"/>
              </w:rPr>
            </w:pPr>
            <w:r>
              <w:rPr>
                <w:rFonts w:ascii="Arial" w:cs="Arial" w:eastAsia="Arial" w:hAnsi="Arial"/>
                <w:sz w:val="18"/>
                <w:szCs w:val="18"/>
                <w:color w:val="auto"/>
              </w:rPr>
              <w:t>(19,901)</w:t>
            </w:r>
          </w:p>
        </w:tc>
      </w:tr>
      <w:tr>
        <w:trPr>
          <w:trHeight w:val="736"/>
        </w:trPr>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(19,863)</w:t>
            </w:r>
          </w:p>
        </w:tc>
        <w:tc>
          <w:tcPr>
            <w:tcW w:w="1120" w:type="dxa"/>
            <w:vAlign w:val="bottom"/>
          </w:tcPr>
          <w:p>
            <w:pPr>
              <w:jc w:val="right"/>
              <w:spacing w:after="0"/>
              <w:rPr>
                <w:sz w:val="20"/>
                <w:szCs w:val="20"/>
                <w:color w:val="auto"/>
              </w:rPr>
            </w:pPr>
            <w:r>
              <w:rPr>
                <w:rFonts w:ascii="Arial" w:cs="Arial" w:eastAsia="Arial" w:hAnsi="Arial"/>
                <w:sz w:val="18"/>
                <w:szCs w:val="18"/>
                <w:color w:val="auto"/>
              </w:rPr>
              <w:t>(19,863)</w:t>
            </w:r>
          </w:p>
        </w:tc>
      </w:tr>
      <w:tr>
        <w:trPr>
          <w:trHeight w:val="270"/>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2,901</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2,901</w:t>
            </w:r>
          </w:p>
        </w:tc>
      </w:tr>
      <w:tr>
        <w:trPr>
          <w:trHeight w:val="250"/>
        </w:trPr>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5,266</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118,862</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7,923</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(69,117)</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62,934</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-1183005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-719455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-368300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500" w:space="620"/>
            <w:col w:w="7300"/>
          </w:cols>
          <w:pgMar w:left="240" w:top="360" w:right="239" w:bottom="1440" w:gutter="0" w:footer="0" w:header="0"/>
          <w:type w:val="continuous"/>
        </w:sectPr>
      </w:pPr>
    </w:p>
    <w:p>
      <w:pPr>
        <w:ind w:right="60"/>
        <w:spacing w:after="0" w:line="277" w:lineRule="auto"/>
        <w:rPr>
          <w:sz w:val="20"/>
          <w:szCs w:val="20"/>
          <w:color w:val="auto"/>
        </w:rPr>
      </w:pPr>
      <w:r>
        <w:rPr>
          <w:rFonts w:ascii="Arial" w:cs="Arial" w:eastAsia="Arial" w:hAnsi="Arial"/>
          <w:sz w:val="18"/>
          <w:szCs w:val="18"/>
          <w:color w:val="auto"/>
        </w:rPr>
        <w:t>The currency translation reserve for 2018, 2017, and 2016, is not considered material and as such is not presented in a separate reserve but is included in the total accumulated losses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0"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1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£'000s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29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(25,203)</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(5,973)</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4020" w:type="dxa"/>
            <w:vAlign w:val="bottom"/>
            <w:gridSpan w:val="2"/>
          </w:tcPr>
          <w:p>
            <w:pPr>
              <w:jc w:val="right"/>
              <w:ind w:right="55"/>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794</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40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Increase in prepayments and other receivables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trade and other payables</w:t>
            </w:r>
          </w:p>
        </w:tc>
        <w:tc>
          <w:tcPr>
            <w:tcW w:w="40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1,068</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4020" w:type="dxa"/>
            <w:vAlign w:val="bottom"/>
            <w:gridSpan w:val="2"/>
          </w:tcPr>
          <w:p>
            <w:pPr>
              <w:jc w:val="right"/>
              <w:ind w:right="5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disposal of property plant and equipment</w:t>
            </w:r>
          </w:p>
        </w:tc>
        <w:tc>
          <w:tcPr>
            <w:tcW w:w="29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29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inflow from taxation</w:t>
            </w:r>
          </w:p>
        </w:tc>
        <w:tc>
          <w:tcPr>
            <w:tcW w:w="29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1,533</w:t>
            </w: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(18,111)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298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w:t>
            </w:r>
          </w:p>
        </w:tc>
        <w:tc>
          <w:tcPr>
            <w:tcW w:w="40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Purchase of plant and equipment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Purchase of short term investments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(59,700)</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(54,465)</w:t>
            </w:r>
          </w:p>
        </w:tc>
        <w:tc>
          <w:tcPr>
            <w:tcW w:w="1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of short term investments</w:t>
            </w:r>
          </w:p>
        </w:tc>
        <w:tc>
          <w:tcPr>
            <w:tcW w:w="298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64,366</w:t>
            </w:r>
          </w:p>
        </w:tc>
        <w:tc>
          <w:tcPr>
            <w:tcW w:w="12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Net cash generated from / (used in) investing activities</w:t>
            </w:r>
          </w:p>
        </w:tc>
        <w:tc>
          <w:tcPr>
            <w:tcW w:w="4020" w:type="dxa"/>
            <w:vAlign w:val="bottom"/>
            <w:gridSpan w:val="2"/>
          </w:tcPr>
          <w:p>
            <w:pPr>
              <w:jc w:val="right"/>
              <w:ind w:right="55"/>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(49,469)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298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Gross proceeds from issue of shares and warrants</w:t>
            </w:r>
          </w:p>
        </w:tc>
        <w:tc>
          <w:tcPr>
            <w:tcW w:w="298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44,750</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proceeds from the April 2017 Global Offering</w:t>
            </w:r>
          </w:p>
        </w:tc>
        <w:tc>
          <w:tcPr>
            <w:tcW w:w="29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70,032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Transaction costs on issue of shares and warrants</w:t>
            </w:r>
          </w:p>
        </w:tc>
        <w:tc>
          <w:tcPr>
            <w:tcW w:w="298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 on April 2017 Global Offering</w:t>
            </w:r>
          </w:p>
        </w:tc>
        <w:tc>
          <w:tcPr>
            <w:tcW w:w="298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generated from financing activities</w:t>
            </w:r>
          </w:p>
        </w:tc>
        <w:tc>
          <w:tcPr>
            <w:tcW w:w="29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63,246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41,204</w:t>
            </w: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35,577</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year</w:t>
            </w:r>
          </w:p>
        </w:tc>
        <w:tc>
          <w:tcPr>
            <w:tcW w:w="4020" w:type="dxa"/>
            <w:vAlign w:val="bottom"/>
            <w:gridSpan w:val="2"/>
          </w:tcPr>
          <w:p>
            <w:pPr>
              <w:jc w:val="right"/>
              <w:ind w:right="55"/>
              <w:spacing w:after="0"/>
              <w:rPr>
                <w:sz w:val="20"/>
                <w:szCs w:val="20"/>
                <w:color w:val="auto"/>
              </w:rPr>
            </w:pPr>
            <w:r>
              <w:rPr>
                <w:rFonts w:ascii="Arial" w:cs="Arial" w:eastAsia="Arial" w:hAnsi="Arial"/>
                <w:sz w:val="18"/>
                <w:szCs w:val="18"/>
                <w:color w:val="auto"/>
              </w:rPr>
              <w:t>31,443</w:t>
            </w:r>
          </w:p>
        </w:tc>
        <w:tc>
          <w:tcPr>
            <w:tcW w:w="1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39,785</w:t>
            </w:r>
          </w:p>
        </w:tc>
        <w:tc>
          <w:tcPr>
            <w:tcW w:w="1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3,524</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98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r>
      <w:tr>
        <w:trPr>
          <w:trHeight w:val="250"/>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4020" w:type="dxa"/>
            <w:vAlign w:val="bottom"/>
            <w:gridSpan w:val="2"/>
          </w:tcPr>
          <w:p>
            <w:pPr>
              <w:jc w:val="right"/>
              <w:ind w:right="55"/>
              <w:spacing w:after="0"/>
              <w:rPr>
                <w:sz w:val="20"/>
                <w:szCs w:val="20"/>
                <w:color w:val="auto"/>
              </w:rPr>
            </w:pPr>
            <w:r>
              <w:rPr>
                <w:rFonts w:ascii="Arial" w:cs="Arial" w:eastAsia="Arial" w:hAnsi="Arial"/>
                <w:sz w:val="18"/>
                <w:szCs w:val="18"/>
                <w:color w:val="auto"/>
              </w:rPr>
              <w:t>19,784</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31,443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39,785</w:t>
            </w:r>
          </w:p>
        </w:tc>
      </w:tr>
      <w:tr>
        <w:trPr>
          <w:trHeight w:val="20"/>
        </w:trPr>
        <w:tc>
          <w:tcPr>
            <w:tcW w:w="5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5140" w:type="dxa"/>
            <w:vAlign w:val="bottom"/>
          </w:tcPr>
          <w:p>
            <w:pPr>
              <w:spacing w:after="0"/>
              <w:rPr>
                <w:sz w:val="24"/>
                <w:szCs w:val="24"/>
                <w:color w:val="auto"/>
              </w:rPr>
            </w:pPr>
          </w:p>
        </w:tc>
        <w:tc>
          <w:tcPr>
            <w:tcW w:w="4140" w:type="dxa"/>
            <w:vAlign w:val="bottom"/>
            <w:gridSpan w:val="3"/>
          </w:tcPr>
          <w:p>
            <w:pPr>
              <w:ind w:left="44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301" w:lineRule="exact"/>
        <w:rPr>
          <w:sz w:val="20"/>
          <w:szCs w:val="20"/>
          <w:color w:val="auto"/>
        </w:rPr>
      </w:pPr>
    </w:p>
    <w:p>
      <w:pPr>
        <w:ind w:right="1160"/>
        <w:spacing w:after="0" w:line="262" w:lineRule="auto"/>
        <w:rPr>
          <w:sz w:val="20"/>
          <w:szCs w:val="20"/>
          <w:color w:val="auto"/>
        </w:rPr>
      </w:pPr>
      <w:r>
        <w:rPr>
          <w:rFonts w:ascii="Arial" w:cs="Arial" w:eastAsia="Arial" w:hAnsi="Arial"/>
          <w:sz w:val="18"/>
          <w:szCs w:val="18"/>
          <w:color w:val="auto"/>
        </w:rPr>
        <w:t>Verona Pharma plc and its subsidiaries (the "Company") are a clinical-stage biopharmaceutical group focused on developing and commercializing innovative therapeutics for the treatment of respiratory diseases with significant unmet medical needs.</w:t>
      </w:r>
    </w:p>
    <w:p>
      <w:pPr>
        <w:spacing w:after="0" w:line="25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Company is a public limited company, which is dual listed on the AIM, a market of the London Stock Exchange, and The Nasdaq Global Market. The company is incorporated and domiciled in the United Kingdom. The address of the registered office is 1 Central Square, Cardiff, CF10 1FS, 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14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On February 10, 2017, the Company effected a 50-for-1 consolidation of its shares. All references to ordinary shares, options and warrants, as well as share, per share and related information in these consolidated financial statements have been adjusted to reflect the consolidation as if it had occurred at the beginning of the earliest period presented.</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April 26, 2017, the Company announced the closing of its global offering of an aggregate of 47,399,001 new ordinary shares, consisting of the initial public offering in the United States of 5,768,000 American Depositary Shares (“ADSs”) at a price of $13.50 per ADS and the private placement in Europe of 1,255,001 ordinary shares at a price of £1.32 per ordinary share, for gross proceeds of $80 million (the “Global Offering”). Each ADS offered represents eight ordinary shares of the Company. The ordinary shares offered were allotted and issued in a concurrent private placement in Europe and other countries outside of the United States and Canada.</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addition, the Chairman of Verona Pharma’s board of directors, Dr. David Ebsworth, and an existing shareholder agreed to subscribe for 254,099 new ordinary shares at a price of £1.32 per ordinary share in a shareholder private placement separate from the Global Offering (the “Shareholder Private Placement”), contingent on and concurrent with the Global Offering and generating additional gross proceeds of £0.3 million.</w:t>
      </w:r>
    </w:p>
    <w:p>
      <w:pPr>
        <w:spacing w:after="0" w:line="2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May 15 and May 23, 2017, pursuant to the Global Offering, the underwriters purchased an additional 733,738 ADSs, representing 5,869,904 ordinary shares, at a price of $13.50 per ADS, for additional gross proceeds of $9.9 million bringing the total gross proceeds in the Global Offering to $89.9 million (£70.0 million). Including the Shareholder Private Placement, the total gross proceeds of the capital raising amounted to $90.3 million (£70.3 million).</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ADSs trade on The Nasdaq Global Market under the symbol “VRNA” and Verona Pharma’s ordinary shares trade on AIM under the symbol “VRP”.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principal accounting policies, all of which have been applied consistently throughout the year, is set out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3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consolidated financial statements of the Company have been prepared in accordance with International Financial Reporting Standards ("IFRSs") as issued by the International Accounting Standards Board and IFRS Interpretations Committee applicable to companies reporting under IFRS.</w:t>
      </w:r>
    </w:p>
    <w:p>
      <w:pPr>
        <w:spacing w:after="0" w:line="25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consolidated financial statements have been prepared under the historical cost convention, with the exception of derivative financial instruments which have been measured at fair value.</w:t>
      </w:r>
    </w:p>
    <w:p>
      <w:pPr>
        <w:spacing w:after="0" w:line="25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judgement in the process of applying the Company's accounting policies. The areas involving a higher degree of judgement or complexity, or areas where assumptions and estimates are significant to the consolidated financial statements are disclosed in note 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year ended December 31, 2018, the Company had a loss of £19.9 million (2017: £20.5 million). As of December 31, 2018, the Company had net assets of £62.9 million (2017: £79.9 million) of which £64.7 million (2017: £80.3 million) was cash and cash equivalents and short term investments.</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operation of the Company is currently being financed from funds that the Company raised from share placings. In April and May 2017, the Company raised $90.3 million (£70.3 million) from the Global Offering and the Shareholder Private Placement. On July 29, 2016, the Company raised gross proceeds of £44.7 million from a placing, subscription and open offer (the "July 2016 Placement"). These funds are being used primarily to support the development of ensifentrine in chronic obstructive pulmonary disease ("COPD") and other chronic respiratory diseases, as well as corporate and general administrative expenditures.</w:t>
      </w:r>
    </w:p>
    <w:p>
      <w:pPr>
        <w:spacing w:after="0" w:line="26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Directors believe that the Company has sufficient funds to complete the current clinical trials, to cover corporate and general administration costs and for it to comply with all commitments for at least 12 months from the end of the reporting date and, accordingly, are satisfied that the going concern basis remains appropriate for the preparation of these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3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and the fair value of any pre-existing equity interest in the subsidiary. The excess of the cost of acquisition over the fair value of the Company's share of the identifiable net assets acquired is recorded as goodwill. Goodwill arising on acquisitions is capitalized and is subject to an impairment review, both annually and when there are indications that the carrying value may not be recoverable.</w:t>
      </w:r>
    </w:p>
    <w:p>
      <w:pPr>
        <w:spacing w:after="0" w:line="2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30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These consolidated financial statements include the financial statements of Verona Pharma plc and its wholly owned subsidiaries Verona Pharma, Inc. and Rhinopharma. The acquisition method of accounting was used to account for the acquisition of Rhinopharma.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unrealized gains on transactions between group companies are eliminated.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 and Rhinopharma adopt the same accounting policies as the Company.</w:t>
      </w:r>
    </w:p>
    <w:p>
      <w:pPr>
        <w:sectPr>
          <w:pgSz w:w="11900" w:h="16838" w:orient="portrait"/>
          <w:cols w:equalWidth="0" w:num="1">
            <w:col w:w="11400"/>
          </w:cols>
          <w:pgMar w:left="240" w:top="140"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140" w:right="25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Foreign currency translation</w:t>
      </w:r>
    </w:p>
    <w:p>
      <w:pPr>
        <w:spacing w:after="0" w:line="30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Items included in the Company's consolidated financial statements are measured using the currency of the primary economic environment in which the entity operates ("the functional currency"). The consolidated financial statements are presented in pounds sterling ("£"), which is the functional and presentational currency of the Company.</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26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assets and liabilities of foreign operations are translated into pounds sterling at the rate of exchange ruling at the balance sheet date. Income and expenses are translated at weighted average exchange rates for the period. The exchange differences arising on translation for consolidation are recognized in Other 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Cash and cash equivalents</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Cash and cash equivalents includes cash in hand, deposits held at call with banks and other short-term highly liquid investments with original maturities of three months or less.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Deferred taxation</w:t>
      </w:r>
    </w:p>
    <w:p>
      <w:pPr>
        <w:spacing w:after="0" w:line="3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realized or the deferred liability is settled.</w:t>
      </w:r>
    </w:p>
    <w:p>
      <w:pPr>
        <w:spacing w:after="0" w:line="2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Deferred tax assets are recognized to the extent that it is probable that the future taxable profit will be available against which the temporary differences can be utilized.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Research and development costs</w:t>
      </w:r>
    </w:p>
    <w:p>
      <w:pPr>
        <w:spacing w:after="0" w:line="30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Capitalization of expenditure on product development commences from the point at which technical feasibility and commercial viability of the product can be demonstrated and the Company is satisfied that it is probable that future economic benefits will result from the product once completed. No such costs have been capitalized to date, given the early stage of the Company's product candidate development.</w:t>
      </w:r>
    </w:p>
    <w:p>
      <w:pPr>
        <w:spacing w:after="0" w:line="256"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Expenditure on research and development activities that do not meet the above criteria is charged to the Consolidated Statement of Comprehensive Income as incurred.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Property, plant and equipment</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so as to write off the cost less their estimated residual values, on a straight-line basis over the expected useful economic lives of the assets concerned. The principal annual periods used for this purpose are:</w:t>
      </w:r>
    </w:p>
    <w:p>
      <w:pPr>
        <w:sectPr>
          <w:pgSz w:w="11900" w:h="16838" w:orient="portrait"/>
          <w:cols w:equalWidth="0" w:num="1">
            <w:col w:w="11380"/>
          </w:cols>
          <w:pgMar w:left="240" w:top="140" w:right="279" w:bottom="1440" w:gutter="0" w:footer="0" w:header="0"/>
        </w:sect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Computer hardware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61" w:lineRule="exact"/>
        <w:rPr>
          <w:sz w:val="20"/>
          <w:szCs w:val="20"/>
          <w:color w:val="auto"/>
        </w:rPr>
      </w:pPr>
    </w:p>
    <w:p>
      <w:pPr>
        <w:sectPr>
          <w:pgSz w:w="11900" w:h="16838" w:orient="portrait"/>
          <w:cols w:equalWidth="0" w:num="2">
            <w:col w:w="9260" w:space="720"/>
            <w:col w:w="1400"/>
          </w:cols>
          <w:pgMar w:left="240" w:top="14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years</w:t>
      </w:r>
    </w:p>
    <w:p>
      <w:pPr>
        <w:spacing w:after="0" w:line="200" w:lineRule="exact"/>
        <w:rPr>
          <w:sz w:val="20"/>
          <w:szCs w:val="20"/>
          <w:color w:val="auto"/>
        </w:rPr>
      </w:pPr>
    </w:p>
    <w:p>
      <w:pPr>
        <w:sectPr>
          <w:pgSz w:w="11900" w:h="16838" w:orient="portrait"/>
          <w:cols w:equalWidth="0" w:num="2">
            <w:col w:w="9260" w:space="720"/>
            <w:col w:w="1400"/>
          </w:cols>
          <w:pgMar w:left="240" w:top="140" w:right="279" w:bottom="1440" w:gutter="0" w:footer="0" w:header="0"/>
          <w:type w:val="continuous"/>
        </w:sectPr>
      </w:pP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80"/>
          </w:cols>
          <w:pgMar w:left="240" w:top="140" w:right="27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Intangible assets and goodwill</w:t>
      </w:r>
    </w:p>
    <w:p>
      <w:pPr>
        <w:spacing w:after="0" w:line="301"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Goodwill</w:t>
      </w:r>
    </w:p>
    <w:p>
      <w:pPr>
        <w:spacing w:after="0" w:line="27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Goodwill arises on the acquisition of subsidiaries and represents the excess of the consideration transferred over the fair value of the identifiable net assets acquired.</w:t>
      </w:r>
    </w:p>
    <w:p>
      <w:pPr>
        <w:spacing w:after="0" w:line="250"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Patents</w:t>
      </w:r>
    </w:p>
    <w:p>
      <w:pPr>
        <w:spacing w:after="0" w:line="27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Patent costs associated with the preparation, filing, and obtaining of patents are capitalized and amortized on a straight-line basis over the estimated useful lives of the patents of ten years.</w:t>
      </w:r>
    </w:p>
    <w:p>
      <w:pPr>
        <w:spacing w:after="0" w:line="250"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Computer software</w:t>
      </w:r>
    </w:p>
    <w:p>
      <w:pPr>
        <w:spacing w:after="0" w:line="27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Amortization is calculated so as to write off the cost less estimated residual values, on a straight-line basis over the expected useful economic life of two years.</w:t>
      </w:r>
    </w:p>
    <w:p>
      <w:pPr>
        <w:spacing w:after="0" w:line="250"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In-process research &amp; development ("IP R&amp;D")</w:t>
      </w:r>
    </w:p>
    <w:p>
      <w:pPr>
        <w:spacing w:after="0" w:line="27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IP R&amp;D assets acquired through business combinations which, at the time of acquisition, have not reached technical feasibility are recognized at fair value. The amounts are capitalized and are not amortized but are subject to impairment testing until completion, abandonment of the projects or when the research findings are commercialized through a revenue generating project. The Company determines whether intangible assets (including goodwill) are impaired on an annual basis or where there is an impairment indicator and this requires the estimation of the higher of fair value less costs of disposal and value in use. Upon successful completion or commercialization of the relevant project, IP R&amp;D will be reclassified to developed technology. The Company will make a determination as to the then useful life of the developed technology, generally determined by the period in which the substantial majority of the cash flows are expected to be generated, and begin amortization. In case of abandonment the asset will be impaired.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Impairment of intangible assets, goodwill and non-financial assets</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Goodwill and intangible assets that have an indefinite useful life and intangible assets not ready to use are not subject to amortization. These assets are tested annually for impairment or more frequently if impairment indicators exist. Non-financial assets that are subject to amortization are reviewed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w:t>
      </w:r>
    </w:p>
    <w:p>
      <w:pPr>
        <w:spacing w:after="0" w:line="26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purpose of assessing impairment, assets are grouped at the lowest levels for which there are separately identifiable cash flows, which are largely independent of the cash flows from other assets or group of assets (cash generating units "CGUs").</w:t>
      </w:r>
    </w:p>
    <w:p>
      <w:pPr>
        <w:spacing w:after="0" w:line="25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Goodwill is allocated to CGUs for the purpose of impairment testing. The allocation is made to those CGUs or groups of CGUs that are expected to benefit from the business combination in which the goodwill arose. The units or group of units are identified at the lowest level at which goodwill is monitored for internal management purposes, being the operating segments.</w:t>
      </w:r>
    </w:p>
    <w:p>
      <w:pPr>
        <w:spacing w:after="0" w:line="2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 is a single cash generating unit. Goodwill that arose on the acquisition of Rhinopharma has been thus allocated to this single CGU. IP R&amp;D is tested for impairment at this level as well, since it is the lowest level at which independent cash flows can be identified.</w:t>
      </w:r>
    </w:p>
    <w:p>
      <w:pPr>
        <w:spacing w:after="0" w:line="25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Non-financial assets, other than goodwill, that have been previously impaired are reviewed for possible reversal of the impairment at each subsequent reporting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Employee Benefits</w:t>
      </w:r>
    </w:p>
    <w:p>
      <w:pPr>
        <w:spacing w:after="0" w:line="279" w:lineRule="exact"/>
        <w:rPr>
          <w:sz w:val="20"/>
          <w:szCs w:val="20"/>
          <w:color w:val="auto"/>
        </w:rPr>
      </w:pPr>
    </w:p>
    <w:p>
      <w:pPr>
        <w:ind w:left="820" w:hanging="488"/>
        <w:spacing w:after="0"/>
        <w:tabs>
          <w:tab w:leader="none" w:pos="8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Pension</w:t>
      </w:r>
    </w:p>
    <w:p>
      <w:pPr>
        <w:spacing w:after="0" w:line="301"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Company operates a defined contribution pension scheme for UK employees. Contributions payable for the year are charged to the Consolidated Statement of Comprehensive Income. The contributions are recognized as</w:t>
      </w:r>
    </w:p>
    <w:p>
      <w:pPr>
        <w:sectPr>
          <w:pgSz w:w="11900" w:h="16838" w:orient="portrait"/>
          <w:cols w:equalWidth="0" w:num="1">
            <w:col w:w="11400"/>
          </w:cols>
          <w:pgMar w:left="240" w:top="140" w:right="2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40"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3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employee benefit expense when they are due. Differences between contributions payable in the year and contributions actually paid are shown as either accruals or prepayments in the Consolidated Statement of Financial Position. The Company has no further payment obligation once the contributions have been paid.</w:t>
      </w:r>
    </w:p>
    <w:p>
      <w:pPr>
        <w:spacing w:after="0" w:line="234" w:lineRule="exact"/>
        <w:rPr>
          <w:sz w:val="20"/>
          <w:szCs w:val="20"/>
          <w:color w:val="auto"/>
        </w:rPr>
      </w:pPr>
    </w:p>
    <w:p>
      <w:pPr>
        <w:ind w:left="820" w:hanging="488"/>
        <w:spacing w:after="0"/>
        <w:tabs>
          <w:tab w:leader="none" w:pos="8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Bonus plans</w:t>
      </w:r>
    </w:p>
    <w:p>
      <w:pPr>
        <w:spacing w:after="0" w:line="30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recognizes a liability and an expense for bonus plans if contractually obligated or if there is a past practice that has created a constructive obligation.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Share-based payments</w:t>
      </w:r>
    </w:p>
    <w:p>
      <w:pPr>
        <w:spacing w:after="0" w:line="3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operates a number of equity-settled, share-based compensation schemes. The fair value of share-based payments under such schemes is expensed on a straight-line basis over the vesting period, based on the Company's estimate of shares that will eventually vest.</w:t>
      </w:r>
    </w:p>
    <w:p>
      <w:pPr>
        <w:spacing w:after="0" w:line="25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Where equity settled transactions are entered into with third party service providers, fair value is determined by reference to the value of the services provided in lieu of payment. The expense is measured based on the services received at the date of receipt of those services and is charged to the Consolidated Statement of Comprehensive Income over the period for which the services are received and a corresponding credit is made to reserves. For other equity-settled transactions fair value is determined using the Black-Scholes model and requires several assumptions and estimates as disclosed in note 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Provisions</w:t>
      </w:r>
    </w:p>
    <w:p>
      <w:pPr>
        <w:spacing w:after="0" w:line="3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it is probable that an outflow of resources will be required to settle the obligation, and the amount can be reliably estimated. Provisions are measured at the present value of the expenditures expected to be required to settle the obligation using a pre-tax rate that reflects current market assessments of the time value of money and the risks specific to the obligation.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Assumed contingent obligation related to the business combinations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September 19, 2006, the Company acquired Rhinopharma for a total consideration of £1.52 million payable in ordinary shares. In addition, the Company assumed certain contingent obligations owed by Rhinopharma to Vernalis Pharmaceuticals Limited (“Vernalis”), which was subsequently acquired by Ligand Pharmaceuticals, Inc. (“Ligand”), under an assignment and license agreement (the "assumed contingent consideration") following the sale of IP by Vernalis to Rhinopharma. In October 2018, Vernalis was acquired by, and became a wholly owned subsidiary of, Ligand Pharmaceuticals, Inc., or Ligand). The Company refers to the assignment and license agreement as the Ligand Agreement and now refers to Vernalis as Ligand.</w:t>
      </w:r>
    </w:p>
    <w:p>
      <w:pPr>
        <w:spacing w:after="0" w:line="2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Pursuant to the agreement Ligand (i) assigned to the Company all of its rights to certain patents and patent applications relating to ensifentrine and related compounds (the "Ligand Patents") and (ii) granted to the Company an exclusive, worldwide, royalty-bearing license under certain Ligand know-how to develop, manufacture and commercialize products (the "Licensed Products") developed using Ligand Patents, Ligand know-how and the physical stock of certain compounds.</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assumed contingent obligation comprises (a) a milestone payment on obtaining the first approval of any regulatory authority for the commercialization of a Licensed Product; (b) low to mid-single digit royalties based on the future sales performance of all Licensed Products; and (c) a portion equal to a mid-twenty percent of any consideration received from any sub-licensees for the Ligand Patents and for Ligand know-how. On the date of acquisition the fair value of the assumed contingent obligation was estimated as the expected value of the milestone payment, royalty payments and sub-license payments, based on an assessment of the probability of success using standard market probabilities for respiratory drug development. The risk-weighted value of the assumed contingent arrangement was then discounted back to its net present value applying an effective interest rate of 12%. The initial fair value of the assumed contingent obligation as of December 31, 2006, was deemed to be insignificant at the date of the acquisition, so it was not recorded.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40"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25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amount of royalties payable under the agreement is based on the future sales performance of certain products, and so the total amount payable is unlimited. The level of sales that may be achieved under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agreement is difficult to predict and subject to estimate, which is inherently uncertain. The value of this assumed contingent obligation is measured at amortized cost using the effective interest rate method, and is re-measured for changes in estimated cash flows, when the probability of success changes. The assumed contingent obligation is accounted for as a liability, and any adjustments made to the value of the liability will be recognized in the Consolidated Statement of Comprehensive Income for the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Government and other grants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may receive government, regional or charitable grants to support its research efforts in defined projects where these grants provide for reimbursement of approved costs incurred as defined in the respective grants. Income in respect of such grants would include contributions towards the costs of research and development. Income would be recognized when costs under each grant are incurred in accordance with the terms and conditions of the grant and the collectability of the receivable is reasonably assured. Government, regional and charitable grants relating to costs would be deferred and recognized in the Consolidated Statement of Comprehensive Income over the period necessary to match them with the costs they are intended to compensate. When the cash in relation to recognized government, regional or charitable grants is not yet received the amount is included as a receivable on the Consolidated Statement of Financial Position.</w:t>
      </w:r>
    </w:p>
    <w:p>
      <w:pPr>
        <w:spacing w:after="0" w:line="2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Where the grant income is directly related to the specific items of expenditure incurred, the income would be netted against such expenditure. Where the grant income is not a specific reimbursement of expenditure incurred, the Company would include such income under "Other income" in the Consolidated Statement of 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Financial instruments — initial recognition and subsequent measurement</w:t>
      </w:r>
    </w:p>
    <w:p>
      <w:pPr>
        <w:spacing w:after="0" w:line="301"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The Company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evaluates the terms of the financial instrument to determine whether it contains an asset, a liability or an equity component.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components shall be classified separately as financial assets, financial liabilities or equity instruments.</w:t>
      </w:r>
    </w:p>
    <w:p>
      <w:pPr>
        <w:spacing w:after="0" w:line="27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w:t>
      </w:r>
    </w:p>
    <w:p>
      <w:pPr>
        <w:spacing w:after="0" w:line="115"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assets, initial recognition and measurement and subsequent measurement</w:t>
      </w:r>
    </w:p>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financial assets not recorded at fair value through profit or loss, such as receivables and deposits, are recognized initially at fair value plus transaction costs. Financial assets carried at fair value through profit or loss are initially recognized at fair value, and transaction costs are expensed in the income statement.</w:t>
      </w:r>
    </w:p>
    <w:p>
      <w:pPr>
        <w:spacing w:after="0" w:line="25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measurement of financial assets depends on their classification. Financial assets such as receivables and deposits are subsequently measured at amortized cost using the effective interest method, less loss allowance. The Company does not hold any financial assets at fair value through profit or loss or fair value through other comprehensive income.</w:t>
      </w:r>
    </w:p>
    <w:p>
      <w:pPr>
        <w:spacing w:after="0" w:line="121" w:lineRule="exact"/>
        <w:rPr>
          <w:sz w:val="20"/>
          <w:szCs w:val="20"/>
          <w:color w:val="auto"/>
        </w:rPr>
      </w:pPr>
    </w:p>
    <w:p>
      <w:pPr>
        <w:ind w:right="4020" w:firstLine="8"/>
        <w:spacing w:after="0" w:line="501" w:lineRule="auto"/>
        <w:tabs>
          <w:tab w:leader="none" w:pos="4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liabilities, initial recognition and measurement and subsequent measurement Financial liabilities are classified as measured at amortized cost or FVTPL.</w:t>
      </w:r>
    </w:p>
    <w:p>
      <w:pPr>
        <w:ind w:right="520"/>
        <w:spacing w:after="0" w:line="262" w:lineRule="auto"/>
        <w:rPr>
          <w:sz w:val="20"/>
          <w:szCs w:val="20"/>
          <w:color w:val="auto"/>
        </w:rPr>
      </w:pPr>
      <w:r>
        <w:rPr>
          <w:rFonts w:ascii="Arial" w:cs="Arial" w:eastAsia="Arial" w:hAnsi="Arial"/>
          <w:sz w:val="18"/>
          <w:szCs w:val="18"/>
          <w:color w:val="auto"/>
        </w:rPr>
        <w:t>A financial liability is classified as at FVTPL if it is a derivative. Financial liabilities at FVTPL are measured at fair value and net gains and losses, including any interest expense, are recognized in profit or loss.</w:t>
      </w:r>
    </w:p>
    <w:p>
      <w:pPr>
        <w:spacing w:after="0" w:line="19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Other financial liabilities are subsequently measured at amortized cost using the effective interest method. Interest expense and foreign exchange gains and losses are recognized in profit or loss. Any gain or loss on derecognition is also recognized in profit or loss.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140"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liabilities include trade and other payables and derivative financial instruments.</w:t>
      </w:r>
    </w:p>
    <w:p>
      <w:pPr>
        <w:spacing w:after="0" w:line="144"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14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fair value at the end of each reporting date. The Company holds only one type of derivative financial instrument, the warrants, as explained in Note 2.15.</w:t>
      </w:r>
    </w:p>
    <w:p>
      <w:pPr>
        <w:spacing w:after="0" w:line="25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full fair value of the derivative is classified as a non-current liability when the warrants are exercisable in more than 12 months and as a current liability when the warrants are exercisable in less than 12 months.</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Changes in fair value of a derivative financial liability when related to a financing arrangement are recognized in the Consolidated Statement of Comprehensive Income within Finance income or Finance expense. Fair value gains or losses on derivatives used for non-financing arrangements are recognized in other operating income or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Warrants</w:t>
      </w:r>
    </w:p>
    <w:p>
      <w:pPr>
        <w:spacing w:after="0" w:line="3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Warrants issued by the Company to investors as part of a share subscription are compound financial instruments where the warrant meets the definition of a financial liability.</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liability component is initially measured at fair value in the Consolidated Statement of Financial Position. Equity is measured at the residual between the subscription price for the entire instrument and the liability component. The financial liability component is remeasured depending on its classification. Equity is not remeasured.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Short Term Investments</w:t>
      </w:r>
    </w:p>
    <w:p>
      <w:pPr>
        <w:spacing w:after="0" w:line="16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Short term investments include fixed term deposits held at banks with original maturities of more than three months but less than a year. They are classified as loans and receivables and are measured at amortized cost using the effective interest method.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Transaction costs</w:t>
      </w:r>
    </w:p>
    <w:p>
      <w:pPr>
        <w:spacing w:after="0" w:line="301"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Qualifying transaction costs might be incurred in anticipation of an issuance of equity instruments and may cross reporting periods. The entity defers these costs on the balance sheet until the equity instrument is recognized. Deferred costs are subsequently reclassified as a deduction from equity when the equity instruments are recognized, as the costs are directly attributable to the equity transaction. If the equity instruments are not subsequently issued, the transaction costs are expensed. Any costs not directly attributable to the equity transaction are expensed.</w:t>
      </w:r>
    </w:p>
    <w:p>
      <w:pPr>
        <w:spacing w:after="0" w:line="2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Transaction costs that relate to the issue of a compound financial instrument are allocated to the liability and equity components of the instrument in proportion to the allocation of proceeds. Where the liability component is held at fair value through profit or loss, the transaction costs are expensed to the Consolidated Statement of Comprehensive Income. For liabilities held at amortized cost, transaction costs are deducted from the liability and subsequently amortized. The amount of transaction costs accounted for as a deduction from equity in the period is disclosed separately in accordance with International Accounting Standard (“IAS”) 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New standards, amendments and interpretations adopted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amendments have been adopted by the Company for the first time for the financial year beginning on or after January 1, 2018:</w:t>
      </w:r>
    </w:p>
    <w:p>
      <w:pPr>
        <w:spacing w:after="0" w:line="14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IFRS 9 "Financial instruments"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IFRS 15 "Revenue from contracts with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IFRS 9 had no material impact on the accounting or measurement of any of the financial instruments the Company currently holds.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IFRS 15 had no impact on the financial statements of the Company as it is not currently revenue generating.</w:t>
      </w:r>
    </w:p>
    <w:p>
      <w:pPr>
        <w:spacing w:after="0" w:line="25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2.19 New standards, amendments and interpretations issued but not effective for the financial year beginning January 1, 2018 and not early adopted</w:t>
      </w:r>
    </w:p>
    <w:p>
      <w:pPr>
        <w:spacing w:after="0" w:line="2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New standards and amendments to standards and interpretations have been issued but are not yet effective for annual periods beginning after January 1, 2018 (noted below), and have not been adopted in preparing these consolidated financial statements.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IFRS 16 "Leases" (effective for annual periods beginning on or after January 1, 2019)</w:t>
      </w:r>
    </w:p>
    <w:p>
      <w:pPr>
        <w:spacing w:after="0" w:line="279"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IFRS 16 is effective for accounting periods beginning on or after January 1, 2019 and will replace IAS 17 "Leases". It eliminates the classification of leases as either operating leases or finance leases and, instead, introduces a single lessee accounting model.</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Group will recognize new assets and liabilities for its operating leases of office leases (see Note 20). The nature of expenses related to those leases will now change because the Group will recognize a depreciation charge for right-of-use assets and interest expense on lease liabilities. Previously, the Group recognized operating lease expense on a straight-line basis over the term of the lease, and recognize assets and liabilities only to the extent that there was a timing difference between actual lease payments and the expense recognized. Instead, the Group will include the payments due under the lease in its lease liability. Based on the information currently available, using the modified retrospective method, the Group estimates that it will recognize additional lease liabilities of £316 thousand and assets of £325 thousand as of January 1, 2019. There will be no material impact on other lines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140" w:right="2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ind w:left="200" w:hanging="192"/>
        <w:spacing w:after="0"/>
        <w:tabs>
          <w:tab w:leader="none" w:pos="2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Financial Risk Factors</w:t>
      </w:r>
    </w:p>
    <w:p>
      <w:pPr>
        <w:spacing w:after="0" w:line="30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Company's activities have exposed it to a variety of financial risks: market risk (including currency risk and interest rate risk), credit risk, and liquidity risk. The Company's overall risk management program is focused on preservation of capital and the unpredictability of financial markets and has sought to minimize potential adverse effects on the Company's financial performance and position.</w:t>
      </w:r>
    </w:p>
    <w:p>
      <w:pPr>
        <w:spacing w:after="0" w:line="148" w:lineRule="exact"/>
        <w:rPr>
          <w:sz w:val="20"/>
          <w:szCs w:val="20"/>
          <w:color w:val="auto"/>
        </w:rPr>
      </w:pPr>
    </w:p>
    <w:p>
      <w:pPr>
        <w:ind w:left="880" w:hanging="872"/>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15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Foreign currency risk reflects the risk that the Company's net assets will be negatively impacted due to fluctuations in exchange rates. The Company has not entered into foreign exchange contracts to hedge against gains or losses from foreign exchange fluctuations.</w:t>
      </w:r>
    </w:p>
    <w:p>
      <w:pPr>
        <w:spacing w:after="0" w:line="250"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summary quantitative date about the Company's exposure to currency risk is as follows. Figures are the pounds sterling values of balances in each currency: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6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December 31, 2017</w:t>
            </w:r>
          </w:p>
        </w:tc>
      </w:tr>
      <w:tr>
        <w:trPr>
          <w:trHeight w:val="263"/>
        </w:trPr>
        <w:tc>
          <w:tcPr>
            <w:tcW w:w="60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EUR</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USD</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EUR</w:t>
            </w:r>
          </w:p>
        </w:tc>
      </w:tr>
      <w:tr>
        <w:trPr>
          <w:trHeight w:val="251"/>
        </w:trPr>
        <w:tc>
          <w:tcPr>
            <w:tcW w:w="60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£'000s</w:t>
            </w:r>
          </w:p>
        </w:tc>
      </w:tr>
      <w:tr>
        <w:trPr>
          <w:trHeight w:val="249"/>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16,806</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25,069</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19,718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22"/>
                <w:szCs w:val="22"/>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403</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9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 reasonably possible strengthening (weakening) of the Euro, U.S. dollar, or pounds sterling against all other currencies as of December 31, 2018 and 2017 would have affected the measurement of the financial instruments denominated in a foreign currency and affected equity and profit and loss by the amounts shown below. This analysis assumes that all other variables remain constant.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Profit or loss and equity</w:t>
            </w:r>
          </w:p>
        </w:tc>
      </w:tr>
      <w:tr>
        <w:trPr>
          <w:trHeight w:val="264"/>
        </w:trPr>
        <w:tc>
          <w:tcPr>
            <w:tcW w:w="85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Strengthening</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Weakening</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right"/>
              <w:ind w:right="378"/>
              <w:spacing w:after="0"/>
              <w:rPr>
                <w:sz w:val="20"/>
                <w:szCs w:val="20"/>
                <w:color w:val="auto"/>
              </w:rPr>
            </w:pPr>
            <w:r>
              <w:rPr>
                <w:rFonts w:ascii="Arial" w:cs="Arial" w:eastAsia="Arial" w:hAnsi="Arial"/>
                <w:sz w:val="14"/>
                <w:szCs w:val="14"/>
                <w:b w:val="1"/>
                <w:bCs w:val="1"/>
                <w:color w:val="auto"/>
              </w:rPr>
              <w:t>£'000s</w:t>
            </w: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 (5% movement)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26</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USD (5% Movement)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(1,461)</w:t>
            </w:r>
          </w:p>
        </w:tc>
      </w:tr>
      <w:tr>
        <w:trPr>
          <w:trHeight w:val="27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shd w:val="clear" w:color="auto" w:fill="CCEEFF"/>
          </w:tcPr>
          <w:p>
            <w:pPr>
              <w:jc w:val="right"/>
              <w:ind w:right="378"/>
              <w:spacing w:after="0"/>
              <w:rPr>
                <w:sz w:val="20"/>
                <w:szCs w:val="20"/>
                <w:color w:val="auto"/>
              </w:rPr>
            </w:pPr>
            <w:r>
              <w:rPr>
                <w:rFonts w:ascii="Arial" w:cs="Arial" w:eastAsia="Arial" w:hAnsi="Arial"/>
                <w:sz w:val="14"/>
                <w:szCs w:val="14"/>
                <w:b w:val="1"/>
                <w:bCs w:val="1"/>
                <w:color w:val="auto"/>
              </w:rPr>
              <w:t>£'000s</w:t>
            </w:r>
          </w:p>
        </w:tc>
      </w:tr>
      <w:tr>
        <w:trPr>
          <w:trHeight w:val="249"/>
        </w:trPr>
        <w:tc>
          <w:tcPr>
            <w:tcW w:w="8580" w:type="dxa"/>
            <w:vAlign w:val="bottom"/>
          </w:tcPr>
          <w:p>
            <w:pPr>
              <w:ind w:left="40"/>
              <w:spacing w:after="0"/>
              <w:rPr>
                <w:sz w:val="20"/>
                <w:szCs w:val="20"/>
                <w:color w:val="auto"/>
              </w:rPr>
            </w:pPr>
            <w:r>
              <w:rPr>
                <w:rFonts w:ascii="Arial" w:cs="Arial" w:eastAsia="Arial" w:hAnsi="Arial"/>
                <w:sz w:val="18"/>
                <w:szCs w:val="18"/>
                <w:color w:val="auto"/>
              </w:rPr>
              <w:t>EUR (5% movement)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USD (5% Movement)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1,840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bl>
    <w:p>
      <w:pPr>
        <w:spacing w:after="0" w:line="26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Foreign currency denominated trade payables are short term in nature (generally 30 to 45 days). The Company has a U.S. operation, the net assets of which are exposed to foreign currency translation risk.</w:t>
      </w:r>
    </w:p>
    <w:p>
      <w:pPr>
        <w:spacing w:after="0" w:line="142" w:lineRule="exact"/>
        <w:rPr>
          <w:sz w:val="20"/>
          <w:szCs w:val="20"/>
          <w:color w:val="auto"/>
        </w:rPr>
      </w:pPr>
    </w:p>
    <w:p>
      <w:pPr>
        <w:ind w:left="880" w:hanging="872"/>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5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Credit risk reflects the risk that the Company may be unable to recover contractual receivables. As the Company is still in the development stage no policies are currently required to mitigate this risk.</w:t>
      </w:r>
    </w:p>
    <w:p>
      <w:pPr>
        <w:spacing w:after="0" w:line="2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banks and financial institutions, only independently rated parties with a minimum rating of "B+" are accepted. The Directors recognize that this is an area in which they may need to develop specific policies should the Company become exposed to further financial risks as the business develops.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December 31, 2017, cash and cash equivalents and short term investments were placed at the following banks:</w:t>
      </w:r>
    </w:p>
    <w:p>
      <w:pPr>
        <w:sectPr>
          <w:pgSz w:w="11900" w:h="16838" w:orient="portrait"/>
          <w:cols w:equalWidth="0" w:num="1">
            <w:col w:w="11420"/>
          </w:cols>
          <w:pgMar w:left="240" w:top="14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40"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NOTES TO THE CONSOLIDATED FINANCIAL STATEMENTS (Continued) FOR THE THREE YEARS ENDED DECEMBER 31, 2018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Banks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spacing w:after="0"/>
              <w:rPr>
                <w:sz w:val="14"/>
                <w:szCs w:val="14"/>
                <w:color w:val="auto"/>
              </w:rPr>
            </w:pPr>
          </w:p>
        </w:tc>
      </w:tr>
      <w:tr>
        <w:trPr>
          <w:trHeight w:val="162"/>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Credit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Credit</w:t>
            </w:r>
          </w:p>
        </w:tc>
      </w:tr>
      <w:tr>
        <w:trPr>
          <w:trHeight w:val="196"/>
        </w:trPr>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rating</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rating</w:t>
            </w:r>
          </w:p>
        </w:tc>
      </w:tr>
      <w:tr>
        <w:trPr>
          <w:trHeight w:val="258"/>
        </w:trPr>
        <w:tc>
          <w:tcPr>
            <w:tcW w:w="11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bl>
    <w:p>
      <w:pPr>
        <w:spacing w:after="0" w:line="321" w:lineRule="exact"/>
        <w:rPr>
          <w:sz w:val="20"/>
          <w:szCs w:val="20"/>
          <w:color w:val="auto"/>
        </w:rPr>
      </w:pPr>
    </w:p>
    <w:p>
      <w:pPr>
        <w:sectPr>
          <w:pgSz w:w="11900" w:h="16838" w:orient="portrait"/>
          <w:cols w:equalWidth="0" w:num="2">
            <w:col w:w="6140" w:space="360"/>
            <w:col w:w="4900"/>
          </w:cols>
          <w:pgMar w:left="240" w:top="140" w:right="259" w:bottom="1440" w:gutter="0" w:footer="0" w:header="0"/>
        </w:sectPr>
      </w:pPr>
    </w:p>
    <w:tbl>
      <w:tblPr>
        <w:tblLayout w:type="fixed"/>
        <w:tblInd w:w="0" w:type="dxa"/>
        <w:tblCellMar>
          <w:top w:w="0" w:type="dxa"/>
          <w:left w:w="0" w:type="dxa"/>
          <w:bottom w:w="0" w:type="dxa"/>
          <w:right w:w="0" w:type="dxa"/>
        </w:tblCellMar>
      </w:tblPr>
      <w:tr>
        <w:trPr>
          <w:trHeight w:val="224"/>
        </w:trPr>
        <w:tc>
          <w:tcPr>
            <w:tcW w:w="6500" w:type="dxa"/>
            <w:vAlign w:val="bottom"/>
          </w:tcPr>
          <w:p>
            <w:pPr>
              <w:ind w:left="40"/>
              <w:spacing w:after="0"/>
              <w:rPr>
                <w:sz w:val="20"/>
                <w:szCs w:val="20"/>
                <w:color w:val="auto"/>
              </w:rPr>
            </w:pPr>
            <w:r>
              <w:rPr>
                <w:rFonts w:ascii="Arial" w:cs="Arial" w:eastAsia="Arial" w:hAnsi="Arial"/>
                <w:sz w:val="18"/>
                <w:szCs w:val="18"/>
                <w:color w:val="auto"/>
              </w:rPr>
              <w:t>Royal Bank of Scotland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A1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16,623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A2</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Lloyds Bank</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15,862</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Aa3</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13,448</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Aa3</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Standard Chartered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A1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A1</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Citibank</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3,135</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A1</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Barclays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A2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Aa1</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Aa1</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19,784</w:t>
            </w:r>
          </w:p>
        </w:tc>
        <w:tc>
          <w:tcPr>
            <w:tcW w:w="1380" w:type="dxa"/>
            <w:vAlign w:val="bottom"/>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31,443</w:t>
            </w:r>
          </w:p>
        </w:tc>
        <w:tc>
          <w:tcPr>
            <w:tcW w:w="1240" w:type="dxa"/>
            <w:vAlign w:val="bottom"/>
          </w:tcPr>
          <w:p>
            <w:pPr>
              <w:spacing w:after="0"/>
              <w:rPr>
                <w:sz w:val="22"/>
                <w:szCs w:val="22"/>
                <w:color w:val="auto"/>
              </w:rPr>
            </w:pPr>
          </w:p>
        </w:tc>
      </w:tr>
      <w:tr>
        <w:trPr>
          <w:trHeight w:val="20"/>
        </w:trPr>
        <w:tc>
          <w:tcPr>
            <w:tcW w:w="6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Short Term Investments</w:t>
            </w:r>
          </w:p>
        </w:tc>
        <w:tc>
          <w:tcPr>
            <w:tcW w:w="1160" w:type="dxa"/>
            <w:vAlign w:val="bottom"/>
          </w:tcPr>
          <w:p>
            <w:pPr>
              <w:jc w:val="right"/>
              <w:ind w:right="37"/>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Credit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96"/>
        </w:trPr>
        <w:tc>
          <w:tcPr>
            <w:tcW w:w="6500" w:type="dxa"/>
            <w:vAlign w:val="bottom"/>
            <w:vMerge w:val="continue"/>
          </w:tcPr>
          <w:p>
            <w:pPr>
              <w:spacing w:after="0"/>
              <w:rPr>
                <w:sz w:val="17"/>
                <w:szCs w:val="17"/>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rating</w:t>
            </w:r>
          </w:p>
        </w:tc>
        <w:tc>
          <w:tcPr>
            <w:tcW w:w="1120" w:type="dxa"/>
            <w:vAlign w:val="bottom"/>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rating</w:t>
            </w:r>
          </w:p>
        </w:tc>
        <w:tc>
          <w:tcPr>
            <w:tcW w:w="0" w:type="dxa"/>
            <w:vAlign w:val="bottom"/>
          </w:tcPr>
          <w:p>
            <w:pPr>
              <w:spacing w:after="0"/>
              <w:rPr>
                <w:sz w:val="1"/>
                <w:szCs w:val="1"/>
                <w:color w:val="auto"/>
              </w:rPr>
            </w:pPr>
          </w:p>
        </w:tc>
      </w:tr>
      <w:tr>
        <w:trPr>
          <w:trHeight w:val="264"/>
        </w:trPr>
        <w:tc>
          <w:tcPr>
            <w:tcW w:w="6500" w:type="dxa"/>
            <w:vAlign w:val="bottom"/>
          </w:tcPr>
          <w:p>
            <w:pPr>
              <w:spacing w:after="0"/>
              <w:rPr>
                <w:sz w:val="22"/>
                <w:szCs w:val="22"/>
                <w:color w:val="auto"/>
              </w:rPr>
            </w:pPr>
          </w:p>
        </w:tc>
        <w:tc>
          <w:tcPr>
            <w:tcW w:w="1160" w:type="dxa"/>
            <w:vAlign w:val="bottom"/>
            <w:tcBorders>
              <w:top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Banks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Royal Bank of Scotland</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9,186</w:t>
            </w:r>
          </w:p>
        </w:tc>
        <w:tc>
          <w:tcPr>
            <w:tcW w:w="1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A1</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Lloyds Bank</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Aa3</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11,036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Standard Chartered</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15,450</w:t>
            </w:r>
          </w:p>
        </w:tc>
        <w:tc>
          <w:tcPr>
            <w:tcW w:w="1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A1</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22,467</w:t>
            </w:r>
          </w:p>
        </w:tc>
        <w:tc>
          <w:tcPr>
            <w:tcW w:w="12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Citibank</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7,053</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A1</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Barclays</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11,663</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A2</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44,919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48,819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79" w:lineRule="exact"/>
        <w:rPr>
          <w:sz w:val="20"/>
          <w:szCs w:val="20"/>
          <w:color w:val="auto"/>
        </w:rPr>
      </w:pPr>
    </w:p>
    <w:p>
      <w:pPr>
        <w:jc w:val="both"/>
        <w:ind w:right="820"/>
        <w:spacing w:after="0" w:line="256" w:lineRule="auto"/>
        <w:rPr>
          <w:sz w:val="20"/>
          <w:szCs w:val="20"/>
          <w:color w:val="auto"/>
        </w:rPr>
      </w:pPr>
      <w:r>
        <w:rPr>
          <w:rFonts w:ascii="Arial" w:cs="Arial" w:eastAsia="Arial" w:hAnsi="Arial"/>
          <w:sz w:val="18"/>
          <w:szCs w:val="18"/>
          <w:color w:val="auto"/>
        </w:rPr>
        <w:t>The Company considers capital to be its equity reserves. At the current stage of the Company's life cycle, the Company's objective in managing its capital is to ensure funds raised meet the research and operating requirements until the next development stage of the Company's suite of projects.</w:t>
      </w:r>
    </w:p>
    <w:p>
      <w:pPr>
        <w:spacing w:after="0" w:line="2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ensures it is meeting its objectives by reviewing its Key Performance Indicators to ensure the research activities are progressing in line with expectations, costs are controlled and unused funds are placed on deposit to conserve resources and increase returns on surplus cash held.</w:t>
      </w:r>
    </w:p>
    <w:p>
      <w:pPr>
        <w:spacing w:after="0" w:line="148" w:lineRule="exact"/>
        <w:rPr>
          <w:sz w:val="20"/>
          <w:szCs w:val="20"/>
          <w:color w:val="auto"/>
        </w:rPr>
      </w:pPr>
    </w:p>
    <w:p>
      <w:pPr>
        <w:ind w:left="880" w:hanging="87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2018, the Company had cash deposits of £ 19.8 million (2017: £31.4 million) and short term investments of £44.9 million (2017: £48.8 million). The rates of interest received during 2018 ranged between 0.0% and 2.87%. A 0.25% increase in interest rates would not have a material impact on finance income. The Company's exposure to interest rate risk, which is the risk that the interest received will fluctuate as a result of changes in market interest rates on classes of financial assets and financial liabilities, was as follows: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40" w:right="25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65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Floating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Fixed</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Floating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Fixed</w:t>
            </w:r>
          </w:p>
        </w:tc>
      </w:tr>
      <w:tr>
        <w:trPr>
          <w:trHeight w:val="196"/>
        </w:trPr>
        <w:tc>
          <w:tcPr>
            <w:tcW w:w="65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65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color w:val="auto"/>
              </w:rPr>
              <w:t>Cash deposits</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15,082</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25,720</w:t>
            </w:r>
          </w:p>
        </w:tc>
        <w:tc>
          <w:tcPr>
            <w:tcW w:w="1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5,723</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48,819</w:t>
            </w:r>
          </w:p>
        </w:tc>
      </w:tr>
      <w:tr>
        <w:trPr>
          <w:trHeight w:val="25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15,082</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49,621</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25,720</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54,542</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880" w:hanging="872"/>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prepares periodic working capital forecasts for the foreseeable future, allowing an assessment of the cash requirements of the Company, to manage liquidity risk. The following table provides an analysis of the Company's financial liabilities. The carrying value of all balances is equal to their fair value. The Company's maturity analysis for the derivative financial instrument from the issue of warrants is given in note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BETWEEN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BETWEEN</w:t>
            </w:r>
          </w:p>
        </w:tc>
        <w:tc>
          <w:tcPr>
            <w:tcW w:w="112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LESS THAN</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 AND 2</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 AND 5</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OVER</w:t>
            </w:r>
          </w:p>
        </w:tc>
      </w:tr>
      <w:tr>
        <w:trPr>
          <w:trHeight w:val="200"/>
        </w:trPr>
        <w:tc>
          <w:tcPr>
            <w:tcW w:w="65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5 YEARS</w:t>
            </w:r>
            <w:r>
              <w:rPr>
                <w:rFonts w:ascii="Arial" w:cs="Arial" w:eastAsia="Arial" w:hAnsi="Arial"/>
                <w:sz w:val="14"/>
                <w:szCs w:val="14"/>
                <w:b w:val="1"/>
                <w:bCs w:val="1"/>
                <w:color w:val="auto"/>
                <w:w w:val="98"/>
                <w:vertAlign w:val="superscript"/>
              </w:rPr>
              <w:t>(1)</w:t>
            </w:r>
          </w:p>
        </w:tc>
      </w:tr>
      <w:tr>
        <w:trPr>
          <w:trHeight w:val="246"/>
        </w:trPr>
        <w:tc>
          <w:tcPr>
            <w:tcW w:w="650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2018</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650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2"/>
                <w:szCs w:val="22"/>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payables</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6500" w:type="dxa"/>
            <w:vAlign w:val="bottom"/>
          </w:tcPr>
          <w:p>
            <w:pPr>
              <w:ind w:left="20"/>
              <w:spacing w:after="0"/>
              <w:rPr>
                <w:sz w:val="20"/>
                <w:szCs w:val="20"/>
                <w:color w:val="auto"/>
              </w:rPr>
            </w:pPr>
            <w:r>
              <w:rPr>
                <w:rFonts w:ascii="Arial" w:cs="Arial" w:eastAsia="Arial" w:hAnsi="Arial"/>
                <w:sz w:val="18"/>
                <w:szCs w:val="18"/>
                <w:color w:val="auto"/>
              </w:rPr>
              <w:t>Accruals</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22"/>
                <w:szCs w:val="22"/>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obligation</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1,807</w:t>
            </w: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7,733</w:t>
            </w:r>
          </w:p>
        </w:tc>
        <w:tc>
          <w:tcPr>
            <w:tcW w:w="12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1,807</w:t>
            </w:r>
          </w:p>
        </w:tc>
      </w:tr>
      <w:tr>
        <w:trPr>
          <w:trHeight w:val="20"/>
        </w:trPr>
        <w:tc>
          <w:tcPr>
            <w:tcW w:w="6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table includes the undiscounted amount of the assumed contingent obligation. See note 19.</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BETWEEN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BETWEEN</w:t>
            </w:r>
          </w:p>
        </w:tc>
        <w:tc>
          <w:tcPr>
            <w:tcW w:w="114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LESS THAN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 AND 2</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 AND 5</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OVER</w:t>
            </w:r>
          </w:p>
        </w:tc>
      </w:tr>
      <w:tr>
        <w:trPr>
          <w:trHeight w:val="202"/>
        </w:trPr>
        <w:tc>
          <w:tcPr>
            <w:tcW w:w="65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5 YEARS</w:t>
            </w:r>
            <w:r>
              <w:rPr>
                <w:rFonts w:ascii="Arial" w:cs="Arial" w:eastAsia="Arial" w:hAnsi="Arial"/>
                <w:sz w:val="17"/>
                <w:szCs w:val="17"/>
                <w:b w:val="1"/>
                <w:bCs w:val="1"/>
                <w:color w:val="auto"/>
                <w:w w:val="97"/>
                <w:vertAlign w:val="superscript"/>
              </w:rPr>
              <w:t>(1)</w:t>
            </w:r>
          </w:p>
        </w:tc>
      </w:tr>
      <w:tr>
        <w:trPr>
          <w:trHeight w:val="244"/>
        </w:trPr>
        <w:tc>
          <w:tcPr>
            <w:tcW w:w="65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color w:val="auto"/>
              </w:rPr>
              <w:t>Trade payables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payables</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color w:val="auto"/>
              </w:rPr>
              <w:t>Accruals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obligation</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1,807</w:t>
            </w:r>
          </w:p>
        </w:tc>
      </w:tr>
      <w:tr>
        <w:trPr>
          <w:trHeight w:val="25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1,807</w:t>
            </w:r>
          </w:p>
        </w:tc>
      </w:tr>
      <w:tr>
        <w:trPr>
          <w:trHeight w:val="20"/>
        </w:trPr>
        <w:tc>
          <w:tcPr>
            <w:tcW w:w="6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table includes the undiscounted amount of the assumed contingent obligation. See note 19.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Fair value estimation</w:t>
      </w:r>
    </w:p>
    <w:p>
      <w:pPr>
        <w:spacing w:after="0" w:line="3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carrying amounts of cash and cash equivalents, receivables, accounts payable and accrued liabilities approximate to fair value due to their short-term nature. The carrying amount of the assumed contingent liability approximates to fair value as the underlying assumptions are currently similar.</w:t>
      </w:r>
    </w:p>
    <w:p>
      <w:pPr>
        <w:sectPr>
          <w:pgSz w:w="11900" w:h="16838" w:orient="portrait"/>
          <w:cols w:equalWidth="0" w:num="1">
            <w:col w:w="11420"/>
          </w:cols>
          <w:pgMar w:left="240" w:top="140" w:right="239" w:bottom="1085"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40" w:right="239" w:bottom="1085"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38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financial instruments that are measured in the Consolidated Statement of Financial Position at fair value, IFRS 7 requires disclosure of fair value measurements by level of the following fair value measurement hierarchy:</w:t>
      </w:r>
    </w:p>
    <w:p>
      <w:pPr>
        <w:spacing w:after="0" w:line="25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Quoted prices (unadjusted) in active markets for identical assets or liabilities (level 1);</w:t>
      </w:r>
    </w:p>
    <w:p>
      <w:pPr>
        <w:spacing w:after="0" w:line="279"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Inputs other than quoted prices included within level 1 that are observable for the asset or liability, either directly or indirectly (level 2); and</w:t>
      </w:r>
    </w:p>
    <w:p>
      <w:pPr>
        <w:spacing w:after="0" w:line="25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Inputs for the asset or liability that are not based on observable market data (level 3).</w:t>
      </w:r>
    </w:p>
    <w:p>
      <w:pPr>
        <w:spacing w:after="0" w:line="279"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For the year ended December 31, 2018, and 2017, fair value adjustments to financial instruments through profit and loss resulted in the recognition of finance loss of £1.2 million in 2018 and a finance income of £6.7 million in 2017.</w:t>
      </w:r>
    </w:p>
    <w:p>
      <w:pPr>
        <w:spacing w:after="0" w:line="2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ascertain the fair value of an instrument are observable, the instrument is included in level 2. If one or more of the significant inputs are not based on observable market data, the instrument is included in level 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90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2018</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 financial instrument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Movements in Level 3 items during the years ended December 31, 2018, and 2017 are as follows: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9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Derivative financial instrument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0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and loss</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relating to the derivative financial instrument are set out in notes 4 and 17 of these financial statements.</w:t>
      </w:r>
    </w:p>
    <w:p>
      <w:pPr>
        <w:spacing w:after="0" w:line="27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determining the fair value of the derivative financial instrument, the Company applied the Black Scholes model; key inputs include the share price at reporting date, estimations on timelines, volatility and risk-free rates. These assumptions and the impact of changes in these assumptions, where material, are disclosed in note 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Change in liabilities arising from financing activities</w:t>
      </w:r>
    </w:p>
    <w:p>
      <w:pPr>
        <w:spacing w:after="0" w:line="30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 has provided a reconciliation so that changes in liabilities arising from financing activities, including both changes arising from cash flows and non-cash changes can be evaluated.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40"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(continued)</w:t>
      </w:r>
    </w:p>
    <w:p>
      <w:pPr>
        <w:spacing w:after="0" w:line="200" w:lineRule="exact"/>
        <w:rPr>
          <w:sz w:val="20"/>
          <w:szCs w:val="20"/>
          <w:color w:val="auto"/>
        </w:rPr>
      </w:pPr>
    </w:p>
    <w:p>
      <w:pPr>
        <w:spacing w:after="0" w:line="25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60" w:type="dxa"/>
            <w:vAlign w:val="bottom"/>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188"/>
        </w:trPr>
        <w:tc>
          <w:tcPr>
            <w:tcW w:w="99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99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99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99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1,273</w:t>
            </w:r>
          </w:p>
        </w:tc>
      </w:tr>
      <w:tr>
        <w:trPr>
          <w:trHeight w:val="25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adjustments - non cash</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1,219</w:t>
            </w: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2,492</w:t>
            </w:r>
          </w:p>
        </w:tc>
      </w:tr>
      <w:tr>
        <w:trPr>
          <w:trHeight w:val="20"/>
        </w:trPr>
        <w:tc>
          <w:tcPr>
            <w:tcW w:w="9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 17 for information relating to the derivative financial instrument.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Critical accounting estimates and judgments</w:t>
      </w:r>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judgment in the process of applying the Company's accounting policies.</w:t>
      </w:r>
    </w:p>
    <w:p>
      <w:pPr>
        <w:spacing w:after="0" w:line="26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areas involving a higher degree of judgment or complexity, or areas where assumptions and estimates are significant to the consolidated financial statements are as follows:</w:t>
      </w:r>
    </w:p>
    <w:p>
      <w:pPr>
        <w:spacing w:after="0" w:line="115" w:lineRule="exact"/>
        <w:rPr>
          <w:sz w:val="20"/>
          <w:szCs w:val="20"/>
          <w:color w:val="auto"/>
        </w:rPr>
      </w:pPr>
    </w:p>
    <w:p>
      <w:pPr>
        <w:ind w:left="420" w:hanging="412"/>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Assumed contingent obligation</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a material obligation for the future payment of royalties and milestones associated with contractual obligations on ensifentrine, a development product acquired as part of the acquisition of Rhinopharma. The estimation of the fair value of the assumed contingent obligation on acquisition requires the selection of an appropriate valuation model, consideration as to the inputs necessary for the valuation model chosen, the estimation of the likelihood that the regulatory approval milestone will be achieved and estimates of the future cash flows and their timing (for further detail see note 17). The estimates for the assumed contingent obligation are based on a discounted cash flow model. Key estimates included in the fair value calculation of deferred consideration are:</w:t>
      </w:r>
    </w:p>
    <w:p>
      <w:pPr>
        <w:spacing w:after="0" w:line="263"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development, regulatory and marketing risks associated with progressing the product to market approval in key target territories;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market size and product acceptance by clinicians, patients and reimbursement bodies;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gross and net selling price;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costs of manufacturing, product distribution and marketing support;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launch of competitive products;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discount rate and time to crystallization of contingent consideration.</w:t>
      </w:r>
    </w:p>
    <w:p>
      <w:pPr>
        <w:spacing w:after="0" w:line="36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When there is a change in the expected cash flows, the assumed contingent obligation is re-measured with the change in value going through the Consolidated Statement of Comprehensive Income. Cash flow estimates are revised when the probability of success changes. The assumed contingent obligation is measured at amortized cost with the discount unwinding in the Consolidated Statement of Comprehensive Income throughout the year. Actual outcomes could differ significantly from the estimates made.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40"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 (continued)</w:t>
      </w:r>
    </w:p>
    <w:p>
      <w:pPr>
        <w:spacing w:after="0" w:line="38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value of the assumed contingent obligation as of December 31, 2018 amounted to £1.0 million. (2017: £0.9 million). The increase in value of the assumed contingent obligation during 2018 amounted to £0.1 million (2017: £0.1 million) and the movement relates to unwinding the discount on the liability and retranslating for changes in U.S. dollar exchange rates. The expense relating to the unwinding of the discount was recorded in finance expense. There was no change in the year to the probability of success and consequently cash flow estimates were not revised.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discount percentage applied is 12%.</w:t>
      </w:r>
    </w:p>
    <w:p>
      <w:pPr>
        <w:spacing w:after="0" w:line="144" w:lineRule="exact"/>
        <w:rPr>
          <w:sz w:val="20"/>
          <w:szCs w:val="20"/>
          <w:color w:val="auto"/>
        </w:rPr>
      </w:pPr>
    </w:p>
    <w:p>
      <w:pPr>
        <w:ind w:left="420" w:hanging="412"/>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Valuation of the July 2016 warrants</w:t>
      </w:r>
    </w:p>
    <w:p>
      <w:pPr>
        <w:spacing w:after="0" w:line="14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£1.4365 per unit. Each unit comprises one ordinary share and one warrant. The warrants entitle the investors to subscribe for in aggregate a maximum of 12,401,262 ordinary shares.</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accordance with IAS 32 and the Company’s accounting policy, as disclosed in note 2.15, the Company classified the warrants as a derivative financial liability to be presented on the Company's Consolidated Statement of Financial Position.</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fair value of these warrants is determined by applying the Black-Scholes model. Assumptions are made on inputs such as time to maturity, the share price, volatility and risk free rate in order to determine the fair value per warrant. For further details see note 17.</w:t>
      </w:r>
    </w:p>
    <w:p>
      <w:pPr>
        <w:spacing w:after="0" w:line="115" w:lineRule="exact"/>
        <w:rPr>
          <w:sz w:val="20"/>
          <w:szCs w:val="20"/>
          <w:color w:val="auto"/>
        </w:rPr>
      </w:pPr>
    </w:p>
    <w:p>
      <w:pPr>
        <w:ind w:left="420" w:hanging="412"/>
        <w:spacing w:after="0"/>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Recognition of research and development expenditure</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incurs research and development expenditure from third parties. The Company recognizes this expenditure in line with the management’s best estimation of the stage of completion of each research and development project. This includes the calculation of accrued costs at each period end to account for expenditure that has been incurred. This requires management to estimate full costs to complete for each project and also to estimate its current stage of completion. Costs relating to clinical research organization expenses in the year were £14.0 million. The related accruals and prepayments were £3.4 million and £0.7 million, respectively.</w:t>
      </w:r>
    </w:p>
    <w:p>
      <w:pPr>
        <w:spacing w:after="0" w:line="260" w:lineRule="exact"/>
        <w:rPr>
          <w:sz w:val="20"/>
          <w:szCs w:val="20"/>
          <w:color w:val="auto"/>
        </w:rPr>
      </w:pPr>
    </w:p>
    <w:p>
      <w:pPr>
        <w:ind w:left="420" w:hanging="412"/>
        <w:spacing w:after="0"/>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Transaction costs related to the Global Offering</w:t>
      </w:r>
    </w:p>
    <w:p>
      <w:pPr>
        <w:spacing w:after="0" w:line="27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2017, the Company incurred various transaction costs relating to the Global Offering, including commissions, professional advisor fees, financial advice, listing fees and other costs. When management judged them to be incremental costs directly attributable to the transaction they were accounted for as a deduction from equity. Otherwise the costs were expensed to the Consolidated Income Statement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ordinary share of 18.9p (2017: 23.4p and 2016: 15.0p) for the Company is calculated by dividing the loss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by the weighted average number of ordinary shares in issue of 105,110,504 as of December 31, 2018 (2017: 87,748,031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2016: 33,499,413). Potential ordinary shares are not treated as dilutive as the entity is loss making and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Segmental reporting</w:t>
      </w:r>
    </w:p>
    <w:p>
      <w:pPr>
        <w:spacing w:after="0" w:line="166"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The Company’s activities are covered by one operating and reporting segment: Drug Development. There have been no changes to management’s assessment of the operating and reporting segment of the Company during the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40"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loss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jc w:val="right"/>
              <w:ind w:right="34"/>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10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Pr>
          <w:p>
            <w:pPr>
              <w:spacing w:after="0"/>
              <w:rPr>
                <w:sz w:val="17"/>
                <w:szCs w:val="17"/>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Loss is stated after charging / (crediting):</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Research and development costs: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benefits (note 8)</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3,360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2,037</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Amortization of patents (note 12)</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professional consulting and listing fees</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research and development expenses</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15,688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19,840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2,434</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research and development costs</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19,294</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23,717</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4,522</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General and administrative costs: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benefits (note 8)</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865</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Legal, professional consulting and listing fees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884</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computer software (note 12)</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Loss on disposal of property, plant and equipment (note 13)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of property, plant and equipment (note 13)</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Operating lease charge — land and buildings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169</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 Loss on variations in foreign exchange rate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general and administrative expenses</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427</w:t>
            </w:r>
          </w:p>
        </w:tc>
      </w:tr>
      <w:tr>
        <w:trPr>
          <w:trHeight w:val="25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general and administrative costs</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2,498</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25,591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29,756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7,020</w:t>
            </w:r>
          </w:p>
        </w:tc>
      </w:tr>
      <w:tr>
        <w:trPr>
          <w:trHeight w:val="20"/>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40"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Directors' emoluments and staff costs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7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average number of employees (excluding directors) of the Company during the year:</w:t>
            </w: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3"/>
                <w:szCs w:val="23"/>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22"/>
                <w:szCs w:val="22"/>
                <w:color w:val="auto"/>
              </w:rPr>
            </w:pPr>
          </w:p>
        </w:tc>
      </w:tr>
      <w:tr>
        <w:trPr>
          <w:trHeight w:val="20"/>
        </w:trPr>
        <w:tc>
          <w:tcPr>
            <w:tcW w:w="7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91"/>
        </w:trPr>
        <w:tc>
          <w:tcPr>
            <w:tcW w:w="778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7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Aggregate emoluments of directors:</w:t>
            </w: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Salaries and other short-term employee benefits</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22"/>
                <w:szCs w:val="22"/>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Social security costs</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Incremental payment for additional services</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pension costs</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23"/>
                <w:szCs w:val="23"/>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8"/>
                <w:szCs w:val="18"/>
                <w:color w:val="auto"/>
              </w:rPr>
              <w:t>Total directors' emoluments</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21"/>
                <w:szCs w:val="2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1,337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bottom w:val="single" w:sz="8" w:color="auto"/>
            </w:tcBorders>
            <w:shd w:val="clear" w:color="auto" w:fill="CCEEFF"/>
          </w:tcPr>
          <w:p>
            <w:pPr>
              <w:spacing w:after="0"/>
              <w:rPr>
                <w:sz w:val="23"/>
                <w:szCs w:val="23"/>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Directors' emoluments including share-based payment charge</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2,298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Borders>
              <w:bottom w:val="single" w:sz="8" w:color="auto"/>
            </w:tcBorders>
          </w:tcPr>
          <w:p>
            <w:pPr>
              <w:spacing w:after="0"/>
              <w:rPr>
                <w:sz w:val="22"/>
                <w:szCs w:val="22"/>
                <w:color w:val="auto"/>
              </w:rPr>
            </w:pPr>
          </w:p>
        </w:tc>
      </w:tr>
      <w:tr>
        <w:trPr>
          <w:trHeight w:val="20"/>
        </w:trPr>
        <w:tc>
          <w:tcPr>
            <w:tcW w:w="7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91"/>
        </w:trPr>
        <w:tc>
          <w:tcPr>
            <w:tcW w:w="778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7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r>
    </w:tbl>
    <w:p>
      <w:pPr>
        <w:spacing w:after="0" w:line="54"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Aggregate executive officers costs: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Wages and salaries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Incremental payment for additional services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payment charge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pension costs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executive officers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16"/>
                <w:szCs w:val="16"/>
                <w:color w:val="auto"/>
              </w:rPr>
            </w:pPr>
          </w:p>
        </w:tc>
      </w:tr>
      <w:tr>
        <w:trPr>
          <w:trHeight w:val="539"/>
        </w:trPr>
        <w:tc>
          <w:tcPr>
            <w:tcW w:w="1160" w:type="dxa"/>
            <w:vAlign w:val="bottom"/>
          </w:tcPr>
          <w:p>
            <w:pPr>
              <w:jc w:val="right"/>
              <w:ind w:right="57"/>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4"/>
                <w:szCs w:val="24"/>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r>
      <w:tr>
        <w:trPr>
          <w:trHeight w:val="270"/>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3"/>
                <w:szCs w:val="23"/>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3"/>
                <w:szCs w:val="23"/>
                <w:color w:val="auto"/>
              </w:rPr>
            </w:pPr>
          </w:p>
        </w:tc>
      </w:tr>
      <w:tr>
        <w:trPr>
          <w:trHeight w:val="277"/>
        </w:trPr>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64"/>
        </w:trPr>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2"/>
                <w:szCs w:val="2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24"/>
                <w:szCs w:val="24"/>
                <w:color w:val="auto"/>
              </w:rPr>
            </w:pPr>
          </w:p>
        </w:tc>
      </w:tr>
      <w:tr>
        <w:trPr>
          <w:trHeight w:val="16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96"/>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-1671955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-1328420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-985520</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-642620</wp:posOffset>
            </wp:positionV>
            <wp:extent cx="722947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060" w:space="720"/>
            <w:col w:w="36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£'000s</w:t>
            </w: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£'000s</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Aggregate other staff costs:</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Wages and salaries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515</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Social security costs</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63"/>
        </w:trPr>
        <w:tc>
          <w:tcPr>
            <w:tcW w:w="7780" w:type="dxa"/>
            <w:vAlign w:val="bottom"/>
          </w:tcPr>
          <w:p>
            <w:pPr>
              <w:ind w:left="40"/>
              <w:spacing w:after="0"/>
              <w:rPr>
                <w:sz w:val="20"/>
                <w:szCs w:val="20"/>
                <w:color w:val="auto"/>
              </w:rPr>
            </w:pPr>
            <w:r>
              <w:rPr>
                <w:rFonts w:ascii="Arial" w:cs="Arial" w:eastAsia="Arial" w:hAnsi="Arial"/>
                <w:sz w:val="18"/>
                <w:szCs w:val="18"/>
                <w:color w:val="auto"/>
              </w:rPr>
              <w:t>Incremental payment for additional services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pension costs</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staff costs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key management personnel to comprise directors and executive officers.</w:t>
      </w:r>
    </w:p>
    <w:p>
      <w:pPr>
        <w:spacing w:after="0" w:line="27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operates a defined contribution pension scheme for U.K. employees and executive directors. The total pension cost during the year ended December 31, 2018 was £63 thousand (2017: £55 thousand and 2016: £30 thousand). There were no prepaid or accrued contributions to the scheme at December 31, 2018 (2017 and 2016: £nil).</w:t>
      </w:r>
    </w:p>
    <w:p>
      <w:pPr>
        <w:sectPr>
          <w:pgSz w:w="11900" w:h="16838" w:orient="portrait"/>
          <w:cols w:equalWidth="0" w:num="1">
            <w:col w:w="11420"/>
          </w:cols>
          <w:pgMar w:left="240" w:top="140" w:right="239" w:bottom="1440" w:gutter="0" w:footer="0" w:header="0"/>
          <w:type w:val="continuous"/>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40" w:right="2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income and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75"/>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Foreign exchange gain on translating foreign currency denominated balances</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6,650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income</w:t>
            </w:r>
          </w:p>
        </w:tc>
        <w:tc>
          <w:tcPr>
            <w:tcW w:w="12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2,783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7,018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4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17)</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1,219</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Transaction costs allocated to the issue of warrants (note 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on translating foreign currency denominated balances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Remeasurement of assumed contingent arrangement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 related to the assumed contingent arrangement (note 19)</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finance expense</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20"/>
              <w:spacing w:after="0"/>
              <w:rPr>
                <w:sz w:val="20"/>
                <w:szCs w:val="20"/>
                <w:color w:val="auto"/>
              </w:rPr>
            </w:pPr>
            <w:r>
              <w:rPr>
                <w:rFonts w:ascii="Arial" w:cs="Arial" w:eastAsia="Arial" w:hAnsi="Arial"/>
                <w:sz w:val="18"/>
                <w:szCs w:val="18"/>
                <w:color w:val="auto"/>
              </w:rPr>
              <w:t>F-23</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40" w:type="dxa"/>
            <w:vAlign w:val="bottom"/>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Analysis of tax credit for the year</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Current tax:</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 tax credit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U.S. tax charge</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129</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in respect of prior periods</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tax credit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0" w:right="260"/>
        <w:spacing w:after="0" w:line="246" w:lineRule="auto"/>
        <w:rPr>
          <w:sz w:val="20"/>
          <w:szCs w:val="20"/>
          <w:color w:val="auto"/>
        </w:rPr>
      </w:pPr>
      <w:r>
        <w:rPr>
          <w:rFonts w:ascii="Arial" w:cs="Arial" w:eastAsia="Arial" w:hAnsi="Arial"/>
          <w:sz w:val="18"/>
          <w:szCs w:val="18"/>
          <w:color w:val="auto"/>
        </w:rPr>
        <w:t>The difference between the total tax shown above and the amount calculated by applying the standard rate of tax to the loss before tax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Factors affecting the tax credit for the year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on ordinary activities before taxation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(25,203)</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Multiplied by standard rate of corporation tax of 19% (2017: 19.25% and 2016: 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Effects of:</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Fair value adjustment on derivative financial instruments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incentive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Temporary differences not recognized</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Difference in overseas tax rates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Tax losses carried forward not recognized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in respect of prior periods</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tax credit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U.K. corporation tax is charged at 19% (2017: 19.25% and 2016: 20.00%) and U.S. federal and state tax at 27.6% (2017 and 2016: 35%).</w:t>
      </w:r>
    </w:p>
    <w:p>
      <w:pPr>
        <w:spacing w:after="0" w:line="279"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following tables represent deferred tax balances recognized in the Consolidated Statement of Financial Position. There were no movements in either the deferred tax asset or the deferred tax liability.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at</w:t>
            </w:r>
          </w:p>
        </w:tc>
        <w:tc>
          <w:tcPr>
            <w:tcW w:w="1240" w:type="dxa"/>
            <w:vAlign w:val="bottom"/>
          </w:tcPr>
          <w:p>
            <w:pPr>
              <w:jc w:val="right"/>
              <w:ind w:right="360"/>
              <w:spacing w:after="0"/>
              <w:rPr>
                <w:sz w:val="20"/>
                <w:szCs w:val="20"/>
                <w:color w:val="auto"/>
              </w:rPr>
            </w:pPr>
            <w:r>
              <w:rPr>
                <w:rFonts w:ascii="Arial" w:cs="Arial" w:eastAsia="Arial" w:hAnsi="Arial"/>
                <w:sz w:val="14"/>
                <w:szCs w:val="14"/>
                <w:b w:val="1"/>
                <w:bCs w:val="1"/>
                <w:color w:val="auto"/>
              </w:rPr>
              <w:t>As at</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tax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balances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deferred tax liability relates to the difference between the accounting and tax bases of the IP R&amp;D intangible asset. A deferred tax asset relating to UK tax losses has been recognized and offset against the liability.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tax charges</w:t>
      </w:r>
    </w:p>
    <w:p>
      <w:pPr>
        <w:spacing w:after="0" w:line="30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has U.K. tax losses available for offset against future profits in the United Kingdom. However an additional deferred tax asset has not been recognized in respect of such items due to uncertainty of future profit streams. As of December 31, 2018, the unrecognized deferred tax asset at 17% is estimated to be £6.65 million (2017: £5.43 million at 17%).</w:t>
      </w:r>
    </w:p>
    <w:p>
      <w:pPr>
        <w:sectPr>
          <w:pgSz w:w="11900" w:h="16838" w:orient="portrait"/>
          <w:cols w:equalWidth="0" w:num="1">
            <w:col w:w="11420"/>
          </w:cols>
          <w:pgMar w:left="240" w:top="14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40"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62"/>
        </w:trPr>
        <w:tc>
          <w:tcPr>
            <w:tcW w:w="866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66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2017</w:t>
            </w:r>
          </w:p>
        </w:tc>
      </w:tr>
      <w:tr>
        <w:trPr>
          <w:trHeight w:val="250"/>
        </w:trPr>
        <w:tc>
          <w:tcPr>
            <w:tcW w:w="866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at January 1 and December 31</w:t>
            </w: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441</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in connection with the acquisition of Rhinopharma in September 2006. Goodwill is not amortized, but is tested annually for impairment.</w:t>
      </w:r>
    </w:p>
    <w:p>
      <w:pPr>
        <w:spacing w:after="0" w:line="2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Recognizing that the Company is still in its pre-revenue phase and that the research projects are not yet ready for commercial use, the Company assesses the recoverable amount of the CGU containing the IP R&amp;D and goodwill with reference to the Company's market capitalization as of December 31, 2018, the date of testing of IP R&amp;D and goodwill impairment. The market capitalization of the Company was approximately £92.2 million as of December 31, 2018, (2017: £109.7 million) compared to the Company's net assets of £62.9 million (2017: £79.9 million).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Computer</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 R&amp;D</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Patents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£'000s</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At January 1, 2017</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2,067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Disposals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December 31, 2017</w:t>
            </w:r>
          </w:p>
        </w:tc>
        <w:tc>
          <w:tcPr>
            <w:tcW w:w="1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2,207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January 1, 2017</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Charge for year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At December 31, 2017</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238</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At December 31,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1,969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91"/>
        </w:trPr>
        <w:tc>
          <w:tcPr>
            <w:tcW w:w="5160" w:type="dxa"/>
            <w:vAlign w:val="bottom"/>
          </w:tcPr>
          <w:p>
            <w:pPr>
              <w:spacing w:after="0"/>
              <w:rPr>
                <w:sz w:val="24"/>
                <w:szCs w:val="24"/>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F-25</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Computer</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 R&amp;D</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Patents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£'000s</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At January 1, 2018</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2,207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Disposals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December 31, 2018</w:t>
            </w:r>
          </w:p>
        </w:tc>
        <w:tc>
          <w:tcPr>
            <w:tcW w:w="15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January 1, 2018</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Charge for year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At December 31, 2018</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322</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At December 31,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Intangible assets comprise patents, computer software and an IP R&amp;D asset that arose on the acquisition of Rhinopharma and investment in patents to protect ensifentrine.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IP R&amp;D is currently not amortized and is reviewed for impairment on an annual basis, together with goodwill, or where there is an indication that the assets might be impaired until the asset is brought into use.</w:t>
      </w:r>
    </w:p>
    <w:p>
      <w:pPr>
        <w:spacing w:after="0" w:line="250"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Patents are amortized over a period of ten years and are regularly reviewed for impairment to ensure the carrying amount exceeds the recoverable amount in accordance with note 2.8.</w:t>
      </w:r>
    </w:p>
    <w:p>
      <w:pPr>
        <w:spacing w:after="0" w:line="2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Recognizing that the Company is still in its pre-revenue phase and that the research projects are not yet ready for commercial use, the Company assesses the recoverable amount of the CGU containing the IP R&amp;D and goodwill with reference to the Company's market capitalization as of December 31, 2018, the date of testing of IP R&amp;D and goodwill impairment. The market capitalization of the Company was approximately £92.2 million as of December 31, 2018, (2017: £109.7 million) compared to the Company's net assets of £62.9 million (2017: £79.9 million). Therefore, no impairment was recognized.</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notes that after the reduction in the share price since December 31, 2018, and as at February 21, 2019, the market value of the Company was £6.6 million less than the net book value as of 31 December 2018. The Company judges that the decline in the share price was a reaction to recent clinical trial results and was driven by relatively low trading volumes. The Company believes that the trial data was encouraging and notes that this has not resulted in a significant change in development plans, timelines, potential market share or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40"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Property, plant and equipment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w w:val="99"/>
              </w:rPr>
              <w:t>Computer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8320" w:type="dxa"/>
            <w:vAlign w:val="bottom"/>
          </w:tcPr>
          <w:p>
            <w:pPr>
              <w:spacing w:after="0"/>
              <w:rPr>
                <w:sz w:val="17"/>
                <w:szCs w:val="17"/>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hardware</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8320" w:type="dxa"/>
            <w:vAlign w:val="bottom"/>
          </w:tcPr>
          <w:p>
            <w:pPr>
              <w:spacing w:after="0"/>
              <w:rPr>
                <w:sz w:val="21"/>
                <w:szCs w:val="21"/>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w w:val="99"/>
              </w:rPr>
              <w:t>£'000s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434"/>
              <w:spacing w:after="0"/>
              <w:rPr>
                <w:sz w:val="20"/>
                <w:szCs w:val="20"/>
                <w:color w:val="auto"/>
              </w:rPr>
            </w:pPr>
            <w:r>
              <w:rPr>
                <w:rFonts w:ascii="Arial" w:cs="Arial" w:eastAsia="Arial" w:hAnsi="Arial"/>
                <w:sz w:val="14"/>
                <w:szCs w:val="14"/>
                <w:b w:val="1"/>
                <w:bCs w:val="1"/>
                <w:color w:val="auto"/>
              </w:rPr>
              <w:t>£'000s</w:t>
            </w:r>
          </w:p>
        </w:tc>
      </w:tr>
      <w:tr>
        <w:trPr>
          <w:trHeight w:val="276"/>
        </w:trPr>
        <w:tc>
          <w:tcPr>
            <w:tcW w:w="94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At January 1, 2017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1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r>
      <w:tr>
        <w:trPr>
          <w:trHeight w:val="25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At December 31, 2017</w:t>
            </w: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r>
      <w:tr>
        <w:trPr>
          <w:trHeight w:val="270"/>
        </w:trPr>
        <w:tc>
          <w:tcPr>
            <w:tcW w:w="94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depreciation</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At January 1, 2017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 for the year</w:t>
            </w:r>
          </w:p>
        </w:tc>
        <w:tc>
          <w:tcPr>
            <w:tcW w:w="11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r>
      <w:tr>
        <w:trPr>
          <w:trHeight w:val="25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At December 31, 2017</w:t>
            </w: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r>
      <w:tr>
        <w:trPr>
          <w:trHeight w:val="270"/>
        </w:trPr>
        <w:tc>
          <w:tcPr>
            <w:tcW w:w="94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57"/>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At December 31, 2017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16</w:t>
            </w:r>
          </w:p>
        </w:tc>
      </w:tr>
      <w:tr>
        <w:trPr>
          <w:trHeight w:val="20"/>
        </w:trPr>
        <w:tc>
          <w:tcPr>
            <w:tcW w:w="8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381"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Computer</w:t>
      </w:r>
    </w:p>
    <w:p>
      <w:pPr>
        <w:spacing w:after="0" w:line="3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14605</wp:posOffset>
            </wp:positionV>
            <wp:extent cx="943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7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26035</wp:posOffset>
            </wp:positionV>
            <wp:extent cx="934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£'000s</w:t>
      </w:r>
    </w:p>
    <w:p>
      <w:pPr>
        <w:spacing w:after="0" w:line="59" w:lineRule="exact"/>
        <w:rPr>
          <w:sz w:val="20"/>
          <w:szCs w:val="20"/>
          <w:color w:val="auto"/>
        </w:rPr>
      </w:pPr>
    </w:p>
    <w:p>
      <w:pPr>
        <w:sectPr>
          <w:pgSz w:w="11900" w:h="16838" w:orient="portrait"/>
          <w:cols w:equalWidth="0" w:num="2">
            <w:col w:w="9720" w:space="720"/>
            <w:col w:w="960"/>
          </w:cols>
          <w:pgMar w:left="240" w:top="140" w:right="25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Cost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00" w:type="dxa"/>
            <w:vAlign w:val="bottom"/>
          </w:tcPr>
          <w:p>
            <w:pPr>
              <w:ind w:left="40"/>
              <w:spacing w:after="0"/>
              <w:rPr>
                <w:sz w:val="20"/>
                <w:szCs w:val="20"/>
                <w:color w:val="auto"/>
              </w:rPr>
            </w:pPr>
            <w:r>
              <w:rPr>
                <w:rFonts w:ascii="Arial" w:cs="Arial" w:eastAsia="Arial" w:hAnsi="Arial"/>
                <w:sz w:val="18"/>
                <w:szCs w:val="18"/>
                <w:color w:val="auto"/>
              </w:rPr>
              <w:t>At January 1, 2018</w:t>
            </w:r>
          </w:p>
        </w:tc>
        <w:tc>
          <w:tcPr>
            <w:tcW w:w="592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44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50"/>
        </w:trPr>
        <w:tc>
          <w:tcPr>
            <w:tcW w:w="3900" w:type="dxa"/>
            <w:vAlign w:val="bottom"/>
          </w:tcPr>
          <w:p>
            <w:pPr>
              <w:ind w:left="40"/>
              <w:spacing w:after="0"/>
              <w:rPr>
                <w:sz w:val="20"/>
                <w:szCs w:val="20"/>
                <w:color w:val="auto"/>
              </w:rPr>
            </w:pPr>
            <w:r>
              <w:rPr>
                <w:rFonts w:ascii="Arial" w:cs="Arial" w:eastAsia="Arial" w:hAnsi="Arial"/>
                <w:sz w:val="18"/>
                <w:szCs w:val="18"/>
                <w:color w:val="auto"/>
              </w:rPr>
              <w:t>At December 31, 2018</w:t>
            </w:r>
          </w:p>
        </w:tc>
        <w:tc>
          <w:tcPr>
            <w:tcW w:w="592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depreciation</w:t>
            </w:r>
          </w:p>
        </w:tc>
        <w:tc>
          <w:tcPr>
            <w:tcW w:w="442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At January 1, 2018</w:t>
            </w:r>
          </w:p>
        </w:tc>
        <w:tc>
          <w:tcPr>
            <w:tcW w:w="59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 for the year</w:t>
            </w:r>
          </w:p>
        </w:tc>
        <w:tc>
          <w:tcPr>
            <w:tcW w:w="44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0"/>
        </w:trPr>
        <w:tc>
          <w:tcPr>
            <w:tcW w:w="3900" w:type="dxa"/>
            <w:vAlign w:val="bottom"/>
          </w:tcPr>
          <w:p>
            <w:pPr>
              <w:ind w:left="40"/>
              <w:spacing w:after="0"/>
              <w:rPr>
                <w:sz w:val="20"/>
                <w:szCs w:val="20"/>
                <w:color w:val="auto"/>
              </w:rPr>
            </w:pPr>
            <w:r>
              <w:rPr>
                <w:rFonts w:ascii="Arial" w:cs="Arial" w:eastAsia="Arial" w:hAnsi="Arial"/>
                <w:sz w:val="18"/>
                <w:szCs w:val="18"/>
                <w:color w:val="auto"/>
              </w:rPr>
              <w:t>At December 31, 2018</w:t>
            </w:r>
          </w:p>
        </w:tc>
        <w:tc>
          <w:tcPr>
            <w:tcW w:w="592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book value</w:t>
            </w:r>
          </w:p>
        </w:tc>
        <w:tc>
          <w:tcPr>
            <w:tcW w:w="442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At December 31, 2018</w:t>
            </w:r>
          </w:p>
        </w:tc>
        <w:tc>
          <w:tcPr>
            <w:tcW w:w="592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0"/>
        </w:trPr>
        <w:tc>
          <w:tcPr>
            <w:tcW w:w="3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6020" w:type="dxa"/>
            <w:vAlign w:val="bottom"/>
            <w:gridSpan w:val="3"/>
          </w:tcPr>
          <w:p>
            <w:pPr>
              <w:ind w:left="1620"/>
              <w:spacing w:after="0"/>
              <w:rPr>
                <w:sz w:val="20"/>
                <w:szCs w:val="20"/>
                <w:color w:val="auto"/>
              </w:rPr>
            </w:pPr>
            <w:r>
              <w:rPr>
                <w:rFonts w:ascii="Arial" w:cs="Arial" w:eastAsia="Arial" w:hAnsi="Arial"/>
                <w:sz w:val="18"/>
                <w:szCs w:val="18"/>
                <w:color w:val="auto"/>
              </w:rPr>
              <w:t>F-27</w:t>
            </w: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Prepayments and other receivables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jc w:val="right"/>
              <w:ind w:right="300"/>
              <w:spacing w:after="0"/>
              <w:rPr>
                <w:sz w:val="20"/>
                <w:szCs w:val="20"/>
                <w:color w:val="auto"/>
              </w:rPr>
            </w:pPr>
            <w:r>
              <w:rPr>
                <w:rFonts w:ascii="Arial" w:cs="Arial" w:eastAsia="Arial" w:hAnsi="Arial"/>
                <w:sz w:val="14"/>
                <w:szCs w:val="14"/>
                <w:b w:val="1"/>
                <w:bCs w:val="1"/>
                <w:color w:val="auto"/>
              </w:rPr>
              <w:t>As of</w:t>
            </w:r>
          </w:p>
        </w:tc>
      </w:tr>
      <w:tr>
        <w:trPr>
          <w:trHeight w:val="162"/>
        </w:trPr>
        <w:tc>
          <w:tcPr>
            <w:tcW w:w="902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020" w:type="dxa"/>
            <w:vAlign w:val="bottom"/>
          </w:tcPr>
          <w:p>
            <w:pPr>
              <w:spacing w:after="0"/>
              <w:rPr>
                <w:sz w:val="17"/>
                <w:szCs w:val="17"/>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receivables</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672</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receivables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1,810</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prepayments balance includes prepayments for insurance and clinical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40"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Capital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Company's share capital are summarized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740"/>
              <w:spacing w:after="0"/>
              <w:rPr>
                <w:sz w:val="20"/>
                <w:szCs w:val="20"/>
                <w:color w:val="auto"/>
              </w:rPr>
            </w:pPr>
            <w:r>
              <w:rPr>
                <w:rFonts w:ascii="Arial" w:cs="Arial" w:eastAsia="Arial" w:hAnsi="Arial"/>
                <w:sz w:val="16"/>
                <w:szCs w:val="16"/>
                <w:b w:val="1"/>
                <w:bCs w:val="1"/>
                <w:color w:val="auto"/>
              </w:rPr>
              <w:t>Number of</w:t>
            </w:r>
          </w:p>
        </w:tc>
        <w:tc>
          <w:tcPr>
            <w:tcW w:w="1820" w:type="dxa"/>
            <w:vAlign w:val="bottom"/>
          </w:tcPr>
          <w:p>
            <w:pPr>
              <w:jc w:val="right"/>
              <w:ind w:right="312"/>
              <w:spacing w:after="0"/>
              <w:rPr>
                <w:sz w:val="20"/>
                <w:szCs w:val="20"/>
                <w:color w:val="auto"/>
              </w:rPr>
            </w:pPr>
            <w:r>
              <w:rPr>
                <w:rFonts w:ascii="Arial" w:cs="Arial" w:eastAsia="Arial" w:hAnsi="Arial"/>
                <w:sz w:val="16"/>
                <w:szCs w:val="16"/>
                <w:b w:val="1"/>
                <w:bCs w:val="1"/>
                <w:color w:val="auto"/>
              </w:rPr>
              <w:t>Share Capital</w:t>
            </w:r>
          </w:p>
        </w:tc>
      </w:tr>
      <w:tr>
        <w:trPr>
          <w:trHeight w:val="22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Description</w:t>
            </w:r>
          </w:p>
        </w:tc>
        <w:tc>
          <w:tcPr>
            <w:tcW w:w="12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amounts in £'000s</w:t>
            </w:r>
          </w:p>
        </w:tc>
      </w:tr>
      <w:tr>
        <w:trPr>
          <w:trHeight w:val="264"/>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January 1, 2017</w:t>
            </w:r>
          </w:p>
        </w:tc>
        <w:tc>
          <w:tcPr>
            <w:tcW w:w="2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51,361,063</w:t>
            </w:r>
          </w:p>
        </w:tc>
        <w:tc>
          <w:tcPr>
            <w:tcW w:w="100" w:type="dxa"/>
            <w:vAlign w:val="bottom"/>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2,568</w:t>
            </w:r>
          </w:p>
        </w:tc>
      </w:tr>
      <w:tr>
        <w:trPr>
          <w:trHeight w:val="25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May 2, 2017</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Issuance of shares</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47,653,100</w:t>
            </w:r>
          </w:p>
        </w:tc>
        <w:tc>
          <w:tcPr>
            <w:tcW w:w="10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2,383</w:t>
            </w:r>
          </w:p>
        </w:tc>
      </w:tr>
      <w:tr>
        <w:trPr>
          <w:trHeight w:val="277"/>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18, 2017</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Issuance of shares</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5,539,080</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r>
      <w:tr>
        <w:trPr>
          <w:trHeight w:val="26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May 26, 2017</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Issuance of shares</w:t>
            </w:r>
          </w:p>
        </w:tc>
        <w:tc>
          <w:tcPr>
            <w:tcW w:w="2280" w:type="dxa"/>
            <w:vAlign w:val="bottom"/>
          </w:tcPr>
          <w:p>
            <w:pPr>
              <w:jc w:val="right"/>
              <w:ind w:right="32"/>
              <w:spacing w:after="0"/>
              <w:rPr>
                <w:sz w:val="20"/>
                <w:szCs w:val="20"/>
                <w:color w:val="auto"/>
              </w:rPr>
            </w:pPr>
            <w:r>
              <w:rPr>
                <w:rFonts w:ascii="Arial" w:cs="Arial" w:eastAsia="Arial" w:hAnsi="Arial"/>
                <w:sz w:val="18"/>
                <w:szCs w:val="18"/>
                <w:color w:val="auto"/>
              </w:rPr>
              <w:t>330,824</w:t>
            </w:r>
          </w:p>
        </w:tc>
        <w:tc>
          <w:tcPr>
            <w:tcW w:w="100" w:type="dxa"/>
            <w:vAlign w:val="bottom"/>
          </w:tcPr>
          <w:p>
            <w:pPr>
              <w:spacing w:after="0"/>
              <w:rPr>
                <w:sz w:val="22"/>
                <w:szCs w:val="22"/>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77"/>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13, 2017</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Exercise of options</w:t>
            </w:r>
          </w:p>
        </w:tc>
        <w:tc>
          <w:tcPr>
            <w:tcW w:w="2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r>
      <w:tr>
        <w:trPr>
          <w:trHeight w:val="244"/>
        </w:trPr>
        <w:tc>
          <w:tcPr>
            <w:tcW w:w="4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As at December 31, 2017</w:t>
            </w:r>
          </w:p>
        </w:tc>
        <w:tc>
          <w:tcPr>
            <w:tcW w:w="2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105,017,400</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5,251</w:t>
            </w:r>
          </w:p>
        </w:tc>
      </w:tr>
      <w:tr>
        <w:trPr>
          <w:trHeight w:val="257"/>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9, 2018</w:t>
            </w:r>
          </w:p>
        </w:tc>
        <w:tc>
          <w:tcPr>
            <w:tcW w:w="2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Vesting of RSUs</w:t>
            </w:r>
          </w:p>
        </w:tc>
        <w:tc>
          <w:tcPr>
            <w:tcW w:w="2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58,112</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64"/>
        </w:trPr>
        <w:tc>
          <w:tcPr>
            <w:tcW w:w="4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September 20, 2018</w:t>
            </w:r>
          </w:p>
        </w:tc>
        <w:tc>
          <w:tcPr>
            <w:tcW w:w="240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color w:val="auto"/>
              </w:rPr>
              <w:t>Vesting of RSUs</w:t>
            </w:r>
          </w:p>
        </w:tc>
        <w:tc>
          <w:tcPr>
            <w:tcW w:w="2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251,125</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r>
      <w:tr>
        <w:trPr>
          <w:trHeight w:val="250"/>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at December 31, 2018</w:t>
            </w:r>
          </w:p>
        </w:tc>
        <w:tc>
          <w:tcPr>
            <w:tcW w:w="2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105,326,637</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5,266</w:t>
            </w:r>
          </w:p>
        </w:tc>
      </w:tr>
    </w:tbl>
    <w:p>
      <w:pPr>
        <w:spacing w:after="0" w:line="269"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total number of authorized ordinary shares, with a nominal value of £0.05 each, is 200,000,000 (share capital of £10,000,000). All 105,326,637 ordinary shares at December 31, 2018 are allotted, unrestricted, called up and fully paid.</w:t>
      </w:r>
    </w:p>
    <w:p>
      <w:pPr>
        <w:spacing w:after="0" w:line="25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As at December 31, 2018, the number of ordinary shares in issue was 105,326,637. All new ordinary shares rank pari passu with existing ordinary shares.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issued 309,237 ordinary shares upon vesting of employee restricted share units.</w:t>
      </w:r>
    </w:p>
    <w:p>
      <w:pPr>
        <w:spacing w:after="0" w:line="2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April 26, 2017, the Company announced the closing of the Global Offering of an aggregate of 47,399,001 new ordinary shares, comprising 5,768,000 ADSs at a price of $13.50 per ADS and 1,255,001 ordinary shares at a price of £1.32 per ordinary share. During May 2017, the underwriters purchased an additional 733,738 ADSs, representing 5,869,904 ordinary shares, at a price of $13.50 per ADS. The total gross proceeds in the Global Offering amounted to $89.9 million (£70.0 million).</w:t>
      </w:r>
    </w:p>
    <w:p>
      <w:pPr>
        <w:spacing w:after="0" w:line="25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addition, the Chairman of Verona Pharma’s board of directors, Dr. David Ebsworth, and an existing shareholder agreed to subscribe for 254,099 new ordinary shares at a price of £1.32 per ordinary share in the Shareholder Private Placement, contingent on and concurrent with the Global Offering and generating gross proceeds of £0.3 million.</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Where there is a time and foreign exchange difference between proceeds from a share issue becoming due and being received, the movement is taken to Finance income or Finance expense as appropriate. In respect of the Global Offering and Shareholder Private Placement, the Company recorded a finance expense of £439 thousand arising from movements in exchange rates on funds receivable, offset by a saving on commission payable of £31 thousand, for a net finance expense of £408 thousand.</w:t>
      </w:r>
    </w:p>
    <w:p>
      <w:pPr>
        <w:spacing w:after="0" w:line="2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September 13, 2017, the company issued 133,333 new shares upon exercise of share options at 110p per share, resulting in proceeds of £147 thousand to the Company.</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February 8, 2017, the board of directors of the Company approved a share consolidation where every 50 existing ordinary shares of £0.001 were consolidated into one ordinary share of £0.05.</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40"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recognized over the period until the award vests. No expense is recognized for awards that do not ultimately vest. At each reporting date, the cumulative expense recognized for equity-based transactions reflects the extent to which the vesting period has expired and the number of awards that, in the opinion of the Directors at that date, will ultimately vest.</w:t>
      </w:r>
    </w:p>
    <w:p>
      <w:pPr>
        <w:spacing w:after="0" w:line="263"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 costs of equity-settled share-based payments to employees are recognized in the Statement of Comprehensive Income, together with a corresponding increase in equity during the vesting period. During the twelve months ended December 31, 2018, the Company recognized a share-based payment expense of £2.90 million (2017: £2.92 million). The charge is included within both general and administrative costs as well as in research and development costs and represents the current year's allocation of the expense for relevant share options.</w:t>
      </w:r>
    </w:p>
    <w:p>
      <w:pPr>
        <w:spacing w:after="0" w:line="2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granted share options under an Unapproved Share Option Scheme (the "Unapproved Scheme"). Under the Unapproved Scheme, options were granted to employees, directors and consultants to acquire shares at a price to be determined by the Directors. In general, options granted prior to December 31, 2016 were granted at a premium to the share price at the date of grant and vested over a period of three years from the date of grant, one third vesting on the first anniversary of grant, a further third vesting on the second anniversary of grant and the remainder vesting on the third anniversary of grant.</w:t>
      </w:r>
    </w:p>
    <w:p>
      <w:pPr>
        <w:spacing w:after="0" w:line="2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Options granted since January 1, 2017 generally vest over three or four years from the date of the grant using two different methods. The first method is one third vesting over one year, the second third vesting over two years and the final third vesting over three years. The second method is one quarter vesting over one year, the second quarter vesting over two years, the third quarter vesting over three years and the final quarter vesting over four years. The vesting period is defined as the period between the date of grant and the date when the options become exercisable. The options are exercisable during a period ending ten years after the date of grant.</w:t>
      </w:r>
    </w:p>
    <w:p>
      <w:pPr>
        <w:spacing w:after="0" w:line="26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Options were issued to advisors under the Unapproved Scheme. Such options generally vested immediately and were exercisable between one and two years after grant.</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2016, the Company issued options under its tax efficient EMI Option Scheme (the "EMI Scheme"). Under the EMI Scheme, options were granted to employees and directors who were contracted to work at least 25 hours a week for the Company or for at least 75% of their working time. The options granted under the EMI Scheme are exercisable at a price that is above the share price at the date of the grant and in accordance with a vesting schedule determined by the Directors at the time of grant and have an exercise period of ten years from the date of grant.</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its 2017 Incentive Award Plan, the Company grants RSUs to employees and directors. The RSUs vest over a period of three or four years from the date of the grant using two different methods. The first method is one third vesting over one year, the second third vesting over two years and the final third vesting over three years. The second method is one quarter vesting over one year, the second quarter vesting over two years, the third quarter vesting over three years and the final quarter vesting over four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2018, under the 2017 Incentive Award Plan, the Company granted 2,090,847 (2017: 4,656,828 ) share</w:t>
      </w:r>
    </w:p>
    <w:p>
      <w:pPr>
        <w:spacing w:after="0" w:line="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options and 273,390 RSUs (2017: 1,052,236 ). The total fair values of the options and RSUs were estimated using the Black-Scholes option-pricing model for equity-settled transactions and amounted to £2.32 million (2017: £5.33 million). The cost is amortized over the vesting period of the options and RSUs on a straight-line basis.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140"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assumptions were used for the Black-Scholes valuation of share options and RSUs granted in 2017 and 2018. For the options granted under the Unapproved Scheme the table indicates the ranges used in determining the fair-market values, aligning with the various dates of the underlying grants. The volatility is calculated using historic weekly averages of the Company's share price over a period that is in line with the expected life of the options and RSUs.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ind w:left="480"/>
              <w:spacing w:after="0"/>
              <w:rPr>
                <w:sz w:val="20"/>
                <w:szCs w:val="20"/>
                <w:color w:val="auto"/>
              </w:rPr>
            </w:pPr>
            <w:r>
              <w:rPr>
                <w:rFonts w:ascii="Arial" w:cs="Arial" w:eastAsia="Arial" w:hAnsi="Arial"/>
                <w:sz w:val="18"/>
                <w:szCs w:val="18"/>
                <w:b w:val="1"/>
                <w:bCs w:val="1"/>
                <w:color w:val="auto"/>
              </w:rPr>
              <w:t>Unapproved</w:t>
            </w:r>
          </w:p>
        </w:tc>
        <w:tc>
          <w:tcPr>
            <w:tcW w:w="2240" w:type="dxa"/>
            <w:vAlign w:val="bottom"/>
          </w:tcPr>
          <w:p>
            <w:pPr>
              <w:spacing w:after="0"/>
              <w:rPr>
                <w:sz w:val="17"/>
                <w:szCs w:val="17"/>
                <w:color w:val="auto"/>
              </w:rPr>
            </w:pPr>
          </w:p>
        </w:tc>
      </w:tr>
      <w:tr>
        <w:trPr>
          <w:trHeight w:val="246"/>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Issued in 2017</w:t>
            </w: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Scheme</w:t>
            </w:r>
          </w:p>
        </w:tc>
        <w:tc>
          <w:tcPr>
            <w:tcW w:w="10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Restricted Stock Units</w:t>
            </w:r>
          </w:p>
        </w:tc>
      </w:tr>
      <w:tr>
        <w:trPr>
          <w:trHeight w:val="25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granted</w:t>
            </w:r>
          </w:p>
        </w:tc>
        <w:tc>
          <w:tcPr>
            <w:tcW w:w="2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4,656,828</w:t>
            </w: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1,052,236</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jc w:val="right"/>
              <w:ind w:right="110"/>
              <w:spacing w:after="0"/>
              <w:rPr>
                <w:sz w:val="20"/>
                <w:szCs w:val="20"/>
                <w:color w:val="auto"/>
              </w:rPr>
            </w:pPr>
            <w:r>
              <w:rPr>
                <w:rFonts w:ascii="Arial" w:cs="Arial" w:eastAsia="Arial" w:hAnsi="Arial"/>
                <w:sz w:val="18"/>
                <w:szCs w:val="18"/>
                <w:color w:val="auto"/>
              </w:rPr>
              <w:t>0.29% - 0.62%</w:t>
            </w:r>
          </w:p>
        </w:tc>
        <w:tc>
          <w:tcPr>
            <w:tcW w:w="100" w:type="dxa"/>
            <w:vAlign w:val="bottom"/>
          </w:tcPr>
          <w:p>
            <w:pPr>
              <w:spacing w:after="0"/>
              <w:rPr>
                <w:sz w:val="22"/>
                <w:szCs w:val="22"/>
                <w:color w:val="auto"/>
              </w:rPr>
            </w:pP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0.42%-0.62%</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of options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 – 7.0 years</w:t>
            </w:r>
          </w:p>
        </w:tc>
        <w:tc>
          <w:tcPr>
            <w:tcW w:w="2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 – 7.0 years</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8"/>
                <w:szCs w:val="18"/>
                <w:color w:val="auto"/>
              </w:rPr>
              <w:t>Annualized volatility</w:t>
            </w:r>
          </w:p>
        </w:tc>
        <w:tc>
          <w:tcPr>
            <w:tcW w:w="2000" w:type="dxa"/>
            <w:vAlign w:val="bottom"/>
          </w:tcPr>
          <w:p>
            <w:pPr>
              <w:jc w:val="right"/>
              <w:ind w:right="110"/>
              <w:spacing w:after="0"/>
              <w:rPr>
                <w:sz w:val="20"/>
                <w:szCs w:val="20"/>
                <w:color w:val="auto"/>
              </w:rPr>
            </w:pPr>
            <w:r>
              <w:rPr>
                <w:rFonts w:ascii="Arial" w:cs="Arial" w:eastAsia="Arial" w:hAnsi="Arial"/>
                <w:sz w:val="18"/>
                <w:szCs w:val="18"/>
                <w:color w:val="auto"/>
              </w:rPr>
              <w:t>71.3% - 73.3%</w:t>
            </w:r>
          </w:p>
        </w:tc>
        <w:tc>
          <w:tcPr>
            <w:tcW w:w="100" w:type="dxa"/>
            <w:vAlign w:val="bottom"/>
          </w:tcPr>
          <w:p>
            <w:pPr>
              <w:spacing w:after="0"/>
              <w:rPr>
                <w:sz w:val="22"/>
                <w:szCs w:val="22"/>
                <w:color w:val="auto"/>
              </w:rPr>
            </w:pP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71.3% - 73.3%</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4"/>
                <w:szCs w:val="24"/>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8"/>
                <w:szCs w:val="18"/>
                <w:color w:val="auto"/>
              </w:rPr>
              <w:t>Vesting period</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 to 4 years</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1 to 4 years</w:t>
            </w:r>
          </w:p>
        </w:tc>
      </w:tr>
      <w:tr>
        <w:trPr>
          <w:trHeight w:val="304"/>
        </w:trPr>
        <w:tc>
          <w:tcPr>
            <w:tcW w:w="6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b w:val="1"/>
                <w:bCs w:val="1"/>
                <w:color w:val="auto"/>
              </w:rPr>
              <w:t>Unapproved</w:t>
            </w: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320" w:type="dxa"/>
            <w:vAlign w:val="bottom"/>
          </w:tcPr>
          <w:p>
            <w:pPr>
              <w:ind w:left="40"/>
              <w:spacing w:after="0"/>
              <w:rPr>
                <w:sz w:val="20"/>
                <w:szCs w:val="20"/>
                <w:color w:val="auto"/>
              </w:rPr>
            </w:pPr>
            <w:r>
              <w:rPr>
                <w:rFonts w:ascii="Arial" w:cs="Arial" w:eastAsia="Arial" w:hAnsi="Arial"/>
                <w:sz w:val="18"/>
                <w:szCs w:val="18"/>
                <w:b w:val="1"/>
                <w:bCs w:val="1"/>
                <w:color w:val="auto"/>
              </w:rPr>
              <w:t>Issued in 2018</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rPr>
              <w:t>Scheme</w:t>
            </w:r>
          </w:p>
        </w:tc>
        <w:tc>
          <w:tcPr>
            <w:tcW w:w="224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257"/>
        </w:trPr>
        <w:tc>
          <w:tcPr>
            <w:tcW w:w="1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Options granted</w:t>
            </w:r>
          </w:p>
        </w:tc>
        <w:tc>
          <w:tcPr>
            <w:tcW w:w="106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2,090,847</w:t>
            </w:r>
          </w:p>
        </w:tc>
        <w:tc>
          <w:tcPr>
            <w:tcW w:w="10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auto"/>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273,390</w:t>
            </w:r>
          </w:p>
        </w:tc>
        <w:tc>
          <w:tcPr>
            <w:tcW w:w="0" w:type="dxa"/>
            <w:vAlign w:val="bottom"/>
          </w:tcPr>
          <w:p>
            <w:pPr>
              <w:spacing w:after="0"/>
              <w:rPr>
                <w:sz w:val="1"/>
                <w:szCs w:val="1"/>
                <w:color w:val="auto"/>
              </w:rPr>
            </w:pPr>
          </w:p>
        </w:tc>
      </w:tr>
      <w:tr>
        <w:trPr>
          <w:trHeight w:val="26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right"/>
              <w:ind w:right="122"/>
              <w:spacing w:after="0"/>
              <w:rPr>
                <w:sz w:val="20"/>
                <w:szCs w:val="20"/>
                <w:color w:val="auto"/>
              </w:rPr>
            </w:pPr>
            <w:r>
              <w:rPr>
                <w:rFonts w:ascii="Arial" w:cs="Arial" w:eastAsia="Arial" w:hAnsi="Arial"/>
                <w:sz w:val="18"/>
                <w:szCs w:val="18"/>
                <w:color w:val="auto"/>
              </w:rPr>
              <w:t>1.08% - 1.22%</w:t>
            </w:r>
          </w:p>
        </w:tc>
        <w:tc>
          <w:tcPr>
            <w:tcW w:w="100" w:type="dxa"/>
            <w:vAlign w:val="bottom"/>
          </w:tcPr>
          <w:p>
            <w:pPr>
              <w:spacing w:after="0"/>
              <w:rPr>
                <w:sz w:val="22"/>
                <w:szCs w:val="22"/>
                <w:color w:val="auto"/>
              </w:rPr>
            </w:pPr>
          </w:p>
        </w:tc>
        <w:tc>
          <w:tcPr>
            <w:tcW w:w="2240" w:type="dxa"/>
            <w:vAlign w:val="bottom"/>
            <w:gridSpan w:val="3"/>
          </w:tcPr>
          <w:p>
            <w:pPr>
              <w:jc w:val="right"/>
              <w:ind w:right="128"/>
              <w:spacing w:after="0"/>
              <w:rPr>
                <w:sz w:val="20"/>
                <w:szCs w:val="20"/>
                <w:color w:val="auto"/>
              </w:rPr>
            </w:pPr>
            <w:r>
              <w:rPr>
                <w:rFonts w:ascii="Arial" w:cs="Arial" w:eastAsia="Arial" w:hAnsi="Arial"/>
                <w:sz w:val="18"/>
                <w:szCs w:val="18"/>
                <w:color w:val="auto"/>
              </w:rPr>
              <w:t>1.08% - 1.22%</w:t>
            </w:r>
          </w:p>
        </w:tc>
        <w:tc>
          <w:tcPr>
            <w:tcW w:w="0" w:type="dxa"/>
            <w:vAlign w:val="bottom"/>
          </w:tcPr>
          <w:p>
            <w:pPr>
              <w:spacing w:after="0"/>
              <w:rPr>
                <w:sz w:val="1"/>
                <w:szCs w:val="1"/>
                <w:color w:val="auto"/>
              </w:rPr>
            </w:pPr>
          </w:p>
        </w:tc>
      </w:tr>
      <w:tr>
        <w:trPr>
          <w:trHeight w:val="27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of options</w:t>
            </w:r>
          </w:p>
        </w:tc>
        <w:tc>
          <w:tcPr>
            <w:tcW w:w="1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5.5 - 7 years</w:t>
            </w:r>
          </w:p>
        </w:tc>
        <w:tc>
          <w:tcPr>
            <w:tcW w:w="2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5.5 - 7 years</w:t>
            </w:r>
          </w:p>
        </w:tc>
        <w:tc>
          <w:tcPr>
            <w:tcW w:w="0" w:type="dxa"/>
            <w:vAlign w:val="bottom"/>
          </w:tcPr>
          <w:p>
            <w:pPr>
              <w:spacing w:after="0"/>
              <w:rPr>
                <w:sz w:val="1"/>
                <w:szCs w:val="1"/>
                <w:color w:val="auto"/>
              </w:rPr>
            </w:pPr>
          </w:p>
        </w:tc>
      </w:tr>
      <w:tr>
        <w:trPr>
          <w:trHeight w:val="26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Annualized volatility</w:t>
            </w: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right"/>
              <w:ind w:right="122"/>
              <w:spacing w:after="0"/>
              <w:rPr>
                <w:sz w:val="20"/>
                <w:szCs w:val="20"/>
                <w:color w:val="auto"/>
              </w:rPr>
            </w:pPr>
            <w:r>
              <w:rPr>
                <w:rFonts w:ascii="Arial" w:cs="Arial" w:eastAsia="Arial" w:hAnsi="Arial"/>
                <w:sz w:val="18"/>
                <w:szCs w:val="18"/>
                <w:color w:val="auto"/>
              </w:rPr>
              <w:t>69.88% -71.35%</w:t>
            </w:r>
          </w:p>
        </w:tc>
        <w:tc>
          <w:tcPr>
            <w:tcW w:w="100" w:type="dxa"/>
            <w:vAlign w:val="bottom"/>
          </w:tcPr>
          <w:p>
            <w:pPr>
              <w:spacing w:after="0"/>
              <w:rPr>
                <w:sz w:val="22"/>
                <w:szCs w:val="22"/>
                <w:color w:val="auto"/>
              </w:rPr>
            </w:pPr>
          </w:p>
        </w:tc>
        <w:tc>
          <w:tcPr>
            <w:tcW w:w="2240" w:type="dxa"/>
            <w:vAlign w:val="bottom"/>
            <w:gridSpan w:val="3"/>
          </w:tcPr>
          <w:p>
            <w:pPr>
              <w:jc w:val="right"/>
              <w:ind w:right="128"/>
              <w:spacing w:after="0"/>
              <w:rPr>
                <w:sz w:val="20"/>
                <w:szCs w:val="20"/>
                <w:color w:val="auto"/>
              </w:rPr>
            </w:pPr>
            <w:r>
              <w:rPr>
                <w:rFonts w:ascii="Arial" w:cs="Arial" w:eastAsia="Arial" w:hAnsi="Arial"/>
                <w:sz w:val="18"/>
                <w:szCs w:val="18"/>
                <w:color w:val="auto"/>
              </w:rPr>
              <w:t>69.88% -71.35%</w:t>
            </w:r>
          </w:p>
        </w:tc>
        <w:tc>
          <w:tcPr>
            <w:tcW w:w="0" w:type="dxa"/>
            <w:vAlign w:val="bottom"/>
          </w:tcPr>
          <w:p>
            <w:pPr>
              <w:spacing w:after="0"/>
              <w:rPr>
                <w:sz w:val="1"/>
                <w:szCs w:val="1"/>
                <w:color w:val="auto"/>
              </w:rPr>
            </w:pPr>
          </w:p>
        </w:tc>
      </w:tr>
      <w:tr>
        <w:trPr>
          <w:trHeight w:val="277"/>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10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7"/>
        </w:trPr>
        <w:tc>
          <w:tcPr>
            <w:tcW w:w="1320" w:type="dxa"/>
            <w:vAlign w:val="bottom"/>
          </w:tcPr>
          <w:p>
            <w:pPr>
              <w:ind w:left="40"/>
              <w:spacing w:after="0"/>
              <w:rPr>
                <w:sz w:val="20"/>
                <w:szCs w:val="20"/>
                <w:color w:val="auto"/>
              </w:rPr>
            </w:pPr>
            <w:r>
              <w:rPr>
                <w:rFonts w:ascii="Arial" w:cs="Arial" w:eastAsia="Arial" w:hAnsi="Arial"/>
                <w:sz w:val="18"/>
                <w:szCs w:val="18"/>
                <w:color w:val="auto"/>
              </w:rPr>
              <w:t>Vesting period</w:t>
            </w: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 to 4 years</w:t>
            </w:r>
          </w:p>
        </w:tc>
        <w:tc>
          <w:tcPr>
            <w:tcW w:w="2240" w:type="dxa"/>
            <w:vAlign w:val="bottom"/>
            <w:gridSpan w:val="3"/>
          </w:tcPr>
          <w:p>
            <w:pPr>
              <w:jc w:val="right"/>
              <w:ind w:right="128"/>
              <w:spacing w:after="0"/>
              <w:rPr>
                <w:sz w:val="20"/>
                <w:szCs w:val="20"/>
                <w:color w:val="auto"/>
              </w:rPr>
            </w:pPr>
            <w:r>
              <w:rPr>
                <w:rFonts w:ascii="Arial" w:cs="Arial" w:eastAsia="Arial" w:hAnsi="Arial"/>
                <w:sz w:val="18"/>
                <w:szCs w:val="18"/>
                <w:color w:val="auto"/>
              </w:rPr>
              <w:t>1 to 4 years</w:t>
            </w:r>
          </w:p>
        </w:tc>
        <w:tc>
          <w:tcPr>
            <w:tcW w:w="0" w:type="dxa"/>
            <w:vAlign w:val="bottom"/>
          </w:tcPr>
          <w:p>
            <w:pPr>
              <w:spacing w:after="0"/>
              <w:rPr>
                <w:sz w:val="1"/>
                <w:szCs w:val="1"/>
                <w:color w:val="auto"/>
              </w:rPr>
            </w:pPr>
          </w:p>
        </w:tc>
      </w:tr>
      <w:tr>
        <w:trPr>
          <w:trHeight w:val="365"/>
        </w:trPr>
        <w:tc>
          <w:tcPr>
            <w:tcW w:w="9160" w:type="dxa"/>
            <w:vAlign w:val="bottom"/>
            <w:gridSpan w:val="10"/>
          </w:tcPr>
          <w:p>
            <w:pPr>
              <w:spacing w:after="0"/>
              <w:rPr>
                <w:sz w:val="20"/>
                <w:szCs w:val="20"/>
                <w:color w:val="auto"/>
              </w:rPr>
            </w:pPr>
            <w:r>
              <w:rPr>
                <w:rFonts w:ascii="Arial" w:cs="Arial" w:eastAsia="Arial" w:hAnsi="Arial"/>
                <w:sz w:val="18"/>
                <w:szCs w:val="18"/>
                <w:color w:val="auto"/>
              </w:rPr>
              <w:t>The Company had the following share options movements in the year ended December 31, 2018:</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Year of</w:t>
            </w: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Exercise</w:t>
            </w: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At January 1,</w:t>
            </w:r>
          </w:p>
        </w:tc>
        <w:tc>
          <w:tcPr>
            <w:tcW w:w="1280" w:type="dxa"/>
            <w:vAlign w:val="bottom"/>
          </w:tcPr>
          <w:p>
            <w:pPr>
              <w:jc w:val="right"/>
              <w:ind w:right="388"/>
              <w:spacing w:after="0"/>
              <w:rPr>
                <w:sz w:val="20"/>
                <w:szCs w:val="20"/>
                <w:color w:val="auto"/>
              </w:rPr>
            </w:pPr>
            <w:r>
              <w:rPr>
                <w:rFonts w:ascii="Arial" w:cs="Arial" w:eastAsia="Arial" w:hAnsi="Arial"/>
                <w:sz w:val="14"/>
                <w:szCs w:val="14"/>
                <w:b w:val="1"/>
                <w:bCs w:val="1"/>
                <w:color w:val="auto"/>
              </w:rPr>
              <w:t>Options</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Options</w:t>
            </w: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At December 31,</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issue</w:t>
            </w: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price (£)</w:t>
            </w:r>
          </w:p>
        </w:tc>
        <w:tc>
          <w:tcPr>
            <w:tcW w:w="13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granted</w:t>
            </w: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forfeited</w:t>
            </w:r>
          </w:p>
        </w:tc>
        <w:tc>
          <w:tcPr>
            <w:tcW w:w="10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expired</w:t>
            </w:r>
          </w:p>
        </w:tc>
        <w:tc>
          <w:tcPr>
            <w:tcW w:w="166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Expiry date</w:t>
            </w:r>
          </w:p>
        </w:tc>
        <w:tc>
          <w:tcPr>
            <w:tcW w:w="3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2012</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2.50 - 7.50</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99,993</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shd w:val="clear" w:color="auto" w:fill="CCEEFF"/>
          </w:tcPr>
          <w:p>
            <w:pPr>
              <w:jc w:val="right"/>
              <w:ind w:right="302"/>
              <w:spacing w:after="0"/>
              <w:rPr>
                <w:sz w:val="20"/>
                <w:szCs w:val="20"/>
                <w:color w:val="auto"/>
              </w:rPr>
            </w:pPr>
            <w:r>
              <w:rPr>
                <w:rFonts w:ascii="Arial" w:cs="Arial" w:eastAsia="Arial" w:hAnsi="Arial"/>
                <w:sz w:val="14"/>
                <w:szCs w:val="14"/>
                <w:color w:val="auto"/>
              </w:rPr>
              <w:t>99,993</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1,</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2013</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99,990</w:t>
            </w:r>
          </w:p>
        </w:tc>
        <w:tc>
          <w:tcPr>
            <w:tcW w:w="12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tcPr>
          <w:p>
            <w:pPr>
              <w:jc w:val="right"/>
              <w:ind w:right="302"/>
              <w:spacing w:after="0"/>
              <w:rPr>
                <w:sz w:val="20"/>
                <w:szCs w:val="20"/>
                <w:color w:val="auto"/>
              </w:rPr>
            </w:pPr>
            <w:r>
              <w:rPr>
                <w:rFonts w:ascii="Arial" w:cs="Arial" w:eastAsia="Arial" w:hAnsi="Arial"/>
                <w:sz w:val="14"/>
                <w:szCs w:val="14"/>
                <w:color w:val="auto"/>
              </w:rPr>
              <w:t>99,990</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April 15,</w:t>
            </w:r>
          </w:p>
        </w:tc>
        <w:tc>
          <w:tcPr>
            <w:tcW w:w="380" w:type="dxa"/>
            <w:vAlign w:val="bottom"/>
          </w:tcPr>
          <w:p>
            <w:pPr>
              <w:jc w:val="right"/>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2013</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2.00</w:t>
            </w:r>
          </w:p>
        </w:tc>
        <w:tc>
          <w:tcPr>
            <w:tcW w:w="1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159,999</w:t>
            </w:r>
          </w:p>
        </w:tc>
        <w:tc>
          <w:tcPr>
            <w:tcW w:w="12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shd w:val="clear" w:color="auto" w:fill="CCEEFF"/>
          </w:tcPr>
          <w:p>
            <w:pPr>
              <w:jc w:val="right"/>
              <w:ind w:right="302"/>
              <w:spacing w:after="0"/>
              <w:rPr>
                <w:sz w:val="20"/>
                <w:szCs w:val="20"/>
                <w:color w:val="auto"/>
              </w:rPr>
            </w:pPr>
            <w:r>
              <w:rPr>
                <w:rFonts w:ascii="Arial" w:cs="Arial" w:eastAsia="Arial" w:hAnsi="Arial"/>
                <w:sz w:val="14"/>
                <w:szCs w:val="14"/>
                <w:color w:val="auto"/>
              </w:rPr>
              <w:t>159,999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29,</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2014</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1.75</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109,998</w:t>
            </w:r>
          </w:p>
        </w:tc>
        <w:tc>
          <w:tcPr>
            <w:tcW w:w="12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tcPr>
          <w:p>
            <w:pPr>
              <w:jc w:val="right"/>
              <w:ind w:right="302"/>
              <w:spacing w:after="0"/>
              <w:rPr>
                <w:sz w:val="20"/>
                <w:szCs w:val="20"/>
                <w:color w:val="auto"/>
              </w:rPr>
            </w:pPr>
            <w:r>
              <w:rPr>
                <w:rFonts w:ascii="Arial" w:cs="Arial" w:eastAsia="Arial" w:hAnsi="Arial"/>
                <w:sz w:val="14"/>
                <w:szCs w:val="14"/>
                <w:color w:val="auto"/>
              </w:rPr>
              <w:t>109,998</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May 15,</w:t>
            </w:r>
          </w:p>
        </w:tc>
        <w:tc>
          <w:tcPr>
            <w:tcW w:w="380" w:type="dxa"/>
            <w:vAlign w:val="bottom"/>
          </w:tcPr>
          <w:p>
            <w:pPr>
              <w:jc w:val="right"/>
              <w:spacing w:after="0"/>
              <w:rPr>
                <w:sz w:val="20"/>
                <w:szCs w:val="20"/>
                <w:color w:val="auto"/>
              </w:rPr>
            </w:pPr>
            <w:r>
              <w:rPr>
                <w:rFonts w:ascii="Arial" w:cs="Arial" w:eastAsia="Arial" w:hAnsi="Arial"/>
                <w:sz w:val="14"/>
                <w:szCs w:val="14"/>
                <w:color w:val="auto"/>
              </w:rPr>
              <w:t>2024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1.75</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49,998</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shd w:val="clear" w:color="auto" w:fill="CCEEFF"/>
          </w:tcPr>
          <w:p>
            <w:pPr>
              <w:jc w:val="right"/>
              <w:ind w:right="302"/>
              <w:spacing w:after="0"/>
              <w:rPr>
                <w:sz w:val="20"/>
                <w:szCs w:val="20"/>
                <w:color w:val="auto"/>
              </w:rPr>
            </w:pPr>
            <w:r>
              <w:rPr>
                <w:rFonts w:ascii="Arial" w:cs="Arial" w:eastAsia="Arial" w:hAnsi="Arial"/>
                <w:sz w:val="14"/>
                <w:szCs w:val="14"/>
                <w:color w:val="auto"/>
              </w:rPr>
              <w:t>49,998</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15,</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320" w:type="dxa"/>
            <w:vAlign w:val="bottom"/>
          </w:tcPr>
          <w:p>
            <w:pPr>
              <w:ind w:left="40"/>
              <w:spacing w:after="0"/>
              <w:rPr>
                <w:sz w:val="20"/>
                <w:szCs w:val="20"/>
                <w:color w:val="auto"/>
              </w:rPr>
            </w:pPr>
            <w:r>
              <w:rPr>
                <w:rFonts w:ascii="Arial" w:cs="Arial" w:eastAsia="Arial" w:hAnsi="Arial"/>
                <w:sz w:val="14"/>
                <w:szCs w:val="14"/>
                <w:color w:val="auto"/>
              </w:rPr>
              <w:t>2014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1.10 - 1.75</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66,667</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68"/>
              <w:spacing w:after="0"/>
              <w:rPr>
                <w:sz w:val="20"/>
                <w:szCs w:val="20"/>
                <w:color w:val="auto"/>
              </w:rPr>
            </w:pPr>
            <w:r>
              <w:rPr>
                <w:rFonts w:ascii="Arial" w:cs="Arial" w:eastAsia="Arial" w:hAnsi="Arial"/>
                <w:sz w:val="14"/>
                <w:szCs w:val="14"/>
                <w:color w:val="auto"/>
              </w:rPr>
              <w:t>(66,667)</w:t>
            </w:r>
          </w:p>
        </w:tc>
        <w:tc>
          <w:tcPr>
            <w:tcW w:w="17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August 6,</w:t>
            </w:r>
          </w:p>
        </w:tc>
        <w:tc>
          <w:tcPr>
            <w:tcW w:w="380" w:type="dxa"/>
            <w:vAlign w:val="bottom"/>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41,997</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shd w:val="clear" w:color="auto" w:fill="CCEEFF"/>
          </w:tcPr>
          <w:p>
            <w:pPr>
              <w:jc w:val="right"/>
              <w:ind w:right="302"/>
              <w:spacing w:after="0"/>
              <w:rPr>
                <w:sz w:val="20"/>
                <w:szCs w:val="20"/>
                <w:color w:val="auto"/>
              </w:rPr>
            </w:pPr>
            <w:r>
              <w:rPr>
                <w:rFonts w:ascii="Arial" w:cs="Arial" w:eastAsia="Arial" w:hAnsi="Arial"/>
                <w:sz w:val="14"/>
                <w:szCs w:val="14"/>
                <w:color w:val="auto"/>
              </w:rPr>
              <w:t>41,997</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29,</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2015</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1.25</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549,999</w:t>
            </w:r>
          </w:p>
        </w:tc>
        <w:tc>
          <w:tcPr>
            <w:tcW w:w="12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tcPr>
          <w:p>
            <w:pPr>
              <w:jc w:val="right"/>
              <w:ind w:right="302"/>
              <w:spacing w:after="0"/>
              <w:rPr>
                <w:sz w:val="20"/>
                <w:szCs w:val="20"/>
                <w:color w:val="auto"/>
              </w:rPr>
            </w:pPr>
            <w:r>
              <w:rPr>
                <w:rFonts w:ascii="Arial" w:cs="Arial" w:eastAsia="Arial" w:hAnsi="Arial"/>
                <w:sz w:val="14"/>
                <w:szCs w:val="14"/>
                <w:color w:val="auto"/>
              </w:rPr>
              <w:t>549,999</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January 29,</w:t>
            </w:r>
          </w:p>
        </w:tc>
        <w:tc>
          <w:tcPr>
            <w:tcW w:w="380" w:type="dxa"/>
            <w:vAlign w:val="bottom"/>
          </w:tcPr>
          <w:p>
            <w:pPr>
              <w:jc w:val="right"/>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260,000</w:t>
            </w:r>
          </w:p>
        </w:tc>
        <w:tc>
          <w:tcPr>
            <w:tcW w:w="12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shd w:val="clear" w:color="auto" w:fill="CCEEFF"/>
          </w:tcPr>
          <w:p>
            <w:pPr>
              <w:jc w:val="right"/>
              <w:ind w:right="302"/>
              <w:spacing w:after="0"/>
              <w:rPr>
                <w:sz w:val="20"/>
                <w:szCs w:val="20"/>
                <w:color w:val="auto"/>
              </w:rPr>
            </w:pPr>
            <w:r>
              <w:rPr>
                <w:rFonts w:ascii="Arial" w:cs="Arial" w:eastAsia="Arial" w:hAnsi="Arial"/>
                <w:sz w:val="14"/>
                <w:szCs w:val="14"/>
                <w:color w:val="auto"/>
              </w:rPr>
              <w:t>240,000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February 2,</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320" w:type="dxa"/>
            <w:vAlign w:val="bottom"/>
          </w:tcPr>
          <w:p>
            <w:pPr>
              <w:ind w:left="40"/>
              <w:spacing w:after="0"/>
              <w:rPr>
                <w:sz w:val="20"/>
                <w:szCs w:val="20"/>
                <w:color w:val="auto"/>
              </w:rPr>
            </w:pPr>
            <w:r>
              <w:rPr>
                <w:rFonts w:ascii="Arial" w:cs="Arial" w:eastAsia="Arial" w:hAnsi="Arial"/>
                <w:sz w:val="14"/>
                <w:szCs w:val="14"/>
                <w:color w:val="auto"/>
              </w:rPr>
              <w:t>2016</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2.00</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21,996</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302"/>
              <w:spacing w:after="0"/>
              <w:rPr>
                <w:sz w:val="20"/>
                <w:szCs w:val="20"/>
                <w:color w:val="auto"/>
              </w:rPr>
            </w:pPr>
            <w:r>
              <w:rPr>
                <w:rFonts w:ascii="Arial" w:cs="Arial" w:eastAsia="Arial" w:hAnsi="Arial"/>
                <w:sz w:val="14"/>
                <w:szCs w:val="14"/>
                <w:color w:val="auto"/>
              </w:rPr>
              <w:t>21,996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February 2,</w:t>
            </w:r>
          </w:p>
        </w:tc>
        <w:tc>
          <w:tcPr>
            <w:tcW w:w="380" w:type="dxa"/>
            <w:vAlign w:val="bottom"/>
          </w:tcPr>
          <w:p>
            <w:pPr>
              <w:jc w:val="right"/>
              <w:spacing w:after="0"/>
              <w:rPr>
                <w:sz w:val="20"/>
                <w:szCs w:val="20"/>
                <w:color w:val="auto"/>
              </w:rPr>
            </w:pPr>
            <w:r>
              <w:rPr>
                <w:rFonts w:ascii="Arial" w:cs="Arial" w:eastAsia="Arial" w:hAnsi="Arial"/>
                <w:sz w:val="14"/>
                <w:szCs w:val="14"/>
                <w:color w:val="auto"/>
              </w:rPr>
              <w:t>2026</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3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1.80</w:t>
            </w:r>
          </w:p>
        </w:tc>
        <w:tc>
          <w:tcPr>
            <w:tcW w:w="1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809,996</w:t>
            </w:r>
          </w:p>
        </w:tc>
        <w:tc>
          <w:tcPr>
            <w:tcW w:w="12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(133,332)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shd w:val="clear" w:color="auto" w:fill="CCEEFF"/>
          </w:tcPr>
          <w:p>
            <w:pPr>
              <w:jc w:val="right"/>
              <w:ind w:right="302"/>
              <w:spacing w:after="0"/>
              <w:rPr>
                <w:sz w:val="20"/>
                <w:szCs w:val="20"/>
                <w:color w:val="auto"/>
              </w:rPr>
            </w:pPr>
            <w:r>
              <w:rPr>
                <w:rFonts w:ascii="Arial" w:cs="Arial" w:eastAsia="Arial" w:hAnsi="Arial"/>
                <w:sz w:val="14"/>
                <w:szCs w:val="14"/>
                <w:color w:val="auto"/>
              </w:rPr>
              <w:t>676,664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3,</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2016</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1.89</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299,997</w:t>
            </w:r>
          </w:p>
        </w:tc>
        <w:tc>
          <w:tcPr>
            <w:tcW w:w="12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tcPr>
          <w:p>
            <w:pPr>
              <w:jc w:val="right"/>
              <w:ind w:right="302"/>
              <w:spacing w:after="0"/>
              <w:rPr>
                <w:sz w:val="20"/>
                <w:szCs w:val="20"/>
                <w:color w:val="auto"/>
              </w:rPr>
            </w:pPr>
            <w:r>
              <w:rPr>
                <w:rFonts w:ascii="Arial" w:cs="Arial" w:eastAsia="Arial" w:hAnsi="Arial"/>
                <w:sz w:val="14"/>
                <w:szCs w:val="14"/>
                <w:color w:val="auto"/>
              </w:rPr>
              <w:t>299,997</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September 13,</w:t>
            </w:r>
          </w:p>
        </w:tc>
        <w:tc>
          <w:tcPr>
            <w:tcW w:w="380" w:type="dxa"/>
            <w:vAlign w:val="bottom"/>
          </w:tcPr>
          <w:p>
            <w:pPr>
              <w:jc w:val="right"/>
              <w:spacing w:after="0"/>
              <w:rPr>
                <w:sz w:val="20"/>
                <w:szCs w:val="20"/>
                <w:color w:val="auto"/>
              </w:rPr>
            </w:pPr>
            <w:r>
              <w:rPr>
                <w:rFonts w:ascii="Arial" w:cs="Arial" w:eastAsia="Arial" w:hAnsi="Arial"/>
                <w:sz w:val="14"/>
                <w:szCs w:val="14"/>
                <w:color w:val="auto"/>
              </w:rPr>
              <w:t>2026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2.04</w:t>
            </w:r>
          </w:p>
        </w:tc>
        <w:tc>
          <w:tcPr>
            <w:tcW w:w="1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300,000</w:t>
            </w:r>
          </w:p>
        </w:tc>
        <w:tc>
          <w:tcPr>
            <w:tcW w:w="12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shd w:val="clear" w:color="auto" w:fill="CCEEFF"/>
          </w:tcPr>
          <w:p>
            <w:pPr>
              <w:jc w:val="right"/>
              <w:ind w:right="302"/>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16,</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2017</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1.32 - 1.525</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4,656,828</w:t>
            </w:r>
          </w:p>
        </w:tc>
        <w:tc>
          <w:tcPr>
            <w:tcW w:w="12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color w:val="auto"/>
              </w:rPr>
              <w:t>(563,664)</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tcPr>
          <w:p>
            <w:pPr>
              <w:jc w:val="right"/>
              <w:ind w:right="302"/>
              <w:spacing w:after="0"/>
              <w:rPr>
                <w:sz w:val="20"/>
                <w:szCs w:val="20"/>
                <w:color w:val="auto"/>
              </w:rPr>
            </w:pPr>
            <w:r>
              <w:rPr>
                <w:rFonts w:ascii="Arial" w:cs="Arial" w:eastAsia="Arial" w:hAnsi="Arial"/>
                <w:sz w:val="14"/>
                <w:szCs w:val="14"/>
                <w:color w:val="auto"/>
              </w:rPr>
              <w:t>4,093,164</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April 26,</w:t>
            </w:r>
          </w:p>
        </w:tc>
        <w:tc>
          <w:tcPr>
            <w:tcW w:w="380" w:type="dxa"/>
            <w:vAlign w:val="bottom"/>
          </w:tcPr>
          <w:p>
            <w:pPr>
              <w:jc w:val="right"/>
              <w:spacing w:after="0"/>
              <w:rPr>
                <w:sz w:val="20"/>
                <w:szCs w:val="20"/>
                <w:color w:val="auto"/>
              </w:rPr>
            </w:pPr>
            <w:r>
              <w:rPr>
                <w:rFonts w:ascii="Arial" w:cs="Arial" w:eastAsia="Arial" w:hAnsi="Arial"/>
                <w:sz w:val="14"/>
                <w:szCs w:val="14"/>
                <w:color w:val="auto"/>
              </w:rPr>
              <w:t>2027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10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1.46</w:t>
            </w:r>
          </w:p>
        </w:tc>
        <w:tc>
          <w:tcPr>
            <w:tcW w:w="1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2,090,847</w:t>
            </w:r>
          </w:p>
        </w:tc>
        <w:tc>
          <w:tcPr>
            <w:tcW w:w="1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(82,528)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99"/>
              </w:rPr>
              <w:t>—</w:t>
            </w:r>
          </w:p>
        </w:tc>
        <w:tc>
          <w:tcPr>
            <w:tcW w:w="1660" w:type="dxa"/>
            <w:vAlign w:val="bottom"/>
            <w:vMerge w:val="restart"/>
            <w:shd w:val="clear" w:color="auto" w:fill="CCEEFF"/>
          </w:tcPr>
          <w:p>
            <w:pPr>
              <w:jc w:val="right"/>
              <w:ind w:right="302"/>
              <w:spacing w:after="0"/>
              <w:rPr>
                <w:sz w:val="20"/>
                <w:szCs w:val="20"/>
                <w:color w:val="auto"/>
              </w:rPr>
            </w:pPr>
            <w:r>
              <w:rPr>
                <w:rFonts w:ascii="Arial" w:cs="Arial" w:eastAsia="Arial" w:hAnsi="Arial"/>
                <w:sz w:val="14"/>
                <w:szCs w:val="14"/>
                <w:color w:val="auto"/>
              </w:rPr>
              <w:t>2,008,319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8,</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7,527,458</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2,090,847</w:t>
            </w: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(799,524)</w:t>
            </w:r>
          </w:p>
        </w:tc>
        <w:tc>
          <w:tcPr>
            <w:tcW w:w="10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(66,667)</w:t>
            </w:r>
          </w:p>
        </w:tc>
        <w:tc>
          <w:tcPr>
            <w:tcW w:w="16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8,752,114</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Options granted under the EMI Scheme.</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  Valued based on fair value of services received.</w:t>
      </w:r>
    </w:p>
    <w:p>
      <w:pPr>
        <w:sectPr>
          <w:pgSz w:w="11900" w:h="16838" w:orient="portrait"/>
          <w:cols w:equalWidth="0" w:num="1">
            <w:col w:w="11400"/>
          </w:cols>
          <w:pgMar w:left="240" w:top="140" w:right="25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40" w:right="25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RSU movements in the year ended December 31,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1400" w:type="dxa"/>
            <w:vAlign w:val="bottom"/>
          </w:tcPr>
          <w:p>
            <w:pPr>
              <w:jc w:val="center"/>
              <w:ind w:right="168"/>
              <w:spacing w:after="0"/>
              <w:rPr>
                <w:sz w:val="20"/>
                <w:szCs w:val="20"/>
                <w:color w:val="auto"/>
              </w:rPr>
            </w:pPr>
            <w:r>
              <w:rPr>
                <w:rFonts w:ascii="Arial" w:cs="Arial" w:eastAsia="Arial" w:hAnsi="Arial"/>
                <w:sz w:val="14"/>
                <w:szCs w:val="14"/>
                <w:b w:val="1"/>
                <w:bCs w:val="1"/>
                <w:color w:val="auto"/>
              </w:rPr>
              <w:t>Exercise</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of</w:t>
            </w:r>
          </w:p>
        </w:tc>
        <w:tc>
          <w:tcPr>
            <w:tcW w:w="1400" w:type="dxa"/>
            <w:vAlign w:val="bottom"/>
          </w:tcPr>
          <w:p>
            <w:pPr>
              <w:jc w:val="center"/>
              <w:ind w:right="188"/>
              <w:spacing w:after="0"/>
              <w:rPr>
                <w:sz w:val="20"/>
                <w:szCs w:val="20"/>
                <w:color w:val="auto"/>
              </w:rPr>
            </w:pPr>
            <w:r>
              <w:rPr>
                <w:rFonts w:ascii="Arial" w:cs="Arial" w:eastAsia="Arial" w:hAnsi="Arial"/>
                <w:sz w:val="14"/>
                <w:szCs w:val="14"/>
                <w:b w:val="1"/>
                <w:bCs w:val="1"/>
                <w:color w:val="auto"/>
              </w:rPr>
              <w:t>price</w:t>
            </w: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At January 1,</w:t>
            </w:r>
          </w:p>
        </w:tc>
        <w:tc>
          <w:tcPr>
            <w:tcW w:w="1360" w:type="dxa"/>
            <w:vAlign w:val="bottom"/>
          </w:tcPr>
          <w:p>
            <w:pPr>
              <w:jc w:val="right"/>
              <w:ind w:right="528"/>
              <w:spacing w:after="0"/>
              <w:rPr>
                <w:sz w:val="20"/>
                <w:szCs w:val="20"/>
                <w:color w:val="auto"/>
              </w:rPr>
            </w:pPr>
            <w:r>
              <w:rPr>
                <w:rFonts w:ascii="Arial" w:cs="Arial" w:eastAsia="Arial" w:hAnsi="Arial"/>
                <w:sz w:val="14"/>
                <w:szCs w:val="14"/>
                <w:b w:val="1"/>
                <w:bCs w:val="1"/>
                <w:color w:val="auto"/>
              </w:rPr>
              <w:t>Units</w:t>
            </w: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rPr>
              <w:t>Units</w:t>
            </w:r>
          </w:p>
        </w:tc>
        <w:tc>
          <w:tcPr>
            <w:tcW w:w="1240" w:type="dxa"/>
            <w:vAlign w:val="bottom"/>
          </w:tcPr>
          <w:p>
            <w:pPr>
              <w:jc w:val="right"/>
              <w:ind w:right="448"/>
              <w:spacing w:after="0"/>
              <w:rPr>
                <w:sz w:val="20"/>
                <w:szCs w:val="20"/>
                <w:color w:val="auto"/>
              </w:rPr>
            </w:pPr>
            <w:r>
              <w:rPr>
                <w:rFonts w:ascii="Arial" w:cs="Arial" w:eastAsia="Arial" w:hAnsi="Arial"/>
                <w:sz w:val="14"/>
                <w:szCs w:val="14"/>
                <w:b w:val="1"/>
                <w:bCs w:val="1"/>
                <w:color w:val="auto"/>
              </w:rPr>
              <w:t>Units</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auto"/>
              </w:rPr>
              <w:t>At December 31,</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issue</w:t>
            </w:r>
          </w:p>
        </w:tc>
        <w:tc>
          <w:tcPr>
            <w:tcW w:w="14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granted</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vested</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forfeited</w:t>
            </w:r>
          </w:p>
        </w:tc>
        <w:tc>
          <w:tcPr>
            <w:tcW w:w="17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236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204"/>
        </w:trPr>
        <w:tc>
          <w:tcPr>
            <w:tcW w:w="7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1400" w:type="dxa"/>
            <w:vAlign w:val="bottom"/>
            <w:vMerge w:val="restart"/>
            <w:shd w:val="clear" w:color="auto" w:fill="CCEEFF"/>
          </w:tcPr>
          <w:p>
            <w:pPr>
              <w:ind w:left="1040"/>
              <w:spacing w:after="0"/>
              <w:rPr>
                <w:sz w:val="20"/>
                <w:szCs w:val="20"/>
                <w:color w:val="auto"/>
              </w:rPr>
            </w:pPr>
            <w:r>
              <w:rPr>
                <w:rFonts w:ascii="Arial" w:cs="Arial" w:eastAsia="Arial" w:hAnsi="Arial"/>
                <w:sz w:val="14"/>
                <w:szCs w:val="14"/>
                <w:color w:val="auto"/>
              </w:rPr>
              <w:t>n/a</w:t>
            </w:r>
          </w:p>
        </w:tc>
        <w:tc>
          <w:tcPr>
            <w:tcW w:w="14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1,052,236</w:t>
            </w:r>
          </w:p>
        </w:tc>
        <w:tc>
          <w:tcPr>
            <w:tcW w:w="1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(309,237)</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(13,012)</w:t>
            </w:r>
          </w:p>
        </w:tc>
        <w:tc>
          <w:tcPr>
            <w:tcW w:w="174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729,987</w:t>
            </w:r>
          </w:p>
        </w:tc>
        <w:tc>
          <w:tcPr>
            <w:tcW w:w="23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April 26, 2027</w:t>
            </w:r>
          </w:p>
        </w:tc>
        <w:tc>
          <w:tcPr>
            <w:tcW w:w="0" w:type="dxa"/>
            <w:vAlign w:val="bottom"/>
          </w:tcPr>
          <w:p>
            <w:pPr>
              <w:spacing w:after="0"/>
              <w:rPr>
                <w:sz w:val="1"/>
                <w:szCs w:val="1"/>
                <w:color w:val="auto"/>
              </w:rPr>
            </w:pPr>
          </w:p>
        </w:tc>
      </w:tr>
      <w:tr>
        <w:trPr>
          <w:trHeight w:val="66"/>
        </w:trPr>
        <w:tc>
          <w:tcPr>
            <w:tcW w:w="70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2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0" w:type="dxa"/>
            <w:vAlign w:val="bottom"/>
            <w:vMerge w:val="restart"/>
          </w:tcPr>
          <w:p>
            <w:pPr>
              <w:ind w:left="40"/>
              <w:spacing w:after="0"/>
              <w:rPr>
                <w:sz w:val="20"/>
                <w:szCs w:val="20"/>
                <w:color w:val="auto"/>
              </w:rPr>
            </w:pPr>
            <w:r>
              <w:rPr>
                <w:rFonts w:ascii="Arial" w:cs="Arial" w:eastAsia="Arial" w:hAnsi="Arial"/>
                <w:sz w:val="14"/>
                <w:szCs w:val="14"/>
                <w:color w:val="auto"/>
              </w:rPr>
              <w:t>2018</w:t>
            </w:r>
          </w:p>
        </w:tc>
        <w:tc>
          <w:tcPr>
            <w:tcW w:w="1400" w:type="dxa"/>
            <w:vAlign w:val="bottom"/>
            <w:vMerge w:val="restart"/>
          </w:tcPr>
          <w:p>
            <w:pPr>
              <w:ind w:left="1040"/>
              <w:spacing w:after="0"/>
              <w:rPr>
                <w:sz w:val="20"/>
                <w:szCs w:val="20"/>
                <w:color w:val="auto"/>
              </w:rPr>
            </w:pPr>
            <w:r>
              <w:rPr>
                <w:rFonts w:ascii="Arial" w:cs="Arial" w:eastAsia="Arial" w:hAnsi="Arial"/>
                <w:sz w:val="14"/>
                <w:szCs w:val="14"/>
                <w:color w:val="auto"/>
              </w:rPr>
              <w:t>n/a</w:t>
            </w:r>
          </w:p>
        </w:tc>
        <w:tc>
          <w:tcPr>
            <w:tcW w:w="144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273,390</w:t>
            </w:r>
          </w:p>
        </w:tc>
        <w:tc>
          <w:tcPr>
            <w:tcW w:w="118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(140,904)</w:t>
            </w:r>
          </w:p>
        </w:tc>
        <w:tc>
          <w:tcPr>
            <w:tcW w:w="1740" w:type="dxa"/>
            <w:vAlign w:val="bottom"/>
            <w:vMerge w:val="restart"/>
          </w:tcPr>
          <w:p>
            <w:pPr>
              <w:jc w:val="right"/>
              <w:ind w:right="388"/>
              <w:spacing w:after="0"/>
              <w:rPr>
                <w:sz w:val="20"/>
                <w:szCs w:val="20"/>
                <w:color w:val="auto"/>
              </w:rPr>
            </w:pPr>
            <w:r>
              <w:rPr>
                <w:rFonts w:ascii="Arial" w:cs="Arial" w:eastAsia="Arial" w:hAnsi="Arial"/>
                <w:sz w:val="14"/>
                <w:szCs w:val="14"/>
                <w:color w:val="auto"/>
              </w:rPr>
              <w:t>132,486</w:t>
            </w:r>
          </w:p>
        </w:tc>
        <w:tc>
          <w:tcPr>
            <w:tcW w:w="2360" w:type="dxa"/>
            <w:vAlign w:val="bottom"/>
          </w:tcPr>
          <w:p>
            <w:pPr>
              <w:jc w:val="right"/>
              <w:ind w:right="408"/>
              <w:spacing w:after="0"/>
              <w:rPr>
                <w:sz w:val="20"/>
                <w:szCs w:val="20"/>
                <w:color w:val="auto"/>
              </w:rPr>
            </w:pPr>
            <w:r>
              <w:rPr>
                <w:rFonts w:ascii="Arial" w:cs="Arial" w:eastAsia="Arial" w:hAnsi="Arial"/>
                <w:sz w:val="14"/>
                <w:szCs w:val="14"/>
                <w:color w:val="auto"/>
              </w:rPr>
              <w:t>March 8, 2028</w:t>
            </w:r>
          </w:p>
        </w:tc>
        <w:tc>
          <w:tcPr>
            <w:tcW w:w="0" w:type="dxa"/>
            <w:vAlign w:val="bottom"/>
          </w:tcPr>
          <w:p>
            <w:pPr>
              <w:spacing w:after="0"/>
              <w:rPr>
                <w:sz w:val="1"/>
                <w:szCs w:val="1"/>
                <w:color w:val="auto"/>
              </w:rPr>
            </w:pPr>
          </w:p>
        </w:tc>
      </w:tr>
      <w:tr>
        <w:trPr>
          <w:trHeight w:val="60"/>
        </w:trPr>
        <w:tc>
          <w:tcPr>
            <w:tcW w:w="70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1,052,236</w:t>
            </w:r>
          </w:p>
        </w:tc>
        <w:tc>
          <w:tcPr>
            <w:tcW w:w="1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273,390</w:t>
            </w:r>
          </w:p>
        </w:tc>
        <w:tc>
          <w:tcPr>
            <w:tcW w:w="11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(309,237)</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(153,916)</w:t>
            </w:r>
          </w:p>
        </w:tc>
        <w:tc>
          <w:tcPr>
            <w:tcW w:w="17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862,473</w:t>
            </w:r>
          </w:p>
        </w:tc>
        <w:tc>
          <w:tcPr>
            <w:tcW w:w="23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 by scheme as of December 31,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3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exercise price in £ for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exercise price in £ for</w:t>
            </w:r>
          </w:p>
        </w:tc>
      </w:tr>
      <w:tr>
        <w:trPr>
          <w:trHeight w:val="196"/>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w:t>
            </w:r>
          </w:p>
        </w:tc>
        <w:tc>
          <w:tcPr>
            <w:tcW w:w="3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Outstanding</w:t>
            </w:r>
          </w:p>
        </w:tc>
        <w:tc>
          <w:tcPr>
            <w:tcW w:w="14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Exercisable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Unapproved</w:t>
            </w:r>
          </w:p>
        </w:tc>
        <w:tc>
          <w:tcPr>
            <w:tcW w:w="34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8,538,130</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3,336,232</w:t>
            </w: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1.49</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1.57</w:t>
            </w:r>
          </w:p>
        </w:tc>
      </w:tr>
      <w:tr>
        <w:trPr>
          <w:trHeight w:val="26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EMI</w:t>
            </w:r>
          </w:p>
        </w:tc>
        <w:tc>
          <w:tcPr>
            <w:tcW w:w="34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213,984</w:t>
            </w: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206,652</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3.06</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3.09</w:t>
            </w:r>
          </w:p>
        </w:tc>
      </w:tr>
      <w:tr>
        <w:trPr>
          <w:trHeight w:val="264"/>
        </w:trPr>
        <w:tc>
          <w:tcPr>
            <w:tcW w:w="3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8,752,114</w:t>
            </w: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3,542,884</w:t>
            </w:r>
          </w:p>
        </w:tc>
        <w:tc>
          <w:tcPr>
            <w:tcW w:w="1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1.53</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1.66</w:t>
            </w: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As of December 31, 2018 there were no restricted share options exercisable (2017: nil) and there is no exercise price for restricted share options.</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options outstanding at December 31, 2018 had a weighted average remaining contractual life of 8 years (2017: 8.6 years). For 2017 and 2018, the number of options granted and expired and the weighted average exercise price of options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 2017</w:t>
            </w:r>
          </w:p>
        </w:tc>
        <w:tc>
          <w:tcPr>
            <w:tcW w:w="1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3,037,296</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63"/>
        </w:trPr>
        <w:tc>
          <w:tcPr>
            <w:tcW w:w="7440" w:type="dxa"/>
            <w:vAlign w:val="bottom"/>
          </w:tcPr>
          <w:p>
            <w:pPr>
              <w:ind w:left="180"/>
              <w:spacing w:after="0"/>
              <w:rPr>
                <w:sz w:val="20"/>
                <w:szCs w:val="20"/>
                <w:color w:val="auto"/>
              </w:rPr>
            </w:pPr>
            <w:r>
              <w:rPr>
                <w:rFonts w:ascii="Arial" w:cs="Arial" w:eastAsia="Arial" w:hAnsi="Arial"/>
                <w:sz w:val="18"/>
                <w:szCs w:val="18"/>
                <w:color w:val="auto"/>
              </w:rPr>
              <w:t>Options granted in 2017:</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3,150,846</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3"/>
        </w:trPr>
        <w:tc>
          <w:tcPr>
            <w:tcW w:w="7440" w:type="dxa"/>
            <w:vAlign w:val="bottom"/>
          </w:tcPr>
          <w:p>
            <w:pPr>
              <w:ind w:left="380"/>
              <w:spacing w:after="0"/>
              <w:rPr>
                <w:sz w:val="20"/>
                <w:szCs w:val="20"/>
                <w:color w:val="auto"/>
              </w:rPr>
            </w:pPr>
            <w:r>
              <w:rPr>
                <w:rFonts w:ascii="Arial" w:cs="Arial" w:eastAsia="Arial" w:hAnsi="Arial"/>
                <w:sz w:val="18"/>
                <w:szCs w:val="18"/>
                <w:color w:val="auto"/>
              </w:rPr>
              <w:t>Directors</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1,505,982</w:t>
            </w:r>
          </w:p>
        </w:tc>
        <w:tc>
          <w:tcPr>
            <w:tcW w:w="100" w:type="dxa"/>
            <w:vAlign w:val="bottom"/>
          </w:tcPr>
          <w:p>
            <w:pPr>
              <w:spacing w:after="0"/>
              <w:rPr>
                <w:sz w:val="22"/>
                <w:szCs w:val="22"/>
                <w:color w:val="auto"/>
              </w:rPr>
            </w:pP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 in the year</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expired in the year</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(33,333)</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7,527,458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Exercisable at December 31, 2017</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1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797,333</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7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 2018</w:t>
            </w:r>
          </w:p>
        </w:tc>
        <w:tc>
          <w:tcPr>
            <w:tcW w:w="1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7,527,458</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Options granted in 2018:</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1,222,089</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7440" w:type="dxa"/>
            <w:vAlign w:val="bottom"/>
          </w:tcPr>
          <w:p>
            <w:pPr>
              <w:ind w:left="380"/>
              <w:spacing w:after="0"/>
              <w:rPr>
                <w:sz w:val="20"/>
                <w:szCs w:val="20"/>
                <w:color w:val="auto"/>
              </w:rPr>
            </w:pPr>
            <w:r>
              <w:rPr>
                <w:rFonts w:ascii="Arial" w:cs="Arial" w:eastAsia="Arial" w:hAnsi="Arial"/>
                <w:sz w:val="18"/>
                <w:szCs w:val="18"/>
                <w:color w:val="auto"/>
              </w:rPr>
              <w:t>Directors</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868,758</w:t>
            </w:r>
          </w:p>
        </w:tc>
        <w:tc>
          <w:tcPr>
            <w:tcW w:w="100" w:type="dxa"/>
            <w:vAlign w:val="bottom"/>
          </w:tcPr>
          <w:p>
            <w:pPr>
              <w:spacing w:after="0"/>
              <w:rPr>
                <w:sz w:val="22"/>
                <w:szCs w:val="22"/>
                <w:color w:val="auto"/>
              </w:rPr>
            </w:pP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7"/>
        </w:trPr>
        <w:tc>
          <w:tcPr>
            <w:tcW w:w="7440" w:type="dxa"/>
            <w:vAlign w:val="bottom"/>
          </w:tcPr>
          <w:p>
            <w:pPr>
              <w:ind w:left="180"/>
              <w:spacing w:after="0"/>
              <w:rPr>
                <w:sz w:val="20"/>
                <w:szCs w:val="20"/>
                <w:color w:val="auto"/>
              </w:rPr>
            </w:pPr>
            <w:r>
              <w:rPr>
                <w:rFonts w:ascii="Arial" w:cs="Arial" w:eastAsia="Arial" w:hAnsi="Arial"/>
                <w:sz w:val="18"/>
                <w:szCs w:val="18"/>
                <w:color w:val="auto"/>
              </w:rPr>
              <w:t>Options forfeited in the year</w:t>
            </w:r>
          </w:p>
        </w:tc>
        <w:tc>
          <w:tcPr>
            <w:tcW w:w="1940" w:type="dxa"/>
            <w:vAlign w:val="bottom"/>
          </w:tcPr>
          <w:p>
            <w:pPr>
              <w:jc w:val="right"/>
              <w:spacing w:after="0"/>
              <w:rPr>
                <w:sz w:val="20"/>
                <w:szCs w:val="20"/>
                <w:color w:val="auto"/>
              </w:rPr>
            </w:pPr>
            <w:r>
              <w:rPr>
                <w:rFonts w:ascii="Arial" w:cs="Arial" w:eastAsia="Arial" w:hAnsi="Arial"/>
                <w:sz w:val="18"/>
                <w:szCs w:val="18"/>
                <w:color w:val="auto"/>
              </w:rPr>
              <w:t>(799,524)</w:t>
            </w:r>
          </w:p>
        </w:tc>
        <w:tc>
          <w:tcPr>
            <w:tcW w:w="100" w:type="dxa"/>
            <w:vAlign w:val="bottom"/>
          </w:tcPr>
          <w:p>
            <w:pPr>
              <w:spacing w:after="0"/>
              <w:rPr>
                <w:sz w:val="24"/>
                <w:szCs w:val="24"/>
                <w:color w:val="auto"/>
              </w:rPr>
            </w:pP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expired in the year</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At December 31, 2018</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8,752,114</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December 31, 2018</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3,542,884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059"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40" w:right="239" w:bottom="1059"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 shows the number of RSUs issued in 2017. There were no RSUs forfeited, canceled or vested in 2017. The fair value of each unvested RSU at grant date was £1.32.</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920" w:type="dxa"/>
            <w:vAlign w:val="bottom"/>
          </w:tcPr>
          <w:p>
            <w:pPr>
              <w:spacing w:after="0"/>
              <w:rPr>
                <w:sz w:val="14"/>
                <w:szCs w:val="14"/>
                <w:color w:val="auto"/>
              </w:rPr>
            </w:pPr>
          </w:p>
        </w:tc>
        <w:tc>
          <w:tcPr>
            <w:tcW w:w="1460" w:type="dxa"/>
            <w:vAlign w:val="bottom"/>
          </w:tcPr>
          <w:p>
            <w:pPr>
              <w:jc w:val="right"/>
              <w:ind w:right="276"/>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99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RSUs</w:t>
            </w:r>
          </w:p>
        </w:tc>
      </w:tr>
      <w:tr>
        <w:trPr>
          <w:trHeight w:val="256"/>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2017</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9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tcPr>
          <w:p>
            <w:pPr>
              <w:spacing w:after="0"/>
              <w:rPr>
                <w:sz w:val="22"/>
                <w:szCs w:val="22"/>
                <w:color w:val="auto"/>
              </w:rPr>
            </w:pPr>
          </w:p>
        </w:tc>
      </w:tr>
      <w:tr>
        <w:trPr>
          <w:trHeight w:val="277"/>
        </w:trPr>
        <w:tc>
          <w:tcPr>
            <w:tcW w:w="9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705,841</w:t>
            </w:r>
          </w:p>
        </w:tc>
      </w:tr>
      <w:tr>
        <w:trPr>
          <w:trHeight w:val="264"/>
        </w:trPr>
        <w:tc>
          <w:tcPr>
            <w:tcW w:w="99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Directors</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346,395</w:t>
            </w: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2017</w:t>
            </w: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1,052,236</w:t>
            </w:r>
          </w:p>
        </w:tc>
      </w:tr>
      <w:tr>
        <w:trPr>
          <w:trHeight w:val="20"/>
        </w:trPr>
        <w:tc>
          <w:tcPr>
            <w:tcW w:w="9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table shows the number of RSUs issued, exercised and forfeited in 2018. The fair value of each unvested RSU granted in 2018 was£1.46.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tcPr>
          <w:p>
            <w:pPr>
              <w:spacing w:after="0"/>
              <w:rPr>
                <w:sz w:val="14"/>
                <w:szCs w:val="14"/>
                <w:color w:val="auto"/>
              </w:rPr>
            </w:pPr>
          </w:p>
        </w:tc>
        <w:tc>
          <w:tcPr>
            <w:tcW w:w="1480" w:type="dxa"/>
            <w:vAlign w:val="bottom"/>
          </w:tcPr>
          <w:p>
            <w:pPr>
              <w:jc w:val="right"/>
              <w:ind w:right="294"/>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99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RSUs</w:t>
            </w:r>
          </w:p>
        </w:tc>
      </w:tr>
      <w:tr>
        <w:trPr>
          <w:trHeight w:val="256"/>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 2018</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1,052,236</w:t>
            </w:r>
          </w:p>
        </w:tc>
      </w:tr>
      <w:tr>
        <w:trPr>
          <w:trHeight w:val="263"/>
        </w:trPr>
        <w:tc>
          <w:tcPr>
            <w:tcW w:w="9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22"/>
                <w:szCs w:val="22"/>
                <w:color w:val="auto"/>
              </w:rPr>
            </w:pPr>
          </w:p>
        </w:tc>
      </w:tr>
      <w:tr>
        <w:trPr>
          <w:trHeight w:val="277"/>
        </w:trPr>
        <w:tc>
          <w:tcPr>
            <w:tcW w:w="9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Employees</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136,404</w:t>
            </w:r>
          </w:p>
        </w:tc>
      </w:tr>
      <w:tr>
        <w:trPr>
          <w:trHeight w:val="263"/>
        </w:trPr>
        <w:tc>
          <w:tcPr>
            <w:tcW w:w="9920" w:type="dxa"/>
            <w:vAlign w:val="bottom"/>
          </w:tcPr>
          <w:p>
            <w:pPr>
              <w:ind w:left="380"/>
              <w:spacing w:after="0"/>
              <w:rPr>
                <w:sz w:val="20"/>
                <w:szCs w:val="20"/>
                <w:color w:val="auto"/>
              </w:rPr>
            </w:pPr>
            <w:r>
              <w:rPr>
                <w:rFonts w:ascii="Arial" w:cs="Arial" w:eastAsia="Arial" w:hAnsi="Arial"/>
                <w:sz w:val="18"/>
                <w:szCs w:val="18"/>
                <w:color w:val="auto"/>
              </w:rPr>
              <w:t>Directors</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136,986</w:t>
            </w:r>
          </w:p>
        </w:tc>
      </w:tr>
      <w:tr>
        <w:trPr>
          <w:trHeight w:val="277"/>
        </w:trPr>
        <w:tc>
          <w:tcPr>
            <w:tcW w:w="9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 vested in the year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(309,237)</w:t>
            </w:r>
          </w:p>
        </w:tc>
      </w:tr>
      <w:tr>
        <w:trPr>
          <w:trHeight w:val="264"/>
        </w:trPr>
        <w:tc>
          <w:tcPr>
            <w:tcW w:w="9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RSUs forfeited in the year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(153,916)</w:t>
            </w: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2018</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862,473</w:t>
            </w:r>
          </w:p>
        </w:tc>
      </w:tr>
      <w:tr>
        <w:trPr>
          <w:trHeight w:val="20"/>
        </w:trPr>
        <w:tc>
          <w:tcPr>
            <w:tcW w:w="9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financial instrument</w:t>
      </w:r>
    </w:p>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July 2016 Placement, on July 29, 2016, the Company issued 31,115,926 units to new and existing investors at the placing price of £1.4365 per unit. Each unit comprises one ordinary share and one warrant.</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warrant holders can subscribe for 0.4 of an ordinary share at a per share exercise price of 120% of the placing price or £1.7238. The warrant holders can opt for a cashless exercise of their warrants, whereby the warrant holders can choose to exchange the warrants held for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26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warrants entitled the investors to subscribe for in aggregate a maximum of 12,401,262 shares. The warrants can be exercised on the "Commencement Date" which is defined as the earlier of the consummation of the Global Offering (being May 2, 2017) or the first anniversary of the grant, and the exercise period shall end on the fifth anniversary of the commencement date (being May 2, 2022).</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ordinary shares and warrants were accounted for as a compound financial instrument. The warrants component of the instrument issued at the July 2016 Placement was classified as a derivative financial liability and was initially measured at fair value of £9.0 million. The residual amount of proceeds totaling £35.7 million was recognized within equity. Subsequently the financial liability was re-measured at the reporting date at fair value through profit or loss.</w:t>
      </w:r>
    </w:p>
    <w:p>
      <w:pPr>
        <w:spacing w:after="0" w:line="2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total of transaction costs the Company incurred for the above transactions amounted to £2.9 million of which £0.6 million was allocated to the warrants and the remaining £2.3 million was presented as a reduction to share premium, by reference to the proceeds allocated to each component. The amount assigned to the financial liability of the warrants was subsequently presented as finance expense in the Consolidated Statement of Comprehensive Income.</w:t>
      </w:r>
    </w:p>
    <w:p>
      <w:pPr>
        <w:sectPr>
          <w:pgSz w:w="11900" w:h="16838" w:orient="portrait"/>
          <w:cols w:equalWidth="0" w:num="1">
            <w:col w:w="11420"/>
          </w:cols>
          <w:pgMar w:left="240" w:top="140"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40" w:right="23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2018, no warrants were forfeited (2017: 45,108).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assumptions in applying the Black-Scholes model to determine the fair value of the warrants.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8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6"/>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12,401,262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12,401,262</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1.7238</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0.420%</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Expected term to exercise</w:t>
            </w:r>
          </w:p>
        </w:tc>
        <w:tc>
          <w:tcPr>
            <w:tcW w:w="30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3.40 years</w:t>
            </w:r>
          </w:p>
        </w:tc>
        <w:tc>
          <w:tcPr>
            <w:tcW w:w="300" w:type="dxa"/>
            <w:vAlign w:val="bottom"/>
          </w:tcPr>
          <w:p>
            <w:pPr>
              <w:spacing w:after="0"/>
              <w:rPr>
                <w:sz w:val="22"/>
                <w:szCs w:val="22"/>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1.79 years</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figures disclosed above relating to the issue of the shares and warrants have been retrospectively adjusted to reflect the 50-for-1 share consolidation in 2017 as described in note 1. The original number of units issued to new and existing investors was 1,555,796,345 units at a placing price of 2.873 pence per unit and an exercise price of 3.4476 pence per share. This entitled the investors to subscribe for in aggregate a maximum of 622,318,538 shares.</w:t>
      </w:r>
    </w:p>
    <w:p>
      <w:pPr>
        <w:spacing w:after="0" w:line="2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per the reporting date, the Company updated the underlying assumptions and calculated a fair value of these warrants amounting to £2.5 million. The variance of 1.2 million is recorded as finance expense in the Consolidated Statement of Comprehensive Income.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Derivative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financial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34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instrument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34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7,923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1,273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For the amount recognized at December 31, 2018, the effect when the following parameter deviates up or down is presented in the below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Volatility</w:t>
            </w:r>
          </w:p>
        </w:tc>
      </w:tr>
      <w:tr>
        <w:trPr>
          <w:trHeight w:val="162"/>
        </w:trPr>
        <w:tc>
          <w:tcPr>
            <w:tcW w:w="40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(up / down</w:t>
            </w:r>
          </w:p>
        </w:tc>
      </w:tr>
      <w:tr>
        <w:trPr>
          <w:trHeight w:val="196"/>
        </w:trPr>
        <w:tc>
          <w:tcPr>
            <w:tcW w:w="40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 pts)</w:t>
            </w:r>
          </w:p>
        </w:tc>
      </w:tr>
      <w:tr>
        <w:trPr>
          <w:trHeight w:val="250"/>
        </w:trPr>
        <w:tc>
          <w:tcPr>
            <w:tcW w:w="406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up</w:t>
            </w:r>
          </w:p>
        </w:tc>
        <w:tc>
          <w:tcPr>
            <w:tcW w:w="7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3,262</w:t>
            </w:r>
          </w:p>
        </w:tc>
      </w:tr>
      <w:tr>
        <w:trPr>
          <w:trHeight w:val="250"/>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Base case, reported fair value</w:t>
            </w:r>
          </w:p>
        </w:tc>
        <w:tc>
          <w:tcPr>
            <w:tcW w:w="73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2,492</w:t>
            </w:r>
          </w:p>
        </w:tc>
      </w:tr>
      <w:tr>
        <w:trPr>
          <w:trHeight w:val="26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down</w:t>
            </w:r>
          </w:p>
        </w:tc>
        <w:tc>
          <w:tcPr>
            <w:tcW w:w="7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1,738</w:t>
            </w:r>
          </w:p>
        </w:tc>
      </w:tr>
      <w:tr>
        <w:trPr>
          <w:trHeight w:val="594"/>
        </w:trPr>
        <w:tc>
          <w:tcPr>
            <w:tcW w:w="4060" w:type="dxa"/>
            <w:vAlign w:val="bottom"/>
          </w:tcPr>
          <w:p>
            <w:pPr>
              <w:spacing w:after="0"/>
              <w:rPr>
                <w:sz w:val="24"/>
                <w:szCs w:val="24"/>
                <w:color w:val="auto"/>
              </w:rPr>
            </w:pPr>
          </w:p>
        </w:tc>
        <w:tc>
          <w:tcPr>
            <w:tcW w:w="7360" w:type="dxa"/>
            <w:vAlign w:val="bottom"/>
            <w:gridSpan w:val="2"/>
          </w:tcPr>
          <w:p>
            <w:pPr>
              <w:jc w:val="right"/>
              <w:ind w:right="5448"/>
              <w:spacing w:after="0"/>
              <w:rPr>
                <w:sz w:val="20"/>
                <w:szCs w:val="20"/>
                <w:color w:val="auto"/>
              </w:rPr>
            </w:pPr>
            <w:r>
              <w:rPr>
                <w:rFonts w:ascii="Arial" w:cs="Arial" w:eastAsia="Arial" w:hAnsi="Arial"/>
                <w:sz w:val="18"/>
                <w:szCs w:val="18"/>
                <w:color w:val="auto"/>
              </w:rPr>
              <w:t>F-34</w:t>
            </w:r>
          </w:p>
        </w:tc>
      </w:tr>
    </w:tbl>
    <w:p>
      <w:pPr>
        <w:sectPr>
          <w:pgSz w:w="11900" w:h="16838" w:orient="portrait"/>
          <w:cols w:equalWidth="0" w:num="1">
            <w:col w:w="11420"/>
          </w:cols>
          <w:pgMar w:left="240" w:top="140"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Trade and other payables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As of</w:t>
            </w:r>
          </w:p>
        </w:tc>
      </w:tr>
      <w:tr>
        <w:trPr>
          <w:trHeight w:val="162"/>
        </w:trPr>
        <w:tc>
          <w:tcPr>
            <w:tcW w:w="902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02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1,214</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Other payables</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74</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Accruals</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5,866</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 trade and other payables</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7,154</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Assumed contingent obligation related to the business combination</w:t>
      </w:r>
    </w:p>
    <w:p>
      <w:pPr>
        <w:spacing w:after="0" w:line="30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value of the assumed contingent obligation as of December 31, 2018 amounts to £996 thousand (2017: £875 thousand). The increase in value of the assumed contingent obligation during 2018 amounted to £121 thousand (2017: £73 thousand ) and the unwinding of the discount on the liability was recorded in finance expense. Periodic re-measurement is triggered by changes in the probability of success. The discount percentage applied is 12%. In 2018 there were no events that triggered remeasurement.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56"/>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12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875</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802</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Impact of changes in foreign exchange rates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875</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For the amount recognized December 31, 2018 of £121 thousand (2017: £73 thousand) the effect if underlying assumptions were to deviate up or down is presented in the following table (assuming the probability of success does not change):</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Discount rate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Revenue</w:t>
            </w:r>
          </w:p>
        </w:tc>
      </w:tr>
      <w:tr>
        <w:trPr>
          <w:trHeight w:val="203"/>
        </w:trPr>
        <w:tc>
          <w:tcPr>
            <w:tcW w:w="40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(up / down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(up / down</w:t>
            </w:r>
          </w:p>
        </w:tc>
      </w:tr>
      <w:tr>
        <w:trPr>
          <w:trHeight w:val="215"/>
        </w:trPr>
        <w:tc>
          <w:tcPr>
            <w:tcW w:w="4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1 % pt)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10 % pts)</w:t>
            </w:r>
          </w:p>
        </w:tc>
      </w:tr>
      <w:tr>
        <w:trPr>
          <w:trHeight w:val="33"/>
        </w:trPr>
        <w:tc>
          <w:tcPr>
            <w:tcW w:w="40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6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996</w:t>
            </w:r>
          </w:p>
        </w:tc>
      </w:tr>
      <w:tr>
        <w:trPr>
          <w:trHeight w:val="27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675"/>
        </w:trPr>
        <w:tc>
          <w:tcPr>
            <w:tcW w:w="4040" w:type="dxa"/>
            <w:vAlign w:val="bottom"/>
          </w:tcPr>
          <w:p>
            <w:pPr>
              <w:spacing w:after="0"/>
              <w:rPr>
                <w:sz w:val="24"/>
                <w:szCs w:val="24"/>
                <w:color w:val="auto"/>
              </w:rPr>
            </w:pPr>
          </w:p>
        </w:tc>
        <w:tc>
          <w:tcPr>
            <w:tcW w:w="6100" w:type="dxa"/>
            <w:vAlign w:val="bottom"/>
            <w:gridSpan w:val="3"/>
          </w:tcPr>
          <w:p>
            <w:pPr>
              <w:ind w:left="1460"/>
              <w:spacing w:after="0"/>
              <w:rPr>
                <w:sz w:val="20"/>
                <w:szCs w:val="20"/>
                <w:color w:val="auto"/>
              </w:rPr>
            </w:pPr>
            <w:r>
              <w:rPr>
                <w:rFonts w:ascii="Arial" w:cs="Arial" w:eastAsia="Arial" w:hAnsi="Arial"/>
                <w:sz w:val="18"/>
                <w:szCs w:val="18"/>
                <w:color w:val="auto"/>
              </w:rPr>
              <w:t>F-35</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commitments</w:t>
      </w:r>
    </w:p>
    <w:p>
      <w:pPr>
        <w:spacing w:after="0" w:line="30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2018, and 2017, the Company was committed to making the following payments under non-cancellable operating leases related to its facilities.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Land and</w:t>
            </w:r>
          </w:p>
        </w:tc>
        <w:tc>
          <w:tcPr>
            <w:tcW w:w="1140" w:type="dxa"/>
            <w:vAlign w:val="bottom"/>
          </w:tcPr>
          <w:p>
            <w:pPr>
              <w:jc w:val="right"/>
              <w:ind w:right="160"/>
              <w:spacing w:after="0"/>
              <w:rPr>
                <w:sz w:val="20"/>
                <w:szCs w:val="20"/>
                <w:color w:val="auto"/>
              </w:rPr>
            </w:pPr>
            <w:r>
              <w:rPr>
                <w:rFonts w:ascii="Arial" w:cs="Arial" w:eastAsia="Arial" w:hAnsi="Arial"/>
                <w:sz w:val="14"/>
                <w:szCs w:val="14"/>
                <w:b w:val="1"/>
                <w:bCs w:val="1"/>
                <w:color w:val="auto"/>
              </w:rPr>
              <w:t>Land and</w:t>
            </w:r>
          </w:p>
        </w:tc>
      </w:tr>
      <w:tr>
        <w:trPr>
          <w:trHeight w:val="196"/>
        </w:trPr>
        <w:tc>
          <w:tcPr>
            <w:tcW w:w="902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Buildings</w:t>
            </w:r>
          </w:p>
        </w:tc>
        <w:tc>
          <w:tcPr>
            <w:tcW w:w="1140" w:type="dxa"/>
            <w:vAlign w:val="bottom"/>
          </w:tcPr>
          <w:p>
            <w:pPr>
              <w:jc w:val="right"/>
              <w:ind w:right="160"/>
              <w:spacing w:after="0"/>
              <w:rPr>
                <w:sz w:val="20"/>
                <w:szCs w:val="20"/>
                <w:color w:val="auto"/>
              </w:rPr>
            </w:pPr>
            <w:r>
              <w:rPr>
                <w:rFonts w:ascii="Arial" w:cs="Arial" w:eastAsia="Arial" w:hAnsi="Arial"/>
                <w:sz w:val="14"/>
                <w:szCs w:val="14"/>
                <w:b w:val="1"/>
                <w:bCs w:val="1"/>
                <w:color w:val="auto"/>
              </w:rPr>
              <w:t>Buildings</w:t>
            </w:r>
          </w:p>
        </w:tc>
      </w:tr>
      <w:tr>
        <w:trPr>
          <w:trHeight w:val="250"/>
        </w:trPr>
        <w:tc>
          <w:tcPr>
            <w:tcW w:w="90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Within one year</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291</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Between one and five years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568</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 transactions and other shareholder matters</w:t>
      </w:r>
    </w:p>
    <w:p>
      <w:pPr>
        <w:spacing w:after="0" w:line="283"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Related party transactions</w:t>
      </w:r>
    </w:p>
    <w:p>
      <w:pPr>
        <w:spacing w:after="0" w:line="2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Directors have authority and responsibility for planning, directing and controlling the activities of the Company and they therefore comprise key management personnel as defined by IAS 24, ("Related Party Disclosures").</w:t>
      </w:r>
    </w:p>
    <w:p>
      <w:pPr>
        <w:spacing w:after="0" w:line="232" w:lineRule="exact"/>
        <w:rPr>
          <w:sz w:val="20"/>
          <w:szCs w:val="20"/>
          <w:color w:val="auto"/>
        </w:rPr>
      </w:pPr>
    </w:p>
    <w:p>
      <w:pPr>
        <w:ind w:left="400" w:hanging="392"/>
        <w:spacing w:after="0"/>
        <w:tabs>
          <w:tab w:leader="none" w:pos="40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Other shareholder matters</w:t>
      </w:r>
    </w:p>
    <w:p>
      <w:pPr>
        <w:spacing w:after="0" w:line="29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has entered into the following arrangements with parties who are significant shareholders of the Company, though they are not classed as related parties.</w:t>
      </w:r>
    </w:p>
    <w:p>
      <w:pPr>
        <w:spacing w:after="0" w:line="250"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The Company entered into relationship agreements with Vivo Ventures Fund VII, L.P., Vivo Ventures VII Affiliates Fund, L.P., Vivo Ventures Fund VI, L.P., Vivo Ventures VI Affiliates Fund, L.P. (collectively, "Vivo Capital"), Orbimed Private Investments VI L.P. ("Orbimed"), Abingworth Bioventures VI L.P. ("Abingworth"), and Arix Bioscience plc ("Arix") and Arthurian Life Sciences SPV GP Limited, ("Arthurian"). As agreed in these relationship agreements, the above parties invested in the Company as part of the July 2016 Placement, and the Company agreed to appoint representatives designated by Vivo Capital, OrbiMed, Abingworth, and Arix and Arthurian, to the board of directors, who are</w:t>
      </w:r>
    </w:p>
    <w:p>
      <w:pPr>
        <w:spacing w:after="0" w:line="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Dr. Mahendra Shah, Mr. Rishi Gupta, and Dr. Andrew Sinclair and who was, prior to the termination of the appointment rights in the Arix and Arthurian relationship agreement described below, Dr. Ken Cunningham, respectively.</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appointment rights within the relationship agreement with Arix and Arthurian terminated on closing of the Global Offering on April 26, 2017. Dr Cunningham agreed to continue to serve on the Company's board of directors as an independent director. The respective appointment rights under the remaining relationship agreements will automatically terminate upon (i) Vivo Capital, OrbiMed or Abingworth (or any of their associates), as applicable, ceasing to beneficially hold 6.5% of the issued ordinary shares, or (ii) the ordinary shares ceasing to be admitted to AIM.</w:t>
      </w:r>
    </w:p>
    <w:p>
      <w:pPr>
        <w:spacing w:after="0" w:line="26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also entered into a management rights agreement with Novo A/S under which Novo A/S was entitled to appoint an observer to the Board. The appointment rights within the management rights agreement terminated on closing of the Global Offering on April 26, 2017.</w:t>
      </w:r>
    </w:p>
    <w:p>
      <w:pPr>
        <w:spacing w:after="0" w:line="22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Dr. Jan-Anders Karlsson, Chief Executive Officer of the Company, purchased 3,250 ordinary shares for £5 thousand from the market in the year ended December 31, 2018 (2017: £nil).</w:t>
      </w:r>
    </w:p>
    <w:p>
      <w:pPr>
        <w:spacing w:after="0" w:line="1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Dr. David Ebsworth, Chairman of the Company, purchased 12,000 ordinary shares for £14 thousand from the market in the year ended December 31, 2018 (2017: £28 thousand).</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year ended December 31, 2017, Vikas Sinha, a Non-Executive Director, purchased of £234 thousand of our ordinary shares, in the form of ADSs, as part of the Global Offering.</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December 31, 2018, there was a receivable of £126 thousand (2017: nil) due from one director and two key management personnel relating to tax due on RSUs that vested in the year ended December 31, 2018. This receivable was repaid, together with interest at a rate of 3.9% per annum, by March 6,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2018, a director provided consultancy services for £26 thousand (2017: £nil).</w:t>
      </w:r>
    </w:p>
    <w:p>
      <w:pPr>
        <w:sectPr>
          <w:pgSz w:w="11900" w:h="16838" w:orient="portrait"/>
          <w:cols w:equalWidth="0" w:num="1">
            <w:col w:w="11420"/>
          </w:cols>
          <w:pgMar w:left="240" w:top="14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40" w:right="239" w:bottom="1440" w:gutter="0" w:footer="0" w:header="0"/>
          <w:type w:val="continuous"/>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363220</wp:posOffset>
            </wp:positionV>
            <wp:extent cx="6212840" cy="8955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6212840"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517525</wp:posOffset>
            </wp:positionV>
            <wp:extent cx="6212840" cy="9006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6212840" cy="900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517525</wp:posOffset>
            </wp:positionV>
            <wp:extent cx="6212840" cy="9006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6212840" cy="900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517525</wp:posOffset>
            </wp:positionV>
            <wp:extent cx="6212840" cy="8946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6212840"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63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9006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787515" cy="900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97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787515" cy="8997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363220</wp:posOffset>
            </wp:positionV>
            <wp:extent cx="6212840" cy="8963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212840"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518160</wp:posOffset>
            </wp:positionV>
            <wp:extent cx="6212840" cy="9006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212840" cy="900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517525</wp:posOffset>
            </wp:positionV>
            <wp:extent cx="6212840" cy="9006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212840" cy="900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747395</wp:posOffset>
            </wp:positionH>
            <wp:positionV relativeFrom="page">
              <wp:posOffset>518160</wp:posOffset>
            </wp:positionV>
            <wp:extent cx="6212840" cy="8946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212840"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12.1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Jan-Anders Karlsson, Ph.D., certify that:</w:t>
      </w:r>
    </w:p>
    <w:p>
      <w:pPr>
        <w:spacing w:after="0" w:line="117"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Verona Pharma plc;</w:t>
      </w:r>
    </w:p>
    <w:p>
      <w:pPr>
        <w:spacing w:after="0" w:line="117"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8" w:lineRule="exact"/>
        <w:rPr>
          <w:rFonts w:ascii="Arial" w:cs="Arial" w:eastAsia="Arial" w:hAnsi="Arial"/>
          <w:sz w:val="18"/>
          <w:szCs w:val="18"/>
          <w:color w:val="auto"/>
        </w:rPr>
      </w:pPr>
    </w:p>
    <w:p>
      <w:pPr>
        <w:jc w:val="both"/>
        <w:ind w:right="140" w:firstLine="8"/>
        <w:spacing w:after="0" w:line="265" w:lineRule="auto"/>
        <w:tabs>
          <w:tab w:leader="none" w:pos="2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company and have:</w:t>
      </w:r>
    </w:p>
    <w:p>
      <w:pPr>
        <w:spacing w:after="0" w:line="117" w:lineRule="exact"/>
        <w:rPr>
          <w:sz w:val="20"/>
          <w:szCs w:val="20"/>
          <w:color w:val="auto"/>
        </w:rPr>
      </w:pPr>
    </w:p>
    <w:p>
      <w:pPr>
        <w:ind w:right="120" w:firstLine="8"/>
        <w:spacing w:after="0" w:line="256"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360" w:firstLine="8"/>
        <w:spacing w:after="0" w:line="262" w:lineRule="auto"/>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8"/>
          <w:szCs w:val="18"/>
          <w:color w:val="auto"/>
        </w:rPr>
      </w:pPr>
    </w:p>
    <w:p>
      <w:pPr>
        <w:jc w:val="both"/>
        <w:ind w:right="60" w:firstLine="8"/>
        <w:spacing w:after="0" w:line="262"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8" w:lineRule="exact"/>
        <w:rPr>
          <w:sz w:val="20"/>
          <w:szCs w:val="20"/>
          <w:color w:val="auto"/>
        </w:rPr>
      </w:pPr>
    </w:p>
    <w:p>
      <w:pPr>
        <w:ind w:right="180" w:firstLine="8"/>
        <w:spacing w:after="0" w:line="291" w:lineRule="auto"/>
        <w:tabs>
          <w:tab w:leader="none" w:pos="2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6" w:lineRule="exact"/>
        <w:rPr>
          <w:sz w:val="20"/>
          <w:szCs w:val="20"/>
          <w:color w:val="auto"/>
        </w:rPr>
      </w:pPr>
    </w:p>
    <w:p>
      <w:pPr>
        <w:ind w:right="820" w:firstLine="8"/>
        <w:spacing w:after="0" w:line="262" w:lineRule="auto"/>
        <w:tabs>
          <w:tab w:leader="none" w:pos="2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8" w:lineRule="exact"/>
        <w:rPr>
          <w:rFonts w:ascii="Arial" w:cs="Arial" w:eastAsia="Arial" w:hAnsi="Arial"/>
          <w:sz w:val="18"/>
          <w:szCs w:val="18"/>
          <w:color w:val="auto"/>
        </w:rPr>
      </w:pPr>
    </w:p>
    <w:p>
      <w:pPr>
        <w:ind w:right="420" w:firstLine="8"/>
        <w:spacing w:after="0" w:line="262" w:lineRule="auto"/>
        <w:tabs>
          <w:tab w:leader="none" w:pos="2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tabs>
          <w:tab w:leader="none" w:pos="5620" w:val="left"/>
          <w:tab w:leader="none" w:pos="6180" w:val="left"/>
        </w:tabs>
        <w:rPr>
          <w:sz w:val="20"/>
          <w:szCs w:val="20"/>
          <w:color w:val="auto"/>
        </w:rPr>
      </w:pPr>
      <w:r>
        <w:rPr>
          <w:rFonts w:ascii="Arial" w:cs="Arial" w:eastAsia="Arial" w:hAnsi="Arial"/>
          <w:sz w:val="18"/>
          <w:szCs w:val="18"/>
          <w:color w:val="auto"/>
        </w:rPr>
        <w:t>Date: March 19,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Jan-Anders Karlsson</w:t>
      </w:r>
    </w:p>
    <w:p>
      <w:pPr>
        <w:spacing w:after="0" w:line="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Jan-Anders Karlsson, Ph.D.</w:t>
      </w:r>
    </w:p>
    <w:p>
      <w:pPr>
        <w:ind w:left="56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008"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12.2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Piers Morgan, certify that:</w:t>
      </w:r>
    </w:p>
    <w:p>
      <w:pPr>
        <w:spacing w:after="0" w:line="117" w:lineRule="exact"/>
        <w:rPr>
          <w:sz w:val="20"/>
          <w:szCs w:val="20"/>
          <w:color w:val="auto"/>
        </w:rPr>
      </w:pPr>
    </w:p>
    <w:p>
      <w:pPr>
        <w:ind w:left="200" w:hanging="192"/>
        <w:spacing w:after="0"/>
        <w:tabs>
          <w:tab w:leader="none" w:pos="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Verona Pharma plc;</w:t>
      </w:r>
    </w:p>
    <w:p>
      <w:pPr>
        <w:spacing w:after="0" w:line="117"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8" w:lineRule="exact"/>
        <w:rPr>
          <w:rFonts w:ascii="Arial" w:cs="Arial" w:eastAsia="Arial" w:hAnsi="Arial"/>
          <w:sz w:val="18"/>
          <w:szCs w:val="18"/>
          <w:color w:val="auto"/>
        </w:rPr>
      </w:pPr>
    </w:p>
    <w:p>
      <w:pPr>
        <w:jc w:val="both"/>
        <w:ind w:right="140" w:firstLine="8"/>
        <w:spacing w:after="0" w:line="265" w:lineRule="auto"/>
        <w:tabs>
          <w:tab w:leader="none" w:pos="2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company and have:</w:t>
      </w:r>
    </w:p>
    <w:p>
      <w:pPr>
        <w:spacing w:after="0" w:line="117" w:lineRule="exact"/>
        <w:rPr>
          <w:sz w:val="20"/>
          <w:szCs w:val="20"/>
          <w:color w:val="auto"/>
        </w:rPr>
      </w:pPr>
    </w:p>
    <w:p>
      <w:pPr>
        <w:ind w:right="120" w:firstLine="8"/>
        <w:spacing w:after="0" w:line="256" w:lineRule="auto"/>
        <w:tabs>
          <w:tab w:leader="none" w:pos="2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360" w:firstLine="8"/>
        <w:spacing w:after="0" w:line="262" w:lineRule="auto"/>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8"/>
          <w:szCs w:val="18"/>
          <w:color w:val="auto"/>
        </w:rPr>
      </w:pPr>
    </w:p>
    <w:p>
      <w:pPr>
        <w:jc w:val="both"/>
        <w:ind w:right="60" w:firstLine="8"/>
        <w:spacing w:after="0" w:line="262" w:lineRule="auto"/>
        <w:tabs>
          <w:tab w:leader="none" w:pos="2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8" w:lineRule="exact"/>
        <w:rPr>
          <w:sz w:val="20"/>
          <w:szCs w:val="20"/>
          <w:color w:val="auto"/>
        </w:rPr>
      </w:pPr>
    </w:p>
    <w:p>
      <w:pPr>
        <w:ind w:right="180" w:firstLine="8"/>
        <w:spacing w:after="0" w:line="291" w:lineRule="auto"/>
        <w:tabs>
          <w:tab w:leader="none" w:pos="2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6" w:lineRule="exact"/>
        <w:rPr>
          <w:sz w:val="20"/>
          <w:szCs w:val="20"/>
          <w:color w:val="auto"/>
        </w:rPr>
      </w:pPr>
    </w:p>
    <w:p>
      <w:pPr>
        <w:ind w:right="820" w:firstLine="8"/>
        <w:spacing w:after="0" w:line="262" w:lineRule="auto"/>
        <w:tabs>
          <w:tab w:leader="none" w:pos="2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8" w:lineRule="exact"/>
        <w:rPr>
          <w:rFonts w:ascii="Arial" w:cs="Arial" w:eastAsia="Arial" w:hAnsi="Arial"/>
          <w:sz w:val="18"/>
          <w:szCs w:val="18"/>
          <w:color w:val="auto"/>
        </w:rPr>
      </w:pPr>
    </w:p>
    <w:p>
      <w:pPr>
        <w:ind w:right="420" w:firstLine="8"/>
        <w:spacing w:after="0" w:line="262" w:lineRule="auto"/>
        <w:tabs>
          <w:tab w:leader="none" w:pos="2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tabs>
          <w:tab w:leader="none" w:pos="5620" w:val="left"/>
          <w:tab w:leader="none" w:pos="6180" w:val="left"/>
        </w:tabs>
        <w:rPr>
          <w:sz w:val="20"/>
          <w:szCs w:val="20"/>
          <w:color w:val="auto"/>
        </w:rPr>
      </w:pPr>
      <w:r>
        <w:rPr>
          <w:rFonts w:ascii="Arial" w:cs="Arial" w:eastAsia="Arial" w:hAnsi="Arial"/>
          <w:sz w:val="18"/>
          <w:szCs w:val="18"/>
          <w:color w:val="auto"/>
        </w:rPr>
        <w:t>Date: March 19,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Piers Morgan</w:t>
      </w:r>
    </w:p>
    <w:p>
      <w:pPr>
        <w:spacing w:after="0" w:line="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Piers Morgan</w:t>
      </w:r>
    </w:p>
    <w:p>
      <w:pPr>
        <w:ind w:left="56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008"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 Jan-Anders Karlsson, Ph.D., Chief Executive Officer of Verona Pharma plc (the “Company”), hereby certify, pursuant to 18 U.S.C. §1350, as adopted pursuant to §906 of the Sarbanes-Oxley Act of 2002, that, to the best of my knowledge:</w:t>
      </w:r>
    </w:p>
    <w:p>
      <w:pPr>
        <w:spacing w:after="0" w:line="196" w:lineRule="exact"/>
        <w:rPr>
          <w:sz w:val="20"/>
          <w:szCs w:val="20"/>
          <w:color w:val="auto"/>
        </w:rPr>
      </w:pPr>
    </w:p>
    <w:p>
      <w:pPr>
        <w:ind w:right="1020" w:firstLine="8"/>
        <w:spacing w:after="0" w:line="262" w:lineRule="auto"/>
        <w:tabs>
          <w:tab w:leader="none" w:pos="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Annual Report on Form 20-F of the Company for the period ended December 31, 2018 (the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right="640" w:firstLine="8"/>
        <w:spacing w:after="0" w:line="262" w:lineRule="auto"/>
        <w:tabs>
          <w:tab w:leader="none" w:pos="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March 19, 2019</w:t>
      </w:r>
      <w:r>
        <w:rPr>
          <w:sz w:val="20"/>
          <w:szCs w:val="20"/>
          <w:color w:val="auto"/>
        </w:rPr>
        <w:tab/>
      </w:r>
      <w:r>
        <w:rPr>
          <w:rFonts w:ascii="Arial" w:cs="Arial" w:eastAsia="Arial" w:hAnsi="Arial"/>
          <w:sz w:val="18"/>
          <w:szCs w:val="18"/>
          <w:color w:val="auto"/>
        </w:rPr>
        <w:t>/s/ Jan-Anders Karlsson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Jan-Anders Karlsson, Ph.D.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00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I, Piers Morgan, Chief Financial Officer of Verona Pharma plc. (the “Company”), hereby certify, pursuant to 18 U.S.C. §1350, as adopted pursuant to §906 of the Sarbanes-Oxley Act of 2002, that, to the best of my knowledge:</w:t>
      </w:r>
    </w:p>
    <w:p>
      <w:pPr>
        <w:spacing w:after="0" w:line="196" w:lineRule="exact"/>
        <w:rPr>
          <w:sz w:val="20"/>
          <w:szCs w:val="20"/>
          <w:color w:val="auto"/>
        </w:rPr>
      </w:pPr>
    </w:p>
    <w:p>
      <w:pPr>
        <w:ind w:right="1020" w:firstLine="8"/>
        <w:spacing w:after="0" w:line="262" w:lineRule="auto"/>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Annual Report on Form 20-F of the Company for the period ended December 31, 2018 (the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right="640" w:firstLine="8"/>
        <w:spacing w:after="0" w:line="262" w:lineRule="auto"/>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60" w:right="4240" w:hanging="5725"/>
        <w:spacing w:after="0" w:line="313" w:lineRule="auto"/>
        <w:tabs>
          <w:tab w:leader="none" w:pos="5840" w:val="left"/>
        </w:tabs>
        <w:rPr>
          <w:sz w:val="20"/>
          <w:szCs w:val="20"/>
          <w:color w:val="auto"/>
        </w:rPr>
      </w:pPr>
      <w:r>
        <w:rPr>
          <w:rFonts w:ascii="Arial" w:cs="Arial" w:eastAsia="Arial" w:hAnsi="Arial"/>
          <w:sz w:val="18"/>
          <w:szCs w:val="18"/>
          <w:color w:val="auto"/>
        </w:rPr>
        <w:t>Date: March 19, 2019</w:t>
      </w:r>
      <w:r>
        <w:rPr>
          <w:sz w:val="20"/>
          <w:szCs w:val="20"/>
          <w:color w:val="auto"/>
        </w:rPr>
        <w:tab/>
      </w:r>
      <w:r>
        <w:rPr>
          <w:rFonts w:ascii="Arial" w:cs="Arial" w:eastAsia="Arial" w:hAnsi="Arial"/>
          <w:sz w:val="18"/>
          <w:szCs w:val="18"/>
          <w:color w:val="auto"/>
        </w:rPr>
        <w:t>/s/ Piers Morgan Piers Morgan</w:t>
      </w:r>
    </w:p>
    <w:p>
      <w:pPr>
        <w:ind w:left="58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180" w:name="page181"/>
    <w:bookmarkEnd w:id="180"/>
    <w:p>
      <w:pPr>
        <w:ind w:left="262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We hereby consent to the incorporation by reference in the Registration Statements on Form F-3 (No. 333-225107) and Form S-8 (333-217521) of Verona Pharma plc of our report dated March 19, 2019 relating to the financial statements, which appears in this Form 20</w:t>
      </w:r>
      <w:r>
        <w:rPr>
          <w:rFonts w:ascii="MS PGothic" w:cs="MS PGothic" w:eastAsia="MS PGothic" w:hAnsi="MS PGothic"/>
          <w:sz w:val="17"/>
          <w:szCs w:val="17"/>
          <w:color w:val="auto"/>
        </w:rPr>
        <w:t>‑</w:t>
      </w:r>
      <w:r>
        <w:rPr>
          <w:rFonts w:ascii="Arial" w:cs="Arial" w:eastAsia="Arial" w:hAnsi="Arial"/>
          <w:sz w:val="17"/>
          <w:szCs w:val="17"/>
          <w:color w:val="auto"/>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19, 2019</w:t>
      </w:r>
    </w:p>
    <w:sectPr>
      <w:pgSz w:w="11900" w:h="16838" w:orient="portrait"/>
      <w:cols w:equalWidth="0" w:num="1">
        <w:col w:w="10780"/>
      </w:cols>
      <w:pgMar w:left="240" w:top="103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1)"/>
      <w:numFmt w:val="lowerRoman"/>
      <w:start w:val="2"/>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upperLetter"/>
      <w:start w:val="1"/>
    </w:lvl>
    <w:lvl w:ilvl="1">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decimal"/>
      <w:start w:val="4"/>
    </w:lvl>
  </w:abstractNum>
  <w:abstractNum w:abstractNumId="52">
    <w:nsid w:val="8F2B15E"/>
    <w:multiLevelType w:val="hybridMultilevel"/>
    <w:lvl w:ilvl="0">
      <w:lvlJc w:val="left"/>
      <w:lvlText w:val="(%1)"/>
      <w:numFmt w:val="decimal"/>
      <w:start w:val="17"/>
    </w:lvl>
  </w:abstractNum>
  <w:abstractNum w:abstractNumId="53">
    <w:nsid w:val="1A32234B"/>
    <w:multiLevelType w:val="hybridMultilevel"/>
    <w:lvl w:ilvl="0">
      <w:lvlJc w:val="left"/>
      <w:lvlText w:val="%1."/>
      <w:numFmt w:val="upperLetter"/>
      <w:start w:val="5"/>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upperLetter"/>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2"/>
    </w:lvl>
  </w:abstractNum>
  <w:abstractNum w:abstractNumId="69">
    <w:nsid w:val="76272110"/>
    <w:multiLevelType w:val="hybridMultilevel"/>
    <w:lvl w:ilvl="0">
      <w:lvlJc w:val="left"/>
      <w:lvlText w:val="(%1)"/>
      <w:numFmt w:val="lowerLetter"/>
      <w:start w:val="3"/>
    </w:lvl>
  </w:abstractNum>
  <w:abstractNum w:abstractNumId="70">
    <w:nsid w:val="4C04A8AF"/>
    <w:multiLevelType w:val="hybridMultilevel"/>
    <w:lvl w:ilvl="0">
      <w:lvlJc w:val="left"/>
      <w:lvlText w:val="(%1)"/>
      <w:numFmt w:val="lowerLetter"/>
      <w:start w:val="4"/>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lowerLetter"/>
      <w:start w:val="2"/>
    </w:lvl>
  </w:abstractNum>
  <w:abstractNum w:abstractNumId="75">
    <w:nsid w:val="68EBC550"/>
    <w:multiLevelType w:val="hybridMultilevel"/>
    <w:lvl w:ilvl="0">
      <w:lvlJc w:val="left"/>
      <w:lvlText w:val="(%1)"/>
      <w:numFmt w:val="lowerLetter"/>
      <w:start w:val="3"/>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decimal"/>
      <w:start w:val="3"/>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1)"/>
      <w:numFmt w:val="lowerLetter"/>
      <w:start w:val="2"/>
    </w:lvl>
  </w:abstractNum>
  <w:abstractNum w:abstractNumId="80">
    <w:nsid w:val="57FC4FBB"/>
    <w:multiLevelType w:val="hybridMultilevel"/>
    <w:lvl w:ilvl="0">
      <w:lvlJc w:val="left"/>
      <w:lvlText w:val="(%1)"/>
      <w:numFmt w:val="lowerLetter"/>
      <w:start w:val="3"/>
    </w:lvl>
  </w:abstractNum>
  <w:abstractNum w:abstractNumId="81">
    <w:nsid w:val="CC1016F"/>
    <w:multiLevelType w:val="hybridMultilevel"/>
    <w:lvl w:ilvl="0">
      <w:lvlJc w:val="left"/>
      <w:lvlText w:val="(%1)"/>
      <w:numFmt w:val="lowerLetter"/>
      <w:start w:val="4"/>
    </w:lvl>
  </w:abstractNum>
  <w:abstractNum w:abstractNumId="82">
    <w:nsid w:val="43F18422"/>
    <w:multiLevelType w:val="hybridMultilevel"/>
    <w:lvl w:ilvl="0">
      <w:lvlJc w:val="left"/>
      <w:lvlText w:val="(%1)"/>
      <w:numFmt w:val="lowerLetter"/>
      <w:start w:val="5"/>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1)"/>
      <w:numFmt w:val="lowerLetter"/>
      <w:start w:val="2"/>
    </w:lvl>
  </w:abstractNum>
  <w:abstractNum w:abstractNumId="89">
    <w:nsid w:val="50801EE1"/>
    <w:multiLevelType w:val="hybridMultilevel"/>
    <w:lvl w:ilvl="0">
      <w:lvlJc w:val="left"/>
      <w:lvlText w:val="(%1)"/>
      <w:numFmt w:val="lowerLetter"/>
      <w:start w:val="3"/>
    </w:lvl>
  </w:abstractNum>
  <w:abstractNum w:abstractNumId="90">
    <w:nsid w:val="488AC1A"/>
    <w:multiLevelType w:val="hybridMultilevel"/>
    <w:lvl w:ilvl="0">
      <w:lvlJc w:val="left"/>
      <w:lvlText w:val="(%1)"/>
      <w:numFmt w:val="lowerLetter"/>
      <w:start w:val="4"/>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1)"/>
      <w:numFmt w:val="lowerRoman"/>
      <w:start w:val="1"/>
    </w:lvl>
  </w:abstractNum>
  <w:abstractNum w:abstractNumId="93">
    <w:nsid w:val="7672BD23"/>
    <w:multiLevelType w:val="hybridMultilevel"/>
    <w:lvl w:ilvl="0">
      <w:lvlJc w:val="left"/>
      <w:lvlText w:val="(%1)"/>
      <w:numFmt w:val="lowerRoman"/>
      <w:start w:val="2"/>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decimal"/>
      <w:start w:val="5"/>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5"/>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5" Type="http://schemas.openxmlformats.org/officeDocument/2006/relationships/image" Target="media/image20.jpe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27" Type="http://schemas.openxmlformats.org/officeDocument/2006/relationships/hyperlink" Target="http://www.sec.gov/Archives/edgar/data/1657312/000104746917002313/a2231519zex-3_1.htm" TargetMode="External"/><Relationship Id="rId28" Type="http://schemas.openxmlformats.org/officeDocument/2006/relationships/hyperlink" Target="http://www.sec.gov/Archives/edgar/data/1657312/000165731218000006/exhibit21depositagreemen.htm" TargetMode="External"/><Relationship Id="rId29" Type="http://schemas.openxmlformats.org/officeDocument/2006/relationships/hyperlink" Target="http://www.sec.gov/Archives/edgar/data/1657312/000104746917002313/a2231519zex-4_3.htm" TargetMode="External"/><Relationship Id="rId30" Type="http://schemas.openxmlformats.org/officeDocument/2006/relationships/hyperlink" Target="http://www.sec.gov/Archives/edgar/data/1657312/000104746917002313/a2231519zex-4_4.htm" TargetMode="External"/><Relationship Id="rId31" Type="http://schemas.openxmlformats.org/officeDocument/2006/relationships/hyperlink" Target="http://www.sec.gov/Archives/edgar/data/1657312/000104746917002313/a2231519zex-10_1.htm" TargetMode="External"/><Relationship Id="rId32" Type="http://schemas.openxmlformats.org/officeDocument/2006/relationships/hyperlink" Target="http://www.sec.gov/Archives/edgar/data/1657312/000104746917002313/a2231519zex-10_2.htm" TargetMode="External"/><Relationship Id="rId33" Type="http://schemas.openxmlformats.org/officeDocument/2006/relationships/hyperlink" Target="http://www.sec.gov/Archives/edgar/data/1657312/000104746917002313/a2231519zex-10_4.htm" TargetMode="External"/><Relationship Id="rId34" Type="http://schemas.openxmlformats.org/officeDocument/2006/relationships/hyperlink" Target="http://www.sec.gov/Archives/edgar/data/1657312/000104746917002313/a2231519zex-10_5.htm" TargetMode="External"/><Relationship Id="rId35" Type="http://schemas.openxmlformats.org/officeDocument/2006/relationships/hyperlink" Target="http://www.sec.gov/Archives/edgar/data/1657312/000165731218000006/exhibit462017plan.htm" TargetMode="External"/><Relationship Id="rId36" Type="http://schemas.openxmlformats.org/officeDocument/2006/relationships/hyperlink" Target="http://www.sec.gov/Archives/edgar/data/1657312/000104746917002313/a2231519zex-10_6.htm" TargetMode="External"/><Relationship Id="rId37" Type="http://schemas.openxmlformats.org/officeDocument/2006/relationships/hyperlink" Target="http://www.sec.gov/Archives/edgar/data/1657312/000104746917002313/a2231519zex-10_8.htm" TargetMode="External"/><Relationship Id="rId38" Type="http://schemas.openxmlformats.org/officeDocument/2006/relationships/hyperlink" Target="http://www.sec.gov/Archives/edgar/data/1657312/000104746917002313/a2231519zex-10_9.htm" TargetMode="External"/><Relationship Id="rId39" Type="http://schemas.openxmlformats.org/officeDocument/2006/relationships/hyperlink" Target="http://www.sec.gov/Archives/edgar/data/1657312/000104746917002697/a2231786zex-10_111.htm" TargetMode="External"/><Relationship Id="rId40" Type="http://schemas.openxmlformats.org/officeDocument/2006/relationships/hyperlink" Target="http://www.sec.gov/Archives/edgar/data/1657312/000104746917002697/a2231786zex-10_112.htm" TargetMode="External"/><Relationship Id="rId41" Type="http://schemas.openxmlformats.org/officeDocument/2006/relationships/hyperlink" Target="http://www.sec.gov/Archives/edgar/data/1657312/000104746917002313/a2231519zex-10_12.htm" TargetMode="External"/><Relationship Id="rId42" Type="http://schemas.openxmlformats.org/officeDocument/2006/relationships/hyperlink" Target="http://www.sec.gov/Archives/edgar/data/1657312/000104746917002313/a2231519zex-10_13.htm" TargetMode="External"/><Relationship Id="rId43" Type="http://schemas.openxmlformats.org/officeDocument/2006/relationships/hyperlink" Target="http://www.sec.gov/Archives/edgar/data/1657312/000104746917002313/a2231519zex-10_14.htm" TargetMode="External"/><Relationship Id="rId44" Type="http://schemas.openxmlformats.org/officeDocument/2006/relationships/hyperlink" Target="http://www.sec.gov/Archives/edgar/data/1657312/000104746917002313/a2231519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2019-12-03T22:13:45Z</dcterms:created>
  <dcterms:modified xsi:type="dcterms:W3CDTF">2019-12-03T22:13:45Z</dcterms:modified>
</cp:coreProperties>
</file>