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SCHEDULE 13G</w:t>
      </w:r>
    </w:p>
    <w:p>
      <w:pPr>
        <w:spacing w:after="0" w:line="24"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4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3"/>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7"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American Depositary Shares, each representing eight Ordinary Shares</w:t>
      </w:r>
    </w:p>
    <w:p>
      <w:pPr>
        <w:spacing w:after="0" w:line="2"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925050106**</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February 2, 2021</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4" w:hanging="213"/>
        <w:spacing w:after="0"/>
        <w:tabs>
          <w:tab w:leader="none" w:pos="1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204" w:hanging="213"/>
        <w:spacing w:after="0"/>
        <w:tabs>
          <w:tab w:leader="none" w:pos="1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1204" w:hanging="213"/>
        <w:spacing w:after="0"/>
        <w:tabs>
          <w:tab w:leader="none" w:pos="1204"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30" w:lineRule="exact"/>
        <w:rPr>
          <w:rFonts w:ascii="MS PGothic" w:cs="MS PGothic" w:eastAsia="MS PGothic" w:hAnsi="MS PGothic"/>
          <w:sz w:val="18"/>
          <w:szCs w:val="18"/>
          <w:color w:val="auto"/>
        </w:rPr>
      </w:pPr>
    </w:p>
    <w:p>
      <w:pPr>
        <w:ind w:left="424" w:right="40" w:hanging="432"/>
        <w:spacing w:after="0" w:line="274"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424"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CUSIP number is for the American Depositary Shares that trade on the NASDAQ Global Market, each representing eight ordinary shares. No CUSIP number has been assigned to the Ordinary Shares.</w:t>
      </w:r>
    </w:p>
    <w:p>
      <w:pPr>
        <w:spacing w:after="0" w:line="185" w:lineRule="exact"/>
        <w:rPr>
          <w:sz w:val="24"/>
          <w:szCs w:val="24"/>
          <w:color w:val="auto"/>
        </w:rPr>
      </w:pPr>
    </w:p>
    <w:p>
      <w:pPr>
        <w:ind w:left="4" w:right="10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368" w:right="47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925050106</w:t>
      </w:r>
    </w:p>
    <w:p>
      <w:pPr>
        <w:spacing w:after="0" w:line="266" w:lineRule="exact"/>
        <w:rPr>
          <w:sz w:val="20"/>
          <w:szCs w:val="20"/>
          <w:color w:val="auto"/>
        </w:rPr>
      </w:pPr>
    </w:p>
    <w:p>
      <w:pPr>
        <w:ind w:left="664" w:right="8400" w:hanging="417"/>
        <w:spacing w:after="0" w:line="457" w:lineRule="auto"/>
        <w:tabs>
          <w:tab w:leader="none" w:pos="664"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Reporting Person: Novo Holdings A/S</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06"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Denmark</w:t>
      </w:r>
    </w:p>
    <w:p>
      <w:pPr>
        <w:spacing w:after="0" w:line="1" w:lineRule="exact"/>
        <w:rPr>
          <w:rFonts w:ascii="Arial" w:cs="Arial" w:eastAsia="Arial" w:hAnsi="Arial"/>
          <w:sz w:val="18"/>
          <w:szCs w:val="18"/>
          <w:color w:val="auto"/>
        </w:rPr>
      </w:pPr>
    </w:p>
    <w:p>
      <w:pPr>
        <w:ind w:left="1664" w:hanging="436"/>
        <w:spacing w:after="0"/>
        <w:tabs>
          <w:tab w:leader="none" w:pos="1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12,893,250(1)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5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5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8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5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520" w:type="dxa"/>
            <w:vAlign w:val="bottom"/>
          </w:tcPr>
          <w:p>
            <w:pPr>
              <w:ind w:left="160"/>
              <w:spacing w:after="0"/>
              <w:rPr>
                <w:sz w:val="20"/>
                <w:szCs w:val="20"/>
                <w:color w:val="auto"/>
              </w:rPr>
            </w:pPr>
            <w:r>
              <w:rPr>
                <w:rFonts w:ascii="Arial" w:cs="Arial" w:eastAsia="Arial" w:hAnsi="Arial"/>
                <w:sz w:val="18"/>
                <w:szCs w:val="18"/>
                <w:color w:val="auto"/>
              </w:rPr>
              <w:t>12,893,250(1)</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5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4" w:right="5520" w:hanging="417"/>
        <w:spacing w:after="0" w:line="406" w:lineRule="auto"/>
        <w:tabs>
          <w:tab w:leader="none" w:pos="654"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12,893,250(1)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3.1%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(a) 1,390,453 American Depository Shares (“ADSs”) that each represent 8 ordinary shares (totaling 11,123,624 ordinary shares) and</w:t>
      </w:r>
    </w:p>
    <w:p>
      <w:pPr>
        <w:spacing w:after="0" w:line="46" w:lineRule="exact"/>
        <w:rPr>
          <w:rFonts w:ascii="Arial" w:cs="Arial" w:eastAsia="Arial" w:hAnsi="Arial"/>
          <w:sz w:val="16"/>
          <w:szCs w:val="16"/>
          <w:color w:val="auto"/>
        </w:rPr>
      </w:pPr>
    </w:p>
    <w:p>
      <w:pPr>
        <w:ind w:left="424" w:right="620"/>
        <w:spacing w:after="0" w:line="250" w:lineRule="auto"/>
        <w:rPr>
          <w:rFonts w:ascii="Arial" w:cs="Arial" w:eastAsia="Arial" w:hAnsi="Arial"/>
          <w:sz w:val="16"/>
          <w:szCs w:val="16"/>
          <w:color w:val="auto"/>
        </w:rPr>
      </w:pPr>
      <w:r>
        <w:rPr>
          <w:rFonts w:ascii="Arial" w:cs="Arial" w:eastAsia="Arial" w:hAnsi="Arial"/>
          <w:sz w:val="18"/>
          <w:szCs w:val="18"/>
          <w:color w:val="auto"/>
        </w:rPr>
        <w:t>(b) vested warrants to purchase 1,769,626 ordinary shares (or 221,203 ADSs, at the election of Novo) held directly by Novo Holdings A/S (“Novo”) (together, the “Novo Shares”).</w:t>
      </w:r>
    </w:p>
    <w:p>
      <w:pPr>
        <w:ind w:left="424" w:right="520"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415,102,886 ordinary shares as reported in the Issuer’s 6-K filed with the Securities and Exchange Commission (the “SEC”) on November 12, 2020.</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2" w:name="page3"/>
    <w:bookmarkEnd w:id="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Novo Holdings A/S previously filed a Schedule 13G with the SEC on May 9, 2017, as subsequently amended on February 6, 2018, and a Schedule 13D with the SEC on April 2, 2019, as subsequently amended on July 24, 2020 and October 5, 2020 (collectively the “Schedule”). The Schedule 13D/A filed October 5, 2020 reflected that Martin Edwards, a board member of the Issuer, no longer serves as an employee of, and is no longer affiliated with, Novo Holdings A/S and that therefore all future filings would be made on a Form 13G amendment in accordance with the 13G filing requirements. This Schedule 13G Amendment No. 2 is being filed to amend the Schedule.</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Verona Pharma plc</w:t>
      </w:r>
    </w:p>
    <w:p>
      <w:pPr>
        <w:spacing w:after="0" w:line="127"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980" w:right="8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 More London Riverside London SE1 2RE United Kingdom</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980" w:right="280"/>
        <w:spacing w:after="0" w:line="257" w:lineRule="auto"/>
        <w:rPr>
          <w:sz w:val="20"/>
          <w:szCs w:val="20"/>
          <w:color w:val="auto"/>
        </w:rPr>
      </w:pPr>
      <w:r>
        <w:rPr>
          <w:rFonts w:ascii="Arial" w:cs="Arial" w:eastAsia="Arial" w:hAnsi="Arial"/>
          <w:sz w:val="18"/>
          <w:szCs w:val="18"/>
          <w:color w:val="auto"/>
        </w:rPr>
        <w:t>Novo Holdings A/S, a Danish limited liability company, is wholly owned by Novo Nordisk Fonden (the “Foundation”), a Danish commercial foundation. Novo Holdings A/S is the holding company in the group of Novo companies (currently comprised of Novo Nordisk A/S and Novozymes)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p>
      <w:pPr>
        <w:spacing w:after="0" w:line="89" w:lineRule="exact"/>
        <w:rPr>
          <w:sz w:val="20"/>
          <w:szCs w:val="20"/>
          <w:color w:val="auto"/>
        </w:rPr>
      </w:pPr>
    </w:p>
    <w:p>
      <w:pPr>
        <w:ind w:left="980" w:right="5460" w:hanging="552"/>
        <w:spacing w:after="0" w:line="377" w:lineRule="auto"/>
        <w:tabs>
          <w:tab w:leader="none" w:pos="96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or Principal Business Office or, if none, Residence: </w:t>
      </w:r>
      <w:r>
        <w:rPr>
          <w:rFonts w:ascii="Arial" w:cs="Arial" w:eastAsia="Arial" w:hAnsi="Arial"/>
          <w:sz w:val="18"/>
          <w:szCs w:val="18"/>
          <w:color w:val="auto"/>
        </w:rPr>
        <w:t>Tuborg Havnevej 19</w:t>
      </w:r>
    </w:p>
    <w:p>
      <w:pPr>
        <w:spacing w:after="0" w:line="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2900 Hellerup, Denmark</w:t>
      </w:r>
    </w:p>
    <w:p>
      <w:pPr>
        <w:spacing w:after="0" w:line="126" w:lineRule="exact"/>
        <w:rPr>
          <w:rFonts w:ascii="Arial" w:cs="Arial" w:eastAsia="Arial" w:hAnsi="Arial"/>
          <w:sz w:val="18"/>
          <w:szCs w:val="18"/>
          <w:b w:val="1"/>
          <w:bCs w:val="1"/>
          <w:color w:val="auto"/>
        </w:rPr>
      </w:pPr>
    </w:p>
    <w:p>
      <w:pPr>
        <w:ind w:left="980" w:right="7160" w:hanging="552"/>
        <w:spacing w:after="0" w:line="431" w:lineRule="auto"/>
        <w:tabs>
          <w:tab w:leader="none" w:pos="96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Novo Holdings A/S: Denmark</w:t>
      </w:r>
    </w:p>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Ordinary Shares</w:t>
      </w:r>
    </w:p>
    <w:p>
      <w:pPr>
        <w:spacing w:after="0" w:line="23"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American Depositary Shares</w:t>
      </w:r>
    </w:p>
    <w:p>
      <w:pPr>
        <w:spacing w:after="0" w:line="112" w:lineRule="exact"/>
        <w:rPr>
          <w:rFonts w:ascii="Arial" w:cs="Arial" w:eastAsia="Arial" w:hAnsi="Arial"/>
          <w:sz w:val="18"/>
          <w:szCs w:val="18"/>
          <w:b w:val="1"/>
          <w:bCs w:val="1"/>
          <w:color w:val="auto"/>
        </w:rPr>
      </w:pPr>
    </w:p>
    <w:p>
      <w:pPr>
        <w:ind w:left="980" w:right="8720" w:hanging="552"/>
        <w:spacing w:after="0" w:line="425" w:lineRule="auto"/>
        <w:tabs>
          <w:tab w:leader="none" w:pos="961"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925050106</w:t>
      </w: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 w:name="page4"/>
    <w:bookmarkEnd w:id="3"/>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7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 beneficially owned:</w:t>
            </w:r>
          </w:p>
        </w:tc>
        <w:tc>
          <w:tcPr>
            <w:tcW w:w="3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12,893,250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w:t>
            </w:r>
          </w:p>
        </w:tc>
        <w:tc>
          <w:tcPr>
            <w:tcW w:w="6780" w:type="dxa"/>
            <w:vAlign w:val="bottom"/>
          </w:tcPr>
          <w:p>
            <w:pPr>
              <w:ind w:left="380"/>
              <w:spacing w:after="0"/>
              <w:rPr>
                <w:sz w:val="20"/>
                <w:szCs w:val="20"/>
                <w:color w:val="auto"/>
              </w:rPr>
            </w:pPr>
            <w:r>
              <w:rPr>
                <w:rFonts w:ascii="Arial" w:cs="Arial" w:eastAsia="Arial" w:hAnsi="Arial"/>
                <w:sz w:val="18"/>
                <w:szCs w:val="18"/>
                <w:color w:val="auto"/>
              </w:rPr>
              <w:t>Percent of class:</w:t>
            </w:r>
          </w:p>
        </w:tc>
        <w:tc>
          <w:tcPr>
            <w:tcW w:w="32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Number of shares as to which such person has:</w:t>
            </w:r>
          </w:p>
        </w:tc>
        <w:tc>
          <w:tcPr>
            <w:tcW w:w="3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780" w:type="dxa"/>
            <w:vAlign w:val="bottom"/>
          </w:tcPr>
          <w:p>
            <w:pPr>
              <w:ind w:left="380"/>
              <w:spacing w:after="0"/>
              <w:rPr>
                <w:sz w:val="20"/>
                <w:szCs w:val="20"/>
                <w:color w:val="auto"/>
              </w:rPr>
            </w:pPr>
            <w:r>
              <w:rPr>
                <w:rFonts w:ascii="Arial" w:cs="Arial" w:eastAsia="Arial" w:hAnsi="Arial"/>
                <w:sz w:val="18"/>
                <w:szCs w:val="18"/>
                <w:color w:val="auto"/>
              </w:rPr>
              <w:t>(i) Sole power to vote or to direct the vote:</w:t>
            </w:r>
          </w:p>
        </w:tc>
        <w:tc>
          <w:tcPr>
            <w:tcW w:w="3240" w:type="dxa"/>
            <w:vAlign w:val="bottom"/>
          </w:tcPr>
          <w:p>
            <w:pPr>
              <w:jc w:val="right"/>
              <w:ind w:right="210"/>
              <w:spacing w:after="0"/>
              <w:rPr>
                <w:sz w:val="20"/>
                <w:szCs w:val="20"/>
                <w:color w:val="auto"/>
              </w:rPr>
            </w:pPr>
            <w:r>
              <w:rPr>
                <w:rFonts w:ascii="Arial" w:cs="Arial" w:eastAsia="Arial" w:hAnsi="Arial"/>
                <w:sz w:val="18"/>
                <w:szCs w:val="18"/>
                <w:color w:val="auto"/>
              </w:rPr>
              <w:t>12,893,250</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00" w:type="dxa"/>
            <w:vAlign w:val="bottom"/>
            <w:shd w:val="clear" w:color="auto" w:fill="CCEEFF"/>
          </w:tcPr>
          <w:p>
            <w:pPr>
              <w:spacing w:after="0"/>
              <w:rPr>
                <w:sz w:val="18"/>
                <w:szCs w:val="18"/>
                <w:color w:val="auto"/>
              </w:rPr>
            </w:pPr>
          </w:p>
        </w:tc>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(ii) Shared power to vote or to direct the vote:</w:t>
            </w:r>
          </w:p>
        </w:tc>
        <w:tc>
          <w:tcPr>
            <w:tcW w:w="3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780" w:type="dxa"/>
            <w:vAlign w:val="bottom"/>
          </w:tcPr>
          <w:p>
            <w:pPr>
              <w:ind w:left="380"/>
              <w:spacing w:after="0"/>
              <w:rPr>
                <w:sz w:val="20"/>
                <w:szCs w:val="20"/>
                <w:color w:val="auto"/>
              </w:rPr>
            </w:pPr>
            <w:r>
              <w:rPr>
                <w:rFonts w:ascii="Arial" w:cs="Arial" w:eastAsia="Arial" w:hAnsi="Arial"/>
                <w:sz w:val="18"/>
                <w:szCs w:val="18"/>
                <w:color w:val="auto"/>
              </w:rPr>
              <w:t>(iii) Sole power to dispose or to direct the disposition of:</w:t>
            </w:r>
          </w:p>
        </w:tc>
        <w:tc>
          <w:tcPr>
            <w:tcW w:w="3240" w:type="dxa"/>
            <w:vAlign w:val="bottom"/>
          </w:tcPr>
          <w:p>
            <w:pPr>
              <w:jc w:val="right"/>
              <w:ind w:right="210"/>
              <w:spacing w:after="0"/>
              <w:rPr>
                <w:sz w:val="20"/>
                <w:szCs w:val="20"/>
                <w:color w:val="auto"/>
              </w:rPr>
            </w:pPr>
            <w:r>
              <w:rPr>
                <w:rFonts w:ascii="Arial" w:cs="Arial" w:eastAsia="Arial" w:hAnsi="Arial"/>
                <w:sz w:val="18"/>
                <w:szCs w:val="18"/>
                <w:color w:val="auto"/>
              </w:rPr>
              <w:t>12,893,250</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00" w:type="dxa"/>
            <w:vAlign w:val="bottom"/>
            <w:shd w:val="clear" w:color="auto" w:fill="CCEEFF"/>
          </w:tcPr>
          <w:p>
            <w:pPr>
              <w:spacing w:after="0"/>
              <w:rPr>
                <w:sz w:val="18"/>
                <w:szCs w:val="18"/>
                <w:color w:val="auto"/>
              </w:rPr>
            </w:pPr>
          </w:p>
        </w:tc>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(iv) Shared power to dispose or to direct the disposition of:</w:t>
            </w:r>
          </w:p>
        </w:tc>
        <w:tc>
          <w:tcPr>
            <w:tcW w:w="3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24" w:right="100" w:hanging="424"/>
        <w:spacing w:after="0" w:line="259"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Novo Holdings A/S, through its Board of Directors (the “Novo Board”), has the sole power to vote and dispose of the securities of the Issuer held by Novo Holdings A/S (the “Novo Shares”). The Novo Board may exercise voting and dispositive control over the Novo Shares only with the support of a majority of the Novo Board. As such, no individual member of the Novo Board is deemed to hold any beneficial ownership or reportable pecuniary interest in the Novo Shares.</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415,102,886 ordinary shares as reported in the Issuer’s 6-K filed with the SEC on November 12, 2020.</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4" w:right="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ceased to be a beneficial owner of more than 5 percent of the class of securities, check the following [X].</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4" w:right="700" w:hanging="984"/>
        <w:spacing w:after="0" w:line="282" w:lineRule="auto"/>
        <w:tabs>
          <w:tab w:leader="none" w:pos="9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0" w:right="43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0" w:right="5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February 4, 2021</w:t>
            </w:r>
          </w:p>
        </w:tc>
        <w:tc>
          <w:tcPr>
            <w:tcW w:w="5400" w:type="dxa"/>
            <w:vAlign w:val="bottom"/>
            <w:gridSpan w:val="2"/>
          </w:tcPr>
          <w:p>
            <w:pPr>
              <w:spacing w:after="0"/>
              <w:rPr>
                <w:sz w:val="20"/>
                <w:szCs w:val="20"/>
                <w:color w:val="auto"/>
              </w:rPr>
            </w:pPr>
            <w:r>
              <w:rPr>
                <w:rFonts w:ascii="Arial" w:cs="Arial" w:eastAsia="Arial" w:hAnsi="Arial"/>
                <w:sz w:val="18"/>
                <w:szCs w:val="18"/>
                <w:color w:val="auto"/>
              </w:rPr>
              <w:t>Novo Holdings A/S</w:t>
            </w:r>
          </w:p>
        </w:tc>
      </w:tr>
      <w:tr>
        <w:trPr>
          <w:trHeight w:val="432"/>
        </w:trPr>
        <w:tc>
          <w:tcPr>
            <w:tcW w:w="5620" w:type="dxa"/>
            <w:vAlign w:val="bottom"/>
          </w:tcPr>
          <w:p>
            <w:pPr>
              <w:spacing w:after="0"/>
              <w:rPr>
                <w:sz w:val="24"/>
                <w:szCs w:val="24"/>
                <w:color w:val="auto"/>
              </w:rPr>
            </w:pP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Haahr</w:t>
            </w:r>
          </w:p>
        </w:tc>
      </w:tr>
      <w:tr>
        <w:trPr>
          <w:trHeight w:val="209"/>
        </w:trPr>
        <w:tc>
          <w:tcPr>
            <w:tcW w:w="56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ind w:left="80"/>
              <w:spacing w:after="0"/>
              <w:rPr>
                <w:sz w:val="20"/>
                <w:szCs w:val="20"/>
                <w:color w:val="auto"/>
              </w:rPr>
            </w:pPr>
            <w:r>
              <w:rPr>
                <w:rFonts w:ascii="Arial" w:cs="Arial" w:eastAsia="Arial" w:hAnsi="Arial"/>
                <w:sz w:val="18"/>
                <w:szCs w:val="18"/>
                <w:color w:val="auto"/>
              </w:rPr>
              <w:t>Peter Haahr</w:t>
            </w:r>
          </w:p>
        </w:tc>
      </w:tr>
      <w:tr>
        <w:trPr>
          <w:trHeight w:val="230"/>
        </w:trPr>
        <w:tc>
          <w:tcPr>
            <w:tcW w:w="56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lvl w:ilvl="1">
      <w:lvlJc w:val="left"/>
      <w:lvlText w:val="%2."/>
      <w:numFmt w:val="decimal"/>
      <w:start w:val="5"/>
    </w:lvl>
  </w:abstractNum>
  <w:abstractNum w:abstractNumId="6">
    <w:nsid w:val="5BD062C2"/>
    <w:multiLevelType w:val="hybridMultilevel"/>
    <w:lvl w:ilvl="0">
      <w:lvlJc w:val="left"/>
      <w:lvlText w:val="%1"/>
      <w:numFmt w:val="decimal"/>
      <w:start w:val="1"/>
    </w:lvl>
    <w:lvl w:ilvl="1">
      <w:lvlJc w:val="left"/>
      <w:lvlText w:val="%2."/>
      <w:numFmt w:val="decimal"/>
      <w:start w:val="9"/>
    </w:lvl>
  </w:abstractNum>
  <w:abstractNum w:abstractNumId="7">
    <w:nsid w:val="12200854"/>
    <w:multiLevelType w:val="hybridMultilevel"/>
    <w:lvl w:ilvl="0">
      <w:lvlJc w:val="left"/>
      <w:lvlText w:val="(%1)"/>
      <w:numFmt w:val="decimal"/>
      <w:start w:val="1"/>
    </w:lvl>
    <w:lvl w:ilvl="1">
      <w:lvlJc w:val="left"/>
      <w:lvlText w:val="%2"/>
      <w:numFmt w:val="decimal"/>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2021-02-05T16:07:01Z</dcterms:created>
  <dcterms:modified xsi:type="dcterms:W3CDTF">2021-02-05T16:07:01Z</dcterms:modified>
</cp:coreProperties>
</file>