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7048500" cy="542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422900"/>
                    </a:xfrm>
                    <a:prstGeom prst="rect">
                      <a:avLst/>
                    </a:prstGeom>
                    <a:noFill/>
                  </pic:spPr>
                </pic:pic>
              </a:graphicData>
            </a:graphic>
          </wp:anchor>
        </w:drawing>
      </w:r>
    </w:p>
    <w:p>
      <w:pPr>
        <w:spacing w:after="0" w:line="1086" w:lineRule="exact"/>
        <w:rPr>
          <w:sz w:val="24"/>
          <w:szCs w:val="24"/>
          <w:color w:val="auto"/>
        </w:rPr>
      </w:pPr>
    </w:p>
    <w:p>
      <w:pPr>
        <w:sectPr>
          <w:pgSz w:w="11900" w:h="16838" w:orient="portrait"/>
          <w:cols w:equalWidth="0" w:num="2">
            <w:col w:w="2320" w:space="36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Sinha Vikas</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04/29/2025</w:t>
      </w:r>
    </w:p>
    <w:p>
      <w:pPr>
        <w:spacing w:after="0" w:line="20" w:lineRule="exact"/>
        <w:rPr>
          <w:sz w:val="24"/>
          <w:szCs w:val="24"/>
          <w:color w:val="auto"/>
        </w:rPr>
      </w:pPr>
      <w:r>
        <w:rPr>
          <w:sz w:val="24"/>
          <w:szCs w:val="24"/>
          <w:color w:val="auto"/>
        </w:rPr>
        <w:br w:type="column"/>
      </w:r>
    </w:p>
    <w:p>
      <w:pPr>
        <w:ind w:left="-7" w:right="720" w:firstLine="7"/>
        <w:spacing w:after="0" w:line="285"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5" w:lineRule="exact"/>
        <w:rPr>
          <w:sz w:val="24"/>
          <w:szCs w:val="24"/>
          <w:color w:val="auto"/>
        </w:rPr>
      </w:pPr>
    </w:p>
    <w:p>
      <w:pPr>
        <w:sectPr>
          <w:pgSz w:w="11900" w:h="16838" w:orient="portrait"/>
          <w:cols w:equalWidth="0" w:num="3">
            <w:col w:w="3180" w:space="720"/>
            <w:col w:w="3107" w:space="720"/>
            <w:col w:w="3353"/>
          </w:cols>
          <w:pgMar w:left="460" w:top="214" w:right="359" w:bottom="1440" w:gutter="0" w:footer="0" w:header="0"/>
          <w:type w:val="continuous"/>
        </w:sectPr>
      </w:pP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20" w:type="dxa"/>
            <w:vAlign w:val="bottom"/>
            <w:gridSpan w:val="6"/>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13"/>
                <w:szCs w:val="13"/>
                <w:color w:val="auto"/>
              </w:rPr>
            </w:pPr>
          </w:p>
        </w:tc>
        <w:tc>
          <w:tcPr>
            <w:tcW w:w="3720" w:type="dxa"/>
            <w:vAlign w:val="bottom"/>
            <w:gridSpan w:val="9"/>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X0</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SE1 2RE</w:t>
            </w:r>
          </w:p>
        </w:tc>
        <w:tc>
          <w:tcPr>
            <w:tcW w:w="17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0000FF"/>
              </w:rPr>
              <w:t>05/01/2025</w:t>
            </w: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gridSpan w:val="7"/>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6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ind w:left="9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gridSpan w:val="2"/>
          </w:tcPr>
          <w:p>
            <w:pPr>
              <w:ind w:left="920"/>
              <w:spacing w:after="0" w:line="125" w:lineRule="exact"/>
              <w:rPr>
                <w:sz w:val="20"/>
                <w:szCs w:val="20"/>
                <w:color w:val="auto"/>
              </w:rPr>
            </w:pPr>
            <w:r>
              <w:rPr>
                <w:rFonts w:ascii="Arial" w:cs="Arial" w:eastAsia="Arial" w:hAnsi="Arial"/>
                <w:sz w:val="11"/>
                <w:szCs w:val="11"/>
                <w:b w:val="1"/>
                <w:bCs w:val="1"/>
                <w:color w:val="auto"/>
                <w:w w:val="92"/>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60" w:type="dxa"/>
            <w:vAlign w:val="bottom"/>
            <w:gridSpan w:val="5"/>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00" w:type="dxa"/>
            <w:vAlign w:val="bottom"/>
            <w:gridSpan w:val="4"/>
          </w:tcPr>
          <w:p>
            <w:pPr>
              <w:ind w:left="92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w w:val="98"/>
              </w:rPr>
              <w:t>Ordinary Shares</w:t>
            </w:r>
            <w:r>
              <w:rPr>
                <w:rFonts w:ascii="Times New Roman" w:cs="Times New Roman" w:eastAsia="Times New Roman" w:hAnsi="Times New Roman"/>
                <w:sz w:val="20"/>
                <w:szCs w:val="20"/>
                <w:color w:val="008000"/>
                <w:w w:val="98"/>
                <w:vertAlign w:val="superscript"/>
              </w:rPr>
              <w:t>(1)(2)</w:t>
            </w:r>
          </w:p>
        </w:tc>
        <w:tc>
          <w:tcPr>
            <w:tcW w:w="9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4"/>
          </w:tcPr>
          <w:p>
            <w:pPr>
              <w:ind w:left="1020"/>
              <w:spacing w:after="0"/>
              <w:rPr>
                <w:sz w:val="20"/>
                <w:szCs w:val="20"/>
                <w:color w:val="auto"/>
              </w:rPr>
            </w:pPr>
            <w:r>
              <w:rPr>
                <w:rFonts w:ascii="Times New Roman" w:cs="Times New Roman" w:eastAsia="Times New Roman" w:hAnsi="Times New Roman"/>
                <w:sz w:val="16"/>
                <w:szCs w:val="16"/>
                <w:color w:val="0000FF"/>
              </w:rPr>
              <w:t>04/29/2025</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12"/>
                <w:szCs w:val="12"/>
                <w:color w:val="0000FF"/>
                <w:w w:val="93"/>
              </w:rPr>
              <w:t>M</w:t>
            </w:r>
          </w:p>
        </w:tc>
        <w:tc>
          <w:tcPr>
            <w:tcW w:w="1100" w:type="dxa"/>
            <w:vAlign w:val="bottom"/>
            <w:tcBorders>
              <w:bottom w:val="single" w:sz="8" w:color="2C2C2C"/>
            </w:tcBorders>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4"/>
              </w:rPr>
              <w:t>120,384</w:t>
            </w:r>
            <w:r>
              <w:rPr>
                <w:rFonts w:ascii="Times New Roman" w:cs="Times New Roman" w:eastAsia="Times New Roman" w:hAnsi="Times New Roman"/>
                <w:sz w:val="20"/>
                <w:szCs w:val="20"/>
                <w:color w:val="008000"/>
                <w:w w:val="94"/>
                <w:vertAlign w:val="superscript"/>
              </w:rPr>
              <w:t>(1)</w:t>
            </w:r>
          </w:p>
        </w:tc>
        <w:tc>
          <w:tcPr>
            <w:tcW w:w="1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11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
              <w:spacing w:after="0"/>
              <w:rPr>
                <w:sz w:val="20"/>
                <w:szCs w:val="20"/>
                <w:color w:val="auto"/>
              </w:rPr>
            </w:pPr>
            <w:r>
              <w:rPr>
                <w:rFonts w:ascii="Times New Roman" w:cs="Times New Roman" w:eastAsia="Times New Roman" w:hAnsi="Times New Roman"/>
                <w:sz w:val="16"/>
                <w:szCs w:val="16"/>
                <w:color w:val="0000FF"/>
                <w:w w:val="94"/>
              </w:rPr>
              <w:t>194,824</w:t>
            </w:r>
            <w:r>
              <w:rPr>
                <w:rFonts w:ascii="Times New Roman" w:cs="Times New Roman" w:eastAsia="Times New Roman" w:hAnsi="Times New Roman"/>
                <w:sz w:val="20"/>
                <w:szCs w:val="20"/>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w w:val="98"/>
              </w:rPr>
              <w:t>Ordinary Shares</w:t>
            </w:r>
            <w:r>
              <w:rPr>
                <w:rFonts w:ascii="Times New Roman" w:cs="Times New Roman" w:eastAsia="Times New Roman" w:hAnsi="Times New Roman"/>
                <w:sz w:val="20"/>
                <w:szCs w:val="20"/>
                <w:color w:val="008000"/>
                <w:w w:val="98"/>
                <w:vertAlign w:val="superscript"/>
              </w:rPr>
              <w:t>(1)(2)</w:t>
            </w:r>
          </w:p>
        </w:tc>
        <w:tc>
          <w:tcPr>
            <w:tcW w:w="9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4"/>
          </w:tcPr>
          <w:p>
            <w:pPr>
              <w:ind w:left="1020"/>
              <w:spacing w:after="0"/>
              <w:rPr>
                <w:sz w:val="20"/>
                <w:szCs w:val="20"/>
                <w:color w:val="auto"/>
              </w:rPr>
            </w:pPr>
            <w:r>
              <w:rPr>
                <w:rFonts w:ascii="Times New Roman" w:cs="Times New Roman" w:eastAsia="Times New Roman" w:hAnsi="Times New Roman"/>
                <w:sz w:val="16"/>
                <w:szCs w:val="16"/>
                <w:color w:val="0000FF"/>
              </w:rPr>
              <w:t>04/29/2025</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(3)</w:t>
            </w:r>
          </w:p>
        </w:tc>
        <w:tc>
          <w:tcPr>
            <w:tcW w:w="1100" w:type="dxa"/>
            <w:vAlign w:val="bottom"/>
            <w:tcBorders>
              <w:bottom w:val="single" w:sz="8" w:color="2C2C2C"/>
            </w:tcBorders>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4"/>
              </w:rPr>
              <w:t>120,384</w:t>
            </w:r>
            <w:r>
              <w:rPr>
                <w:rFonts w:ascii="Times New Roman" w:cs="Times New Roman" w:eastAsia="Times New Roman" w:hAnsi="Times New Roman"/>
                <w:sz w:val="20"/>
                <w:szCs w:val="20"/>
                <w:color w:val="008000"/>
                <w:w w:val="94"/>
                <w:vertAlign w:val="superscript"/>
              </w:rPr>
              <w:t>(1)</w:t>
            </w:r>
          </w:p>
        </w:tc>
        <w:tc>
          <w:tcPr>
            <w:tcW w:w="1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11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8.9208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
              <w:spacing w:after="0"/>
              <w:rPr>
                <w:sz w:val="20"/>
                <w:szCs w:val="20"/>
                <w:color w:val="auto"/>
              </w:rPr>
            </w:pPr>
            <w:r>
              <w:rPr>
                <w:rFonts w:ascii="Times New Roman" w:cs="Times New Roman" w:eastAsia="Times New Roman" w:hAnsi="Times New Roman"/>
                <w:sz w:val="16"/>
                <w:szCs w:val="16"/>
                <w:color w:val="0000FF"/>
                <w:w w:val="99"/>
              </w:rPr>
              <w:t>74,440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w w:val="98"/>
              </w:rPr>
              <w:t>Ordinary Shares</w:t>
            </w:r>
            <w:r>
              <w:rPr>
                <w:rFonts w:ascii="Times New Roman" w:cs="Times New Roman" w:eastAsia="Times New Roman" w:hAnsi="Times New Roman"/>
                <w:sz w:val="20"/>
                <w:szCs w:val="20"/>
                <w:color w:val="008000"/>
                <w:w w:val="98"/>
                <w:vertAlign w:val="superscript"/>
              </w:rPr>
              <w:t>(1)(2)</w:t>
            </w:r>
          </w:p>
        </w:tc>
        <w:tc>
          <w:tcPr>
            <w:tcW w:w="9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4"/>
          </w:tcPr>
          <w:p>
            <w:pPr>
              <w:ind w:left="1020"/>
              <w:spacing w:after="0"/>
              <w:rPr>
                <w:sz w:val="20"/>
                <w:szCs w:val="20"/>
                <w:color w:val="auto"/>
              </w:rPr>
            </w:pPr>
            <w:r>
              <w:rPr>
                <w:rFonts w:ascii="Times New Roman" w:cs="Times New Roman" w:eastAsia="Times New Roman" w:hAnsi="Times New Roman"/>
                <w:sz w:val="16"/>
                <w:szCs w:val="16"/>
                <w:color w:val="0000FF"/>
              </w:rPr>
              <w:t>04/29/2025</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12"/>
                <w:szCs w:val="12"/>
                <w:color w:val="0000FF"/>
                <w:w w:val="93"/>
              </w:rPr>
              <w:t>M</w:t>
            </w:r>
          </w:p>
        </w:tc>
        <w:tc>
          <w:tcPr>
            <w:tcW w:w="1100" w:type="dxa"/>
            <w:vAlign w:val="bottom"/>
            <w:tcBorders>
              <w:bottom w:val="single" w:sz="8" w:color="2C2C2C"/>
            </w:tcBorders>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3"/>
              </w:rPr>
              <w:t>39,616</w:t>
            </w:r>
            <w:r>
              <w:rPr>
                <w:rFonts w:ascii="Times New Roman" w:cs="Times New Roman" w:eastAsia="Times New Roman" w:hAnsi="Times New Roman"/>
                <w:sz w:val="20"/>
                <w:szCs w:val="20"/>
                <w:color w:val="008000"/>
                <w:w w:val="93"/>
                <w:vertAlign w:val="superscript"/>
              </w:rPr>
              <w:t>(1)</w:t>
            </w:r>
          </w:p>
        </w:tc>
        <w:tc>
          <w:tcPr>
            <w:tcW w:w="1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11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0.5038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
              <w:spacing w:after="0"/>
              <w:rPr>
                <w:sz w:val="20"/>
                <w:szCs w:val="20"/>
                <w:color w:val="auto"/>
              </w:rPr>
            </w:pPr>
            <w:r>
              <w:rPr>
                <w:rFonts w:ascii="Times New Roman" w:cs="Times New Roman" w:eastAsia="Times New Roman" w:hAnsi="Times New Roman"/>
                <w:sz w:val="16"/>
                <w:szCs w:val="16"/>
                <w:color w:val="0000FF"/>
                <w:w w:val="94"/>
              </w:rPr>
              <w:t>114,056</w:t>
            </w:r>
            <w:r>
              <w:rPr>
                <w:rFonts w:ascii="Times New Roman" w:cs="Times New Roman" w:eastAsia="Times New Roman" w:hAnsi="Times New Roman"/>
                <w:sz w:val="20"/>
                <w:szCs w:val="20"/>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w w:val="98"/>
              </w:rPr>
              <w:t>Ordinary Shares</w:t>
            </w:r>
            <w:r>
              <w:rPr>
                <w:rFonts w:ascii="Times New Roman" w:cs="Times New Roman" w:eastAsia="Times New Roman" w:hAnsi="Times New Roman"/>
                <w:sz w:val="20"/>
                <w:szCs w:val="20"/>
                <w:color w:val="008000"/>
                <w:w w:val="98"/>
                <w:vertAlign w:val="superscript"/>
              </w:rPr>
              <w:t>(1)(2)</w:t>
            </w:r>
          </w:p>
        </w:tc>
        <w:tc>
          <w:tcPr>
            <w:tcW w:w="9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4"/>
          </w:tcPr>
          <w:p>
            <w:pPr>
              <w:ind w:left="1020"/>
              <w:spacing w:after="0"/>
              <w:rPr>
                <w:sz w:val="20"/>
                <w:szCs w:val="20"/>
                <w:color w:val="auto"/>
              </w:rPr>
            </w:pPr>
            <w:r>
              <w:rPr>
                <w:rFonts w:ascii="Times New Roman" w:cs="Times New Roman" w:eastAsia="Times New Roman" w:hAnsi="Times New Roman"/>
                <w:sz w:val="16"/>
                <w:szCs w:val="16"/>
                <w:color w:val="0000FF"/>
              </w:rPr>
              <w:t>04/29/2025</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(3)</w:t>
            </w:r>
          </w:p>
        </w:tc>
        <w:tc>
          <w:tcPr>
            <w:tcW w:w="1100" w:type="dxa"/>
            <w:vAlign w:val="bottom"/>
            <w:tcBorders>
              <w:bottom w:val="single" w:sz="8" w:color="2C2C2C"/>
            </w:tcBorders>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3"/>
              </w:rPr>
              <w:t>39,616</w:t>
            </w:r>
            <w:r>
              <w:rPr>
                <w:rFonts w:ascii="Times New Roman" w:cs="Times New Roman" w:eastAsia="Times New Roman" w:hAnsi="Times New Roman"/>
                <w:sz w:val="20"/>
                <w:szCs w:val="20"/>
                <w:color w:val="008000"/>
                <w:w w:val="93"/>
                <w:vertAlign w:val="superscript"/>
              </w:rPr>
              <w:t>(1)</w:t>
            </w:r>
          </w:p>
        </w:tc>
        <w:tc>
          <w:tcPr>
            <w:tcW w:w="1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11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8.9208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
              <w:spacing w:after="0"/>
              <w:rPr>
                <w:sz w:val="20"/>
                <w:szCs w:val="20"/>
                <w:color w:val="auto"/>
              </w:rPr>
            </w:pPr>
            <w:r>
              <w:rPr>
                <w:rFonts w:ascii="Times New Roman" w:cs="Times New Roman" w:eastAsia="Times New Roman" w:hAnsi="Times New Roman"/>
                <w:sz w:val="16"/>
                <w:szCs w:val="16"/>
                <w:color w:val="0000FF"/>
                <w:w w:val="93"/>
              </w:rPr>
              <w:t>74,440</w:t>
            </w:r>
            <w:r>
              <w:rPr>
                <w:rFonts w:ascii="Times New Roman" w:cs="Times New Roman" w:eastAsia="Times New Roman" w:hAnsi="Times New Roman"/>
                <w:sz w:val="20"/>
                <w:szCs w:val="20"/>
                <w:color w:val="008000"/>
                <w:w w:val="93"/>
                <w:vertAlign w:val="superscript"/>
              </w:rPr>
              <w:t>(4)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360" w:type="dxa"/>
            <w:vAlign w:val="bottom"/>
            <w:tcBorders>
              <w:top w:val="single" w:sz="8" w:color="2C2C2C"/>
            </w:tcBorders>
            <w:gridSpan w:val="13"/>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720" w:type="dxa"/>
            <w:vAlign w:val="bottom"/>
            <w:gridSpan w:val="12"/>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620" w:type="dxa"/>
            <w:vAlign w:val="bottom"/>
            <w:vMerge w:val="restart"/>
          </w:tcPr>
          <w:p>
            <w:pPr>
              <w:jc w:val="center"/>
              <w:ind w:righ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w:t>
            </w:r>
          </w:p>
        </w:tc>
        <w:tc>
          <w:tcPr>
            <w:tcW w:w="140" w:type="dxa"/>
            <w:vAlign w:val="bottom"/>
          </w:tcPr>
          <w:p>
            <w:pPr>
              <w:spacing w:after="0"/>
              <w:rPr>
                <w:sz w:val="11"/>
                <w:szCs w:val="11"/>
                <w:color w:val="auto"/>
              </w:rPr>
            </w:pPr>
          </w:p>
        </w:tc>
        <w:tc>
          <w:tcPr>
            <w:tcW w:w="980" w:type="dxa"/>
            <w:vAlign w:val="bottom"/>
            <w:vMerge w:val="restart"/>
          </w:tcPr>
          <w:p>
            <w:pPr>
              <w:jc w:val="right"/>
              <w:ind w:right="121"/>
              <w:spacing w:after="0"/>
              <w:rPr>
                <w:sz w:val="20"/>
                <w:szCs w:val="20"/>
                <w:color w:val="auto"/>
              </w:rPr>
            </w:pPr>
            <w:r>
              <w:rPr>
                <w:rFonts w:ascii="Times New Roman" w:cs="Times New Roman" w:eastAsia="Times New Roman" w:hAnsi="Times New Roman"/>
                <w:sz w:val="12"/>
                <w:szCs w:val="12"/>
                <w:color w:val="0000FF"/>
              </w:rPr>
              <w:t>04/29/2025</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1000" w:type="dxa"/>
            <w:vAlign w:val="bottom"/>
            <w:vMerge w:val="restart"/>
          </w:tcPr>
          <w:p>
            <w:pPr>
              <w:jc w:val="center"/>
              <w:ind w:right="43"/>
              <w:spacing w:after="0"/>
              <w:rPr>
                <w:sz w:val="20"/>
                <w:szCs w:val="20"/>
                <w:color w:val="auto"/>
              </w:rPr>
            </w:pPr>
            <w:r>
              <w:rPr>
                <w:rFonts w:ascii="Times New Roman" w:cs="Times New Roman" w:eastAsia="Times New Roman" w:hAnsi="Times New Roman"/>
                <w:sz w:val="12"/>
                <w:szCs w:val="12"/>
                <w:color w:val="0000FF"/>
              </w:rPr>
              <w:t>120,384</w:t>
            </w:r>
            <w:r>
              <w:rPr>
                <w:rFonts w:ascii="Times New Roman" w:cs="Times New Roman" w:eastAsia="Times New Roman" w:hAnsi="Times New Roman"/>
                <w:sz w:val="20"/>
                <w:szCs w:val="20"/>
                <w:color w:val="008000"/>
                <w:vertAlign w:val="superscript"/>
              </w:rPr>
              <w:t>(1)</w:t>
            </w: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04/26/2027</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120,384</w:t>
            </w:r>
            <w:r>
              <w:rPr>
                <w:rFonts w:ascii="Times New Roman" w:cs="Times New Roman" w:eastAsia="Times New Roman" w:hAnsi="Times New Roman"/>
                <w:sz w:val="20"/>
                <w:szCs w:val="20"/>
                <w:color w:val="008000"/>
                <w:w w:val="94"/>
                <w:vertAlign w:val="superscript"/>
              </w:rPr>
              <w:t>(1)</w:t>
            </w:r>
          </w:p>
        </w:tc>
        <w:tc>
          <w:tcPr>
            <w:tcW w:w="60" w:type="dxa"/>
            <w:vAlign w:val="bottom"/>
          </w:tcPr>
          <w:p>
            <w:pPr>
              <w:spacing w:after="0"/>
              <w:rPr>
                <w:sz w:val="11"/>
                <w:szCs w:val="11"/>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spacing w:after="0" w:line="274" w:lineRule="exact"/>
              <w:rPr>
                <w:sz w:val="20"/>
                <w:szCs w:val="20"/>
                <w:color w:val="auto"/>
              </w:rPr>
            </w:pP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w:t>
            </w:r>
          </w:p>
        </w:tc>
        <w:tc>
          <w:tcPr>
            <w:tcW w:w="300" w:type="dxa"/>
            <w:vAlign w:val="bottom"/>
          </w:tcPr>
          <w:p>
            <w:pPr>
              <w:spacing w:after="0"/>
              <w:rPr>
                <w:sz w:val="11"/>
                <w:szCs w:val="11"/>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2"/>
                <w:szCs w:val="12"/>
                <w:color w:val="0000FF"/>
                <w:w w:val="99"/>
              </w:rPr>
              <w:t>Shares</w:t>
            </w: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line="225" w:lineRule="exact"/>
              <w:rPr>
                <w:sz w:val="20"/>
                <w:szCs w:val="20"/>
                <w:color w:val="auto"/>
              </w:rPr>
            </w:pPr>
            <w:r>
              <w:rPr>
                <w:rFonts w:ascii="Times New Roman" w:cs="Times New Roman" w:eastAsia="Times New Roman" w:hAnsi="Times New Roman"/>
                <w:sz w:val="24"/>
                <w:szCs w:val="24"/>
                <w:color w:val="0000FF"/>
                <w:vertAlign w:val="subscript"/>
              </w:rPr>
              <w:t>Buy)</w:t>
            </w:r>
            <w:r>
              <w:rPr>
                <w:rFonts w:ascii="Times New Roman" w:cs="Times New Roman" w:eastAsia="Times New Roman" w:hAnsi="Times New Roman"/>
                <w:sz w:val="10"/>
                <w:szCs w:val="10"/>
                <w:color w:val="008000"/>
              </w:rPr>
              <w:t>(1)(5)</w:t>
            </w:r>
          </w:p>
        </w:tc>
        <w:tc>
          <w:tcPr>
            <w:tcW w:w="6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6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0.5038</w:t>
            </w:r>
          </w:p>
        </w:tc>
        <w:tc>
          <w:tcPr>
            <w:tcW w:w="140" w:type="dxa"/>
            <w:vAlign w:val="bottom"/>
          </w:tcPr>
          <w:p>
            <w:pPr>
              <w:spacing w:after="0"/>
              <w:rPr>
                <w:sz w:val="11"/>
                <w:szCs w:val="11"/>
                <w:color w:val="auto"/>
              </w:rPr>
            </w:pPr>
          </w:p>
        </w:tc>
        <w:tc>
          <w:tcPr>
            <w:tcW w:w="980" w:type="dxa"/>
            <w:vAlign w:val="bottom"/>
            <w:vMerge w:val="restart"/>
          </w:tcPr>
          <w:p>
            <w:pPr>
              <w:jc w:val="right"/>
              <w:ind w:right="121"/>
              <w:spacing w:after="0"/>
              <w:rPr>
                <w:sz w:val="20"/>
                <w:szCs w:val="20"/>
                <w:color w:val="auto"/>
              </w:rPr>
            </w:pPr>
            <w:r>
              <w:rPr>
                <w:rFonts w:ascii="Times New Roman" w:cs="Times New Roman" w:eastAsia="Times New Roman" w:hAnsi="Times New Roman"/>
                <w:sz w:val="12"/>
                <w:szCs w:val="12"/>
                <w:color w:val="0000FF"/>
              </w:rPr>
              <w:t>04/29/2025</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1000" w:type="dxa"/>
            <w:vAlign w:val="bottom"/>
            <w:vMerge w:val="restart"/>
          </w:tcPr>
          <w:p>
            <w:pPr>
              <w:jc w:val="center"/>
              <w:ind w:right="83"/>
              <w:spacing w:after="0"/>
              <w:rPr>
                <w:sz w:val="20"/>
                <w:szCs w:val="20"/>
                <w:color w:val="auto"/>
              </w:rPr>
            </w:pPr>
            <w:r>
              <w:rPr>
                <w:rFonts w:ascii="Times New Roman" w:cs="Times New Roman" w:eastAsia="Times New Roman" w:hAnsi="Times New Roman"/>
                <w:sz w:val="12"/>
                <w:szCs w:val="12"/>
                <w:color w:val="0000FF"/>
              </w:rPr>
              <w:t>39,616</w:t>
            </w:r>
            <w:r>
              <w:rPr>
                <w:rFonts w:ascii="Times New Roman" w:cs="Times New Roman" w:eastAsia="Times New Roman" w:hAnsi="Times New Roman"/>
                <w:sz w:val="20"/>
                <w:szCs w:val="20"/>
                <w:color w:val="008000"/>
                <w:vertAlign w:val="superscript"/>
              </w:rPr>
              <w:t>(1)</w:t>
            </w: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04/27/2032</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rPr>
              <w:t>39,616</w:t>
            </w:r>
            <w:r>
              <w:rPr>
                <w:rFonts w:ascii="Times New Roman" w:cs="Times New Roman" w:eastAsia="Times New Roman" w:hAnsi="Times New Roman"/>
                <w:sz w:val="20"/>
                <w:szCs w:val="20"/>
                <w:color w:val="008000"/>
                <w:vertAlign w:val="superscript"/>
              </w:rPr>
              <w:t>(1)</w:t>
            </w:r>
          </w:p>
        </w:tc>
        <w:tc>
          <w:tcPr>
            <w:tcW w:w="60" w:type="dxa"/>
            <w:vAlign w:val="bottom"/>
          </w:tcPr>
          <w:p>
            <w:pPr>
              <w:spacing w:after="0"/>
              <w:rPr>
                <w:sz w:val="11"/>
                <w:szCs w:val="11"/>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ind w:right="104"/>
              <w:spacing w:after="0"/>
              <w:rPr>
                <w:sz w:val="20"/>
                <w:szCs w:val="20"/>
                <w:color w:val="auto"/>
              </w:rPr>
            </w:pPr>
            <w:r>
              <w:rPr>
                <w:rFonts w:ascii="Times New Roman" w:cs="Times New Roman" w:eastAsia="Times New Roman" w:hAnsi="Times New Roman"/>
                <w:sz w:val="12"/>
                <w:szCs w:val="12"/>
                <w:color w:val="0000FF"/>
              </w:rPr>
              <w:t>160,384</w:t>
            </w:r>
            <w:r>
              <w:rPr>
                <w:rFonts w:ascii="Times New Roman" w:cs="Times New Roman" w:eastAsia="Times New Roman" w:hAnsi="Times New Roman"/>
                <w:sz w:val="20"/>
                <w:szCs w:val="20"/>
                <w:color w:val="008000"/>
                <w:vertAlign w:val="superscript"/>
              </w:rPr>
              <w:t>(1)</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2"/>
                <w:szCs w:val="12"/>
                <w:color w:val="0000FF"/>
                <w:w w:val="99"/>
              </w:rPr>
              <w:t>Shares</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line="188" w:lineRule="auto"/>
        <w:rPr>
          <w:sz w:val="20"/>
          <w:szCs w:val="20"/>
          <w:color w:val="auto"/>
        </w:rPr>
      </w:pPr>
      <w:r>
        <w:rPr>
          <w:rFonts w:ascii="Times New Roman" w:cs="Times New Roman" w:eastAsia="Times New Roman" w:hAnsi="Times New Roman"/>
          <w:sz w:val="20"/>
          <w:szCs w:val="20"/>
          <w:color w:val="0000FF"/>
          <w:vertAlign w:val="subscript"/>
        </w:rPr>
        <w:t>Buy)</w:t>
      </w:r>
      <w:r>
        <w:rPr>
          <w:rFonts w:ascii="Times New Roman" w:cs="Times New Roman" w:eastAsia="Times New Roman" w:hAnsi="Times New Roman"/>
          <w:sz w:val="9"/>
          <w:szCs w:val="9"/>
          <w:color w:val="008000"/>
        </w:rPr>
        <w:t>(1)(5)</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580" w:hanging="3"/>
        <w:spacing w:after="0" w:line="281"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Form 4 amendment is being filed to correct the Reporting Person's Form 4 filed on May 1, 2025 which erroneously presented all transacted securities in American Depositary Shares ("ADSs") instead of Ordinary Shares.</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ADSs, each of which represents eight (8) Ordinary Shares of the Issuer.</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sale reported in the Form 4 was effected pursuant to a Rule 10b5-1 instruction adopted by the Reporting Person on November 6, 2024, solely with the intent to cover payment of the exercise price.</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74,440 Ordinary Shares represented by 9,305 ADSs.</w:t>
      </w:r>
    </w:p>
    <w:p>
      <w:pPr>
        <w:spacing w:after="0" w:line="48" w:lineRule="exact"/>
        <w:rPr>
          <w:rFonts w:ascii="Times New Roman" w:cs="Times New Roman" w:eastAsia="Times New Roman" w:hAnsi="Times New Roman"/>
          <w:sz w:val="12"/>
          <w:szCs w:val="12"/>
          <w:color w:val="008000"/>
        </w:rPr>
      </w:pPr>
    </w:p>
    <w:p>
      <w:pPr>
        <w:ind w:left="40" w:right="480" w:hanging="3"/>
        <w:spacing w:after="0" w:line="281"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number of securities underlying the option and the exercise price therefor are listed in terms of Ordinary Shares, however, each security is represented by ADSs, each of which represents eight (8) Ordinary Shares of the Issuer.</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fully vested.</w:t>
      </w:r>
    </w:p>
    <w:p>
      <w:pPr>
        <w:spacing w:after="0" w:line="45"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Andrew Fisher, Attorney-in-</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05/22/2025</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fact for Vikas Sinha</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7845"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2025-05-22T15:11:03Z</dcterms:created>
  <dcterms:modified xsi:type="dcterms:W3CDTF">2025-05-22T15:11:03Z</dcterms:modified>
</cp:coreProperties>
</file>