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Poll Claire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79,896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0.7763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1,922,847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483,840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 (unless otherwise indicated),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January 31, 2022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1,700,000 Ordinary Shares underlying Restricted Share Units, each of which represents a contingent right to receive one (1) Ordinary Share of the Issuer (which may be represented by 212,500 ADSs); (ii) 222,840 Ordinary Shares underlying 27,855 ADSs; and (iii) 7 Ordinary Shares.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Held by a family trust of which (a) the Reporting Person and spouse are trustees and (b) the Reporting Person and members of her immediate family are the sole beneficiaries of the trust.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Claire Poll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02/03/2022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20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2022-02-03T16:58:35Z</dcterms:created>
  <dcterms:modified xsi:type="dcterms:W3CDTF">2022-02-03T16:58:35Z</dcterms:modified>
</cp:coreProperties>
</file>