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4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39"/>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N/A</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1440" w:right="339" w:bottom="73"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38"/>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18"/>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398" w:lineRule="exact"/>
        <w:rPr>
          <w:sz w:val="20"/>
          <w:szCs w:val="20"/>
          <w:color w:val="auto"/>
        </w:rPr>
      </w:pPr>
    </w:p>
    <w:p>
      <w:pPr>
        <w:ind w:right="480" w:firstLine="8"/>
        <w:spacing w:after="0" w:line="284" w:lineRule="auto"/>
        <w:tabs>
          <w:tab w:leader="none" w:pos="13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8"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75" w:lineRule="exact"/>
        <w:rPr>
          <w:sz w:val="20"/>
          <w:szCs w:val="20"/>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8, 2024, Verona Pharma plc announced its financial results for the quarter ended June 30, 2024. The full text of the press release issued in connection with the announcement is furnished as Exhibit 99.1 to this Current Report on Form 8-K.</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8"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issued on August 8, 2024</w:t>
      </w:r>
    </w:p>
    <w:p>
      <w:pPr>
        <w:spacing w:after="0" w:line="63"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60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21"/>
                <w:szCs w:val="21"/>
                <w:color w:val="auto"/>
              </w:rPr>
              <w:t>August 8, 2024</w:t>
            </w: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243"/>
        </w:trPr>
        <w:tc>
          <w:tcPr>
            <w:tcW w:w="3720" w:type="dxa"/>
            <w:vAlign w:val="bottom"/>
          </w:tcPr>
          <w:p>
            <w:pPr>
              <w:spacing w:after="0"/>
              <w:rPr>
                <w:sz w:val="21"/>
                <w:szCs w:val="21"/>
                <w:color w:val="auto"/>
              </w:rPr>
            </w:pP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Zaccardelli, Pharm. D.</w:t>
            </w:r>
          </w:p>
        </w:tc>
      </w:tr>
      <w:tr>
        <w:trPr>
          <w:trHeight w:val="270"/>
        </w:trPr>
        <w:tc>
          <w:tcPr>
            <w:tcW w:w="3720" w:type="dxa"/>
            <w:vAlign w:val="bottom"/>
          </w:tcPr>
          <w:p>
            <w:pPr>
              <w:spacing w:after="0"/>
              <w:rPr>
                <w:sz w:val="23"/>
                <w:szCs w:val="23"/>
                <w:color w:val="auto"/>
              </w:rPr>
            </w:pP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5531485</wp:posOffset>
            </wp:positionH>
            <wp:positionV relativeFrom="page">
              <wp:posOffset>243205</wp:posOffset>
            </wp:positionV>
            <wp:extent cx="1808480" cy="87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line="253" w:lineRule="auto"/>
        <w:rPr>
          <w:sz w:val="20"/>
          <w:szCs w:val="20"/>
          <w:color w:val="auto"/>
        </w:rPr>
      </w:pPr>
      <w:r>
        <w:rPr>
          <w:rFonts w:ascii="Arial" w:cs="Arial" w:eastAsia="Arial" w:hAnsi="Arial"/>
          <w:sz w:val="25"/>
          <w:szCs w:val="25"/>
          <w:b w:val="1"/>
          <w:bCs w:val="1"/>
          <w:color w:val="auto"/>
        </w:rPr>
        <w:t>Verona Pharma Reports Second Quarter 2024 Financial Results and Provides Corporate Update</w:t>
      </w:r>
    </w:p>
    <w:p>
      <w:pPr>
        <w:spacing w:after="0" w:line="121" w:lineRule="exact"/>
        <w:rPr>
          <w:sz w:val="20"/>
          <w:szCs w:val="20"/>
          <w:color w:val="auto"/>
        </w:rPr>
      </w:pPr>
    </w:p>
    <w:p>
      <w:pPr>
        <w:jc w:val="center"/>
        <w:spacing w:after="0" w:line="328" w:lineRule="auto"/>
        <w:rPr>
          <w:sz w:val="20"/>
          <w:szCs w:val="20"/>
          <w:color w:val="auto"/>
        </w:rPr>
      </w:pPr>
      <w:r>
        <w:rPr>
          <w:rFonts w:ascii="Arial" w:cs="Arial" w:eastAsia="Arial" w:hAnsi="Arial"/>
          <w:sz w:val="22"/>
          <w:szCs w:val="22"/>
          <w:i w:val="1"/>
          <w:iCs w:val="1"/>
          <w:color w:val="auto"/>
        </w:rPr>
        <w:t>Ohtuvayre</w:t>
      </w:r>
      <w:r>
        <w:rPr>
          <w:rFonts w:ascii="Arial" w:cs="Arial" w:eastAsia="Arial" w:hAnsi="Arial"/>
          <w:sz w:val="11"/>
          <w:szCs w:val="11"/>
          <w:i w:val="1"/>
          <w:iCs w:val="1"/>
          <w:color w:val="auto"/>
        </w:rPr>
        <w:t>TM</w:t>
      </w:r>
      <w:r>
        <w:rPr>
          <w:rFonts w:ascii="Arial" w:cs="Arial" w:eastAsia="Arial" w:hAnsi="Arial"/>
          <w:sz w:val="22"/>
          <w:szCs w:val="22"/>
          <w:i w:val="1"/>
          <w:iCs w:val="1"/>
          <w:color w:val="auto"/>
        </w:rPr>
        <w:t xml:space="preserve"> (ensifentrine) now available; patient shipments started Strong balance sheet supports commercialization and pipeline expansion Conference call today at 9:00 a.m. EDT / 2:00 p.m. BST</w:t>
      </w:r>
    </w:p>
    <w:p>
      <w:pPr>
        <w:spacing w:after="0" w:line="302" w:lineRule="exact"/>
        <w:rPr>
          <w:sz w:val="20"/>
          <w:szCs w:val="20"/>
          <w:color w:val="auto"/>
        </w:rPr>
      </w:pPr>
    </w:p>
    <w:p>
      <w:pPr>
        <w:spacing w:after="0" w:line="226" w:lineRule="auto"/>
        <w:rPr>
          <w:sz w:val="20"/>
          <w:szCs w:val="20"/>
          <w:color w:val="auto"/>
        </w:rPr>
      </w:pPr>
      <w:r>
        <w:rPr>
          <w:rFonts w:ascii="Arial" w:cs="Arial" w:eastAsia="Arial" w:hAnsi="Arial"/>
          <w:sz w:val="19"/>
          <w:szCs w:val="19"/>
          <w:b w:val="1"/>
          <w:bCs w:val="1"/>
          <w:color w:val="auto"/>
        </w:rPr>
        <w:t xml:space="preserve">LONDON and RALEIGH, N.C., August 8, 2024 </w:t>
      </w:r>
      <w:r>
        <w:rPr>
          <w:rFonts w:ascii="Arial" w:cs="Arial" w:eastAsia="Arial" w:hAnsi="Arial"/>
          <w:sz w:val="19"/>
          <w:szCs w:val="19"/>
          <w:color w:val="auto"/>
        </w:rPr>
        <w:t>– Verona Pharma plc (Nasdaq: VRNA) (“Verona Pharma” or the “Company”), a</w:t>
      </w:r>
      <w:r>
        <w:rPr>
          <w:rFonts w:ascii="Arial" w:cs="Arial" w:eastAsia="Arial" w:hAnsi="Arial"/>
          <w:sz w:val="19"/>
          <w:szCs w:val="19"/>
          <w:b w:val="1"/>
          <w:bCs w:val="1"/>
          <w:color w:val="auto"/>
        </w:rPr>
        <w:t xml:space="preserve"> </w:t>
      </w:r>
      <w:r>
        <w:rPr>
          <w:rFonts w:ascii="Arial" w:cs="Arial" w:eastAsia="Arial" w:hAnsi="Arial"/>
          <w:sz w:val="19"/>
          <w:szCs w:val="19"/>
          <w:color w:val="auto"/>
        </w:rPr>
        <w:t>biopharmaceutical company focused on respiratory diseases, announces its financial results for the second quarter ended June</w:t>
      </w:r>
    </w:p>
    <w:p>
      <w:pPr>
        <w:spacing w:after="0"/>
        <w:rPr>
          <w:sz w:val="20"/>
          <w:szCs w:val="20"/>
          <w:color w:val="auto"/>
        </w:rPr>
      </w:pPr>
      <w:r>
        <w:rPr>
          <w:rFonts w:ascii="Arial" w:cs="Arial" w:eastAsia="Arial" w:hAnsi="Arial"/>
          <w:sz w:val="20"/>
          <w:szCs w:val="20"/>
          <w:color w:val="auto"/>
        </w:rPr>
        <w:t>30, 2024, and provides a corporate update.</w:t>
      </w:r>
    </w:p>
    <w:p>
      <w:pPr>
        <w:spacing w:after="0" w:line="63"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“We are very pleased today to announce that Ohtuvayre (ensifentrine) is now available in the US for the maintenance treatment of chronic obstructive pulmonary disease ("COPD") in adults,” said David Zaccardelli, Pharm. D., President and Chief Executive</w:t>
      </w:r>
    </w:p>
    <w:p>
      <w:pPr>
        <w:spacing w:after="0" w:line="213" w:lineRule="auto"/>
        <w:rPr>
          <w:sz w:val="20"/>
          <w:szCs w:val="20"/>
          <w:color w:val="auto"/>
        </w:rPr>
      </w:pPr>
      <w:r>
        <w:rPr>
          <w:rFonts w:ascii="Arial" w:cs="Arial" w:eastAsia="Arial" w:hAnsi="Arial"/>
          <w:sz w:val="20"/>
          <w:szCs w:val="20"/>
          <w:color w:val="auto"/>
        </w:rPr>
        <w:t>Officer. “Ohtuvayre is the first novel inhaled product available for the treatment of COPD in more than 20 years. Healthcare</w:t>
      </w:r>
    </w:p>
    <w:p>
      <w:pPr>
        <w:ind w:right="20"/>
        <w:spacing w:after="0" w:line="225" w:lineRule="auto"/>
        <w:rPr>
          <w:sz w:val="20"/>
          <w:szCs w:val="20"/>
          <w:color w:val="auto"/>
        </w:rPr>
      </w:pPr>
      <w:r>
        <w:rPr>
          <w:rFonts w:ascii="Arial" w:cs="Arial" w:eastAsia="Arial" w:hAnsi="Arial"/>
          <w:sz w:val="20"/>
          <w:szCs w:val="20"/>
          <w:color w:val="auto"/>
        </w:rPr>
        <w:t>professionals ("HCPs") and patients are excited about Ohtuvayre’s potential to relieve COPD symptoms and we believe its bronchodilator and non-steroidal anti-inflammatory activity will redefine the treatment paradigm for COPD.</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“Our field sales force began interacting with HCPs in late July and, to date, we have conducted over 2,000 HCP visits and more</w:t>
      </w:r>
    </w:p>
    <w:p>
      <w:pPr>
        <w:spacing w:after="0" w:line="2"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than 100 unique HCPs have prescribed Ohtuvayre through our exclusive network of specialty pharmacies. We are confident in the launch of Ohtuvayre and look forward to updating you on our progress.”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Company’s near-term milestones include:</w:t>
      </w:r>
    </w:p>
    <w:p>
      <w:pPr>
        <w:spacing w:after="0" w:line="81" w:lineRule="exact"/>
        <w:rPr>
          <w:sz w:val="20"/>
          <w:szCs w:val="20"/>
          <w:color w:val="auto"/>
        </w:rPr>
      </w:pPr>
    </w:p>
    <w:p>
      <w:pPr>
        <w:jc w:val="both"/>
        <w:ind w:left="660" w:hanging="328"/>
        <w:spacing w:after="0"/>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July 2024, the Company submitted an investigational new drug application ("IND") to the FDA to allow initiation of the clinical program for development of a fixed-dose combination of ensifentrine and glycopyrrolate, a long-acting muscarinic antagonist (“LAMA”), for the maintenance treatment of COPD via a nebulizer. Subject to clearance of the IND, the Company intends to initiate a Phase 2 dose-ranging trial in the third quarter of 2024.</w:t>
      </w:r>
    </w:p>
    <w:p>
      <w:pPr>
        <w:spacing w:after="0" w:line="65"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Also in the third quarter of 2024, the Company plans to initiate a Phase 2 clinical trial to assess the efficacy and safety of nebulized ensifentrine in patients with non-cystic fibrosis bronchiectasis (“NCFBE”).</w:t>
      </w:r>
    </w:p>
    <w:p>
      <w:pPr>
        <w:spacing w:after="0" w:line="33"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the second half of 2024, the Company plans to present further analyses from the Phase 3 ENHANCE trials at the European Respiratory Society International Congress 2024 and at CHEST Annual Meeting 2024.</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Second Quarter Highlights</w:t>
      </w:r>
    </w:p>
    <w:p>
      <w:pPr>
        <w:spacing w:after="0" w:line="110" w:lineRule="exact"/>
        <w:rPr>
          <w:sz w:val="20"/>
          <w:szCs w:val="20"/>
          <w:color w:val="auto"/>
        </w:rPr>
      </w:pPr>
    </w:p>
    <w:p>
      <w:pPr>
        <w:ind w:left="660" w:hanging="328"/>
        <w:spacing w:after="0" w:line="24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June 26, 2024, the FDA approved Ohtuvayre (ensifentrine) for the maintenance treatment of COPD and the product is now available in the US.</w:t>
      </w:r>
    </w:p>
    <w:p>
      <w:pPr>
        <w:spacing w:after="0" w:line="33"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June 2024, the Company submitted the J-code application and local coverage determination documents to support the launch and expects to receive a permanent, product-specific J-code for Ohtuvayre effective January 2025.</w:t>
      </w:r>
    </w:p>
    <w:p>
      <w:pPr>
        <w:spacing w:after="0" w:line="47"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May 2024, the Company refinanced its $400 million debt facility and entered into a $250 million capped revenue interest purchase and sales agreement (“RIPSA”) with</w:t>
      </w:r>
    </w:p>
    <w:p>
      <w:pPr>
        <w:sectPr>
          <w:pgSz w:w="11900" w:h="16838" w:orient="portrait"/>
          <w:cols w:equalWidth="0" w:num="1">
            <w:col w:w="11240"/>
          </w:cols>
          <w:pgMar w:left="320" w:top="1440"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20"/>
          <w:szCs w:val="20"/>
          <w:color w:val="auto"/>
        </w:rPr>
        <w:t>Oaktree Capital and OMERS Life Sciences (collectively the “$650 million strategic financing”).</w:t>
      </w:r>
    </w:p>
    <w:p>
      <w:pPr>
        <w:spacing w:after="0" w:line="81" w:lineRule="exact"/>
        <w:rPr>
          <w:sz w:val="20"/>
          <w:szCs w:val="20"/>
          <w:color w:val="auto"/>
        </w:rPr>
      </w:pPr>
    </w:p>
    <w:p>
      <w:pPr>
        <w:jc w:val="both"/>
        <w:ind w:left="660" w:hanging="328"/>
        <w:spacing w:after="0" w:line="22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Also in May 2024, the Company presented eight posters including two oral presentations, at the American Thoracic Society International Conference (“ATS”) 2024. The posters highlighted additional pooled analyses of the Phase 3 ENHANCE trials with ensifentrine for the treatment of COPD. The abstracts are published on the ATS website and in the </w:t>
      </w:r>
      <w:r>
        <w:rPr>
          <w:rFonts w:ascii="Arial" w:cs="Arial" w:eastAsia="Arial" w:hAnsi="Arial"/>
          <w:sz w:val="20"/>
          <w:szCs w:val="20"/>
          <w:i w:val="1"/>
          <w:iCs w:val="1"/>
          <w:color w:val="auto"/>
        </w:rPr>
        <w:t>American Journal of Respiratory and Critical Care Medicine</w:t>
      </w:r>
      <w:r>
        <w:rPr>
          <w:rFonts w:ascii="Arial" w:cs="Arial" w:eastAsia="Arial" w:hAnsi="Arial"/>
          <w:sz w:val="20"/>
          <w:szCs w:val="20"/>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2024 Financial Results</w:t>
      </w:r>
    </w:p>
    <w:p>
      <w:pPr>
        <w:spacing w:after="0" w:line="81" w:lineRule="exact"/>
        <w:rPr>
          <w:sz w:val="20"/>
          <w:szCs w:val="20"/>
          <w:color w:val="auto"/>
        </w:rPr>
      </w:pPr>
    </w:p>
    <w:p>
      <w:pPr>
        <w:jc w:val="both"/>
        <w:ind w:left="660" w:hanging="328"/>
        <w:spacing w:after="0" w:line="21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June 30, 2024 were $404.6 million (December 31, 2023: $271.8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approval of Ohtuvayre, the Company drew $70 million under the debt facility and $100 million under the RIPSA leading to the $404.6 million cash balance. The Company believes cash and cash equivalents at June 30, 2024, along with the funding expected to become available under the $650 million strategic financings will enable Verona Pharma to fund planned operating expenses and capital expenditure requirements beyond 2026 including the commercial launch of Ohtuvayre in the US.</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Calibri" w:cs="Calibri" w:eastAsia="Calibri" w:hAnsi="Calibri"/>
          <w:sz w:val="13"/>
          <w:szCs w:val="13"/>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(“R&amp;D”) expenses were $19.4 million for the second quarter ended June</w:t>
      </w:r>
    </w:p>
    <w:p>
      <w:pPr>
        <w:jc w:val="both"/>
        <w:ind w:left="660"/>
        <w:spacing w:after="0" w:line="211" w:lineRule="auto"/>
        <w:rPr>
          <w:rFonts w:ascii="Calibri" w:cs="Calibri" w:eastAsia="Calibri" w:hAnsi="Calibri"/>
          <w:sz w:val="13"/>
          <w:szCs w:val="13"/>
          <w:color w:val="auto"/>
        </w:rPr>
      </w:pPr>
      <w:r>
        <w:rPr>
          <w:rFonts w:ascii="Arial" w:cs="Arial" w:eastAsia="Arial" w:hAnsi="Arial"/>
          <w:sz w:val="20"/>
          <w:szCs w:val="20"/>
          <w:color w:val="auto"/>
        </w:rPr>
        <w:t>30, 2024 (Q2 2023: a net reversal of costs of $2.5 million). This increase of $21.9 million was primarily driven by the accrual of the $6.3 million approval milestone due to Ligand, $2.5 million increase in share-based compensation largely driven by the recognition of performance restricted stock units ("PRSU") expense and $1.7 million of expense related to pre-launch inventory production. Further, we had $2.5 million in clinical trial and other development costs in the three months ended June 30, 2024 while in the three months ended June 30, 2023, we recorded a reversal of costs of $6.3 million related to the resolution of a supplier matter, which resulted in net negative research and development expense for the three months ended June 30, 2023.</w:t>
      </w:r>
    </w:p>
    <w:p>
      <w:pPr>
        <w:spacing w:after="0" w:line="42" w:lineRule="exact"/>
        <w:rPr>
          <w:rFonts w:ascii="Calibri" w:cs="Calibri" w:eastAsia="Calibri" w:hAnsi="Calibri"/>
          <w:sz w:val="13"/>
          <w:szCs w:val="13"/>
          <w:color w:val="auto"/>
        </w:rPr>
      </w:pPr>
    </w:p>
    <w:p>
      <w:pPr>
        <w:ind w:left="660" w:hanging="328"/>
        <w:spacing w:after="0"/>
        <w:tabs>
          <w:tab w:leader="none" w:pos="660" w:val="left"/>
        </w:tabs>
        <w:numPr>
          <w:ilvl w:val="0"/>
          <w:numId w:val="6"/>
        </w:numPr>
        <w:rPr>
          <w:rFonts w:ascii="Calibri" w:cs="Calibri" w:eastAsia="Calibri" w:hAnsi="Calibri"/>
          <w:sz w:val="13"/>
          <w:szCs w:val="13"/>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(“SG&amp;A”) were $49.0 million for the second quarter</w:t>
      </w:r>
    </w:p>
    <w:p>
      <w:pPr>
        <w:jc w:val="both"/>
        <w:ind w:left="660"/>
        <w:spacing w:after="0" w:line="213" w:lineRule="auto"/>
        <w:rPr>
          <w:rFonts w:ascii="Calibri" w:cs="Calibri" w:eastAsia="Calibri" w:hAnsi="Calibri"/>
          <w:sz w:val="13"/>
          <w:szCs w:val="13"/>
          <w:color w:val="auto"/>
        </w:rPr>
      </w:pPr>
      <w:r>
        <w:rPr>
          <w:rFonts w:ascii="Arial" w:cs="Arial" w:eastAsia="Arial" w:hAnsi="Arial"/>
          <w:sz w:val="20"/>
          <w:szCs w:val="20"/>
          <w:color w:val="auto"/>
        </w:rPr>
        <w:t>ended June 30, 2024 (Q2 2023: $12.4 million). This increase of $36.6 million was driven primarily by an accrual of the $15.0 million first sale milestone payment due to Ligand, an increase of $7.4 million for marketing and other commercial launch related activities and an increase of $2.3 million in other support costs including travel, professional and consulting fees and information technology costs. Additionally, share-based compensation increased by $8.0 million largely driven by the recognition of PRSU expense as well as an increase of $4.3 million in people-related costs as we built out our commercial organization including much of the field sales team.</w:t>
      </w:r>
    </w:p>
    <w:p>
      <w:pPr>
        <w:spacing w:after="0" w:line="51" w:lineRule="exact"/>
        <w:rPr>
          <w:rFonts w:ascii="Calibri" w:cs="Calibri" w:eastAsia="Calibri" w:hAnsi="Calibri"/>
          <w:sz w:val="13"/>
          <w:szCs w:val="13"/>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$70.8 million for the second quarter ended June 30, 2024 (Q2 2023: net loss $8.8 million).</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32" w:lineRule="auto"/>
        <w:rPr>
          <w:sz w:val="20"/>
          <w:szCs w:val="20"/>
          <w:color w:val="auto"/>
        </w:rPr>
      </w:pPr>
      <w:r>
        <w:rPr>
          <w:rFonts w:ascii="Arial" w:cs="Arial" w:eastAsia="Arial" w:hAnsi="Arial"/>
          <w:sz w:val="20"/>
          <w:szCs w:val="20"/>
          <w:color w:val="auto"/>
        </w:rPr>
        <w:t>Verona Pharma will host an investment community webcast and conference call at 9:00 a.m. EDT / 2:00 p.m. BST on Thursday, August 8, 2024, to discuss the second quarter 2024 financial results and the corporate update.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To participate, please dial one of the following numbers and ask to join the Verona Pharma call:</w:t>
      </w: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+1-833-816-1396 for callers in the United States</w:t>
      </w:r>
    </w:p>
    <w:p>
      <w:pPr>
        <w:spacing w:after="0" w:line="22"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+1-412-317-0489 for international callers</w:t>
      </w:r>
    </w:p>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 www.veronapharma.com, and the audio replay will be available for 90 days. An electronic copy of the second quarter 2024 results press release will also be made available today on the Company’s website.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6260" w:type="dxa"/>
            <w:vAlign w:val="bottom"/>
            <w:tcBorders>
              <w:top w:val="single" w:sz="8" w:color="CFCFCF"/>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Verona Pharma plc</w:t>
            </w:r>
          </w:p>
        </w:tc>
        <w:tc>
          <w:tcPr>
            <w:tcW w:w="4980" w:type="dxa"/>
            <w:vAlign w:val="bottom"/>
            <w:tcBorders>
              <w:top w:val="single" w:sz="8" w:color="CFCFCF"/>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Tel: +1-844-341-9901</w:t>
            </w:r>
          </w:p>
        </w:tc>
      </w:tr>
      <w:tr>
        <w:trPr>
          <w:trHeight w:val="232"/>
        </w:trPr>
        <w:tc>
          <w:tcPr>
            <w:tcW w:w="6260" w:type="dxa"/>
            <w:vAlign w:val="bottom"/>
            <w:tcBorders>
              <w:left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Victoria Stewart, Senior Director of Investor Relations and</w:t>
            </w:r>
          </w:p>
        </w:tc>
        <w:tc>
          <w:tcPr>
            <w:tcW w:w="4980" w:type="dxa"/>
            <w:vAlign w:val="bottom"/>
            <w:tcBorders>
              <w:right w:val="single" w:sz="8" w:color="CFCFCF"/>
            </w:tcBorders>
          </w:tcPr>
          <w:p>
            <w:pPr>
              <w:ind w:left="20"/>
              <w:spacing w:after="0"/>
              <w:rPr>
                <w:sz w:val="20"/>
                <w:szCs w:val="20"/>
                <w:color w:val="auto"/>
              </w:rPr>
            </w:pPr>
            <w:r>
              <w:rPr>
                <w:rFonts w:ascii="Arial" w:cs="Arial" w:eastAsia="Arial" w:hAnsi="Arial"/>
                <w:sz w:val="20"/>
                <w:szCs w:val="20"/>
                <w:color w:val="0000FF"/>
              </w:rPr>
              <w:t>IR@veronapharma.com</w:t>
            </w:r>
          </w:p>
        </w:tc>
      </w:tr>
      <w:tr>
        <w:trPr>
          <w:trHeight w:val="263"/>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Communications</w:t>
            </w:r>
          </w:p>
        </w:tc>
        <w:tc>
          <w:tcPr>
            <w:tcW w:w="4980" w:type="dxa"/>
            <w:vAlign w:val="bottom"/>
            <w:tcBorders>
              <w:bottom w:val="single" w:sz="8" w:color="CFCFCF"/>
              <w:right w:val="single" w:sz="8" w:color="CFCFCF"/>
            </w:tcBorders>
          </w:tcPr>
          <w:p>
            <w:pPr>
              <w:spacing w:after="0"/>
              <w:rPr>
                <w:sz w:val="22"/>
                <w:szCs w:val="22"/>
                <w:color w:val="auto"/>
              </w:rPr>
            </w:pPr>
          </w:p>
        </w:tc>
      </w:tr>
    </w:tbl>
    <w:p>
      <w:pPr>
        <w:sectPr>
          <w:pgSz w:w="11900" w:h="16838" w:orient="portrait"/>
          <w:cols w:equalWidth="0" w:num="1">
            <w:col w:w="11240"/>
          </w:cols>
          <w:pgMar w:left="320" w:top="1400" w:right="339" w:bottom="1440" w:gutter="0" w:footer="0" w:header="0"/>
        </w:sectPr>
      </w:pPr>
    </w:p>
    <w:bookmarkStart w:id="6" w:name="page7"/>
    <w:bookmarkEnd w:id="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6260" w:type="dxa"/>
            <w:vAlign w:val="bottom"/>
            <w:tcBorders>
              <w:top w:val="single" w:sz="8" w:color="CFCFCF"/>
              <w:left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Argot Partners</w:t>
            </w:r>
          </w:p>
        </w:tc>
        <w:tc>
          <w:tcPr>
            <w:tcW w:w="4980" w:type="dxa"/>
            <w:vAlign w:val="bottom"/>
            <w:tcBorders>
              <w:top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 xml:space="preserve">Tel: +1-212-600-1902 </w:t>
            </w:r>
            <w:r>
              <w:rPr>
                <w:rFonts w:ascii="Arial" w:cs="Arial" w:eastAsia="Arial" w:hAnsi="Arial"/>
                <w:sz w:val="20"/>
                <w:szCs w:val="20"/>
                <w:color w:val="0000FF"/>
              </w:rPr>
              <w:t>verona@argotpartners.com</w:t>
            </w:r>
          </w:p>
        </w:tc>
      </w:tr>
      <w:tr>
        <w:trPr>
          <w:trHeight w:val="263"/>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US Investor Enquiries</w:t>
            </w:r>
          </w:p>
        </w:tc>
        <w:tc>
          <w:tcPr>
            <w:tcW w:w="4980" w:type="dxa"/>
            <w:vAlign w:val="bottom"/>
            <w:tcBorders>
              <w:bottom w:val="single" w:sz="8" w:color="CFCFCF"/>
              <w:right w:val="single" w:sz="8" w:color="CFCFCF"/>
            </w:tcBorders>
          </w:tcPr>
          <w:p>
            <w:pPr>
              <w:spacing w:after="0"/>
              <w:rPr>
                <w:sz w:val="22"/>
                <w:szCs w:val="22"/>
                <w:color w:val="auto"/>
              </w:rPr>
            </w:pPr>
          </w:p>
        </w:tc>
      </w:tr>
      <w:tr>
        <w:trPr>
          <w:trHeight w:val="217"/>
        </w:trPr>
        <w:tc>
          <w:tcPr>
            <w:tcW w:w="6260" w:type="dxa"/>
            <w:vAlign w:val="bottom"/>
            <w:tcBorders>
              <w:left w:val="single" w:sz="8" w:color="CFCFCF"/>
              <w:right w:val="single" w:sz="8" w:color="CFCFCF"/>
            </w:tcBorders>
          </w:tcPr>
          <w:p>
            <w:pPr>
              <w:ind w:left="40"/>
              <w:spacing w:after="0" w:line="217" w:lineRule="exact"/>
              <w:rPr>
                <w:sz w:val="20"/>
                <w:szCs w:val="20"/>
                <w:color w:val="auto"/>
              </w:rPr>
            </w:pPr>
            <w:r>
              <w:rPr>
                <w:rFonts w:ascii="Arial" w:cs="Arial" w:eastAsia="Arial" w:hAnsi="Arial"/>
                <w:sz w:val="20"/>
                <w:szCs w:val="20"/>
                <w:b w:val="1"/>
                <w:bCs w:val="1"/>
                <w:color w:val="auto"/>
              </w:rPr>
              <w:t>Ten Bridge Communications</w:t>
            </w:r>
          </w:p>
        </w:tc>
        <w:tc>
          <w:tcPr>
            <w:tcW w:w="4980" w:type="dxa"/>
            <w:vAlign w:val="bottom"/>
            <w:tcBorders>
              <w:right w:val="single" w:sz="8" w:color="CFCFCF"/>
            </w:tcBorders>
          </w:tcPr>
          <w:p>
            <w:pPr>
              <w:ind w:left="20"/>
              <w:spacing w:after="0" w:line="217" w:lineRule="exact"/>
              <w:rPr>
                <w:sz w:val="20"/>
                <w:szCs w:val="20"/>
                <w:color w:val="auto"/>
              </w:rPr>
            </w:pPr>
            <w:r>
              <w:rPr>
                <w:rFonts w:ascii="Arial" w:cs="Arial" w:eastAsia="Arial" w:hAnsi="Arial"/>
                <w:sz w:val="20"/>
                <w:szCs w:val="20"/>
                <w:color w:val="auto"/>
              </w:rPr>
              <w:t>Tel: +1-312-523-5016</w:t>
            </w:r>
          </w:p>
        </w:tc>
      </w:tr>
      <w:tr>
        <w:trPr>
          <w:trHeight w:val="276"/>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International / US Media Enquiries</w:t>
            </w: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0000FF"/>
              </w:rPr>
              <w:t>tbcverona@tenbridgecommunications.com</w:t>
            </w:r>
          </w:p>
        </w:tc>
      </w:tr>
      <w:tr>
        <w:trPr>
          <w:trHeight w:val="261"/>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Leslie Humbel</w:t>
            </w:r>
          </w:p>
        </w:tc>
        <w:tc>
          <w:tcPr>
            <w:tcW w:w="4980" w:type="dxa"/>
            <w:vAlign w:val="bottom"/>
            <w:tcBorders>
              <w:bottom w:val="single" w:sz="8" w:color="CFCFCF"/>
              <w:right w:val="single" w:sz="8" w:color="CFCFCF"/>
            </w:tcBorders>
          </w:tcPr>
          <w:p>
            <w:pPr>
              <w:spacing w:after="0"/>
              <w:rPr>
                <w:sz w:val="22"/>
                <w:szCs w:val="22"/>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Verona Pharma is a biopharmaceutical company focused on developing and commercializing innovative therapies for the treatment of chronic respiratory diseases with significant unmet medical needs. Ohtuvayre</w:t>
      </w:r>
      <w:r>
        <w:rPr>
          <w:rFonts w:ascii="Arial" w:cs="Arial" w:eastAsia="Arial" w:hAnsi="Arial"/>
          <w:sz w:val="11"/>
          <w:szCs w:val="11"/>
          <w:color w:val="auto"/>
        </w:rPr>
        <w:t>TM</w:t>
      </w:r>
      <w:r>
        <w:rPr>
          <w:rFonts w:ascii="Arial" w:cs="Arial" w:eastAsia="Arial" w:hAnsi="Arial"/>
          <w:sz w:val="19"/>
          <w:szCs w:val="19"/>
          <w:color w:val="auto"/>
        </w:rPr>
        <w:t xml:space="preserve"> (ensifentrine) is the Company’s first</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commercial product and the first inhaled therapy for the maintenance treatment of COPD that combines bronchodilator and non-steroidal anti-inflammatory activities in one molecule. Ensifentrine has potential applications in non-cystic fibrosis bronchiectasis,</w:t>
      </w:r>
    </w:p>
    <w:p>
      <w:pPr>
        <w:spacing w:after="0"/>
        <w:rPr>
          <w:sz w:val="20"/>
          <w:szCs w:val="20"/>
          <w:color w:val="auto"/>
        </w:rPr>
      </w:pPr>
      <w:r>
        <w:rPr>
          <w:rFonts w:ascii="Arial" w:cs="Arial" w:eastAsia="Arial" w:hAnsi="Arial"/>
          <w:sz w:val="20"/>
          <w:szCs w:val="20"/>
          <w:color w:val="auto"/>
        </w:rPr>
        <w:t xml:space="preserve">cystic fibrosis, asthma and other respiratory diseases. For more information, please visit </w:t>
      </w:r>
      <w:r>
        <w:rPr>
          <w:rFonts w:ascii="Arial" w:cs="Arial" w:eastAsia="Arial" w:hAnsi="Arial"/>
          <w:sz w:val="20"/>
          <w:szCs w:val="20"/>
          <w:color w:val="0000FF"/>
        </w:rPr>
        <w:t>www.veronapharma.com</w:t>
      </w:r>
      <w:r>
        <w:rPr>
          <w:rFonts w:ascii="Arial" w:cs="Arial" w:eastAsia="Arial" w:hAnsi="Arial"/>
          <w:sz w:val="20"/>
          <w:szCs w:val="20"/>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w:t>
      </w:r>
    </w:p>
    <w:p>
      <w:pPr>
        <w:jc w:val="both"/>
        <w:spacing w:after="0" w:line="204" w:lineRule="auto"/>
        <w:rPr>
          <w:sz w:val="20"/>
          <w:szCs w:val="20"/>
          <w:color w:val="auto"/>
        </w:rPr>
      </w:pPr>
      <w:r>
        <w:rPr>
          <w:rFonts w:ascii="Arial" w:cs="Arial" w:eastAsia="Arial" w:hAnsi="Arial"/>
          <w:sz w:val="20"/>
          <w:szCs w:val="20"/>
          <w:color w:val="auto"/>
        </w:rPr>
        <w:t>1995. All statements contained in this press release other than statements of historical fact should be considered forward-looking statements. Words such as “anticipate,” “believe,” “plan,” “expect,” “intend,” “may,” “potential,” “prepare,” “possible” and</w:t>
      </w:r>
    </w:p>
    <w:p>
      <w:pPr>
        <w:spacing w:after="0" w:line="211" w:lineRule="auto"/>
        <w:rPr>
          <w:sz w:val="20"/>
          <w:szCs w:val="20"/>
          <w:color w:val="auto"/>
        </w:rPr>
      </w:pPr>
      <w:r>
        <w:rPr>
          <w:rFonts w:ascii="Arial" w:cs="Arial" w:eastAsia="Arial" w:hAnsi="Arial"/>
          <w:sz w:val="20"/>
          <w:szCs w:val="20"/>
          <w:color w:val="auto"/>
        </w:rPr>
        <w:t>similar words and expressions are intended to identify forward-looking statements. These forward-looking statements include,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but are not limited to, statements regarding the potential benefits, efficacy and commercial strategy for Ohtuvayre, including, but not limited to, statements relating to the potential to change the treatment paradigm for adult COPD patients, the Company’s</w:t>
      </w:r>
    </w:p>
    <w:p>
      <w:pPr>
        <w:spacing w:after="0" w:line="211" w:lineRule="auto"/>
        <w:rPr>
          <w:sz w:val="20"/>
          <w:szCs w:val="20"/>
          <w:color w:val="auto"/>
        </w:rPr>
      </w:pPr>
      <w:r>
        <w:rPr>
          <w:rFonts w:ascii="Arial" w:cs="Arial" w:eastAsia="Arial" w:hAnsi="Arial"/>
          <w:sz w:val="20"/>
          <w:szCs w:val="20"/>
          <w:color w:val="auto"/>
        </w:rPr>
        <w:t>ability to successfully market and sell Ohtuvayre, the timing of the Company’s Phase 2 trial for the development of a fixed-dose</w:t>
      </w:r>
    </w:p>
    <w:p>
      <w:pPr>
        <w:jc w:val="both"/>
        <w:spacing w:after="0" w:line="215" w:lineRule="auto"/>
        <w:rPr>
          <w:sz w:val="20"/>
          <w:szCs w:val="20"/>
          <w:color w:val="auto"/>
        </w:rPr>
      </w:pPr>
      <w:r>
        <w:rPr>
          <w:rFonts w:ascii="Arial" w:cs="Arial" w:eastAsia="Arial" w:hAnsi="Arial"/>
          <w:sz w:val="19"/>
          <w:szCs w:val="19"/>
          <w:color w:val="auto"/>
        </w:rPr>
        <w:t>combination of ensifentrine and glycopyrrolate for the maintenance treatment of COPD via delivery in a nebulizer and the Phase 2 clinical trial to assess the efficacy and safety of nebulized ensifentrine in patients with non-cystic fibrosis bronchiectasis, the</w:t>
      </w:r>
    </w:p>
    <w:p>
      <w:pPr>
        <w:jc w:val="both"/>
        <w:spacing w:after="0" w:line="225" w:lineRule="auto"/>
        <w:rPr>
          <w:sz w:val="20"/>
          <w:szCs w:val="20"/>
          <w:color w:val="auto"/>
        </w:rPr>
      </w:pPr>
      <w:r>
        <w:rPr>
          <w:rFonts w:ascii="Arial" w:cs="Arial" w:eastAsia="Arial" w:hAnsi="Arial"/>
          <w:sz w:val="20"/>
          <w:szCs w:val="20"/>
          <w:color w:val="auto"/>
        </w:rPr>
        <w:t>potential applications of ensifentrine, the Company’s participation in upcoming events and presentations, and the Company’s cash runway.</w:t>
      </w:r>
    </w:p>
    <w:p>
      <w:pPr>
        <w:spacing w:after="0" w:line="6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Ohtuvayre which may not be available and which may force us to delay, reduce or eliminate our development or commercialization efforts; our reliance on the success of Ohtuvayre, our only commercial product; our reliance on third-party manufacturers and suppliers; the efficacy of Ohtuvayre compared to competing drugs; our ability to successfully commercialize Ohtuvayre; serious adverse, undesirable or unacceptable side effects associated with Ohtuvayre which could adversely affect our ability to commercialize Ohtuvayre; failure to develop Ohtuvayre for additional indications, alternate delivery methods, or as a combination therapy; failure to obtain approval for and commercialize Ohtuvayre in multiple major pharmaceutical markets; our commercial capabilities and infrastructure, including sales, marketing, operations, distribution, and reimbursement infrastructure, may not be adequate to successfully commercialize Ohtuvayre; lawsuits related to patents covering Ohtuvayre and the potential for our patents to be found invalid or unenforceable; lawsuits related to our licensing of patents and know-how from third parties for the commercialization of Ohtuvayre; changes in our tax rates, unavailability of certain tax credits or reliefs or exposure to additional tax liabilities or assessments that could affect our profitability, and audits by tax authorities that could result in additional tax payments for prior periods; the terms of our credit agreement and the revenue interest purchase and sale agreement ("RIPSA”) place restrictions on our operating and financial flexibility, and if we fail</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35" w:lineRule="auto"/>
        <w:rPr>
          <w:sz w:val="20"/>
          <w:szCs w:val="20"/>
          <w:color w:val="auto"/>
        </w:rPr>
      </w:pPr>
      <w:r>
        <w:rPr>
          <w:rFonts w:ascii="Arial" w:cs="Arial" w:eastAsia="Arial" w:hAnsi="Arial"/>
          <w:sz w:val="20"/>
          <w:szCs w:val="20"/>
          <w:color w:val="auto"/>
        </w:rPr>
        <w:t>to comply with certain covenants in the RIPSA, our results of operations and financial condition may be harmed; and our vulnerability to natural disasters, global economic factors, geo-political actions and unexpected events, including health epidemics or pandemics. These and other important factors discussed under the caption “Risk Factors” in our Quarterly Report on Form 10-Q for the period ended June 30, 2024 filed with the Securities and Exchange Commission (“SEC”) on August 8, 2024,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 -looking statements at some point in the future, we disclaim any obligation to do so, even if subsequent events cause our views to change, except as required under applicable law. These forward-looking statements should not be relied upon as representing our views as of any date subsequent to the date of this press release.</w:t>
      </w:r>
    </w:p>
    <w:p>
      <w:pPr>
        <w:sectPr>
          <w:pgSz w:w="11900" w:h="16838" w:orient="portrait"/>
          <w:cols w:equalWidth="0" w:num="1">
            <w:col w:w="11240"/>
          </w:cols>
          <w:pgMar w:left="320" w:top="1414"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(unaudited)</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7340" w:type="dxa"/>
            <w:vAlign w:val="bottom"/>
            <w:tcBorders>
              <w:top w:val="single" w:sz="8" w:color="auto"/>
              <w:left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540" w:type="dxa"/>
            <w:vAlign w:val="bottom"/>
            <w:tcBorders>
              <w:top w:val="single" w:sz="8" w:color="auto"/>
              <w:right w:val="single" w:sz="8" w:color="auto"/>
            </w:tcBorders>
            <w:gridSpan w:val="4"/>
          </w:tcPr>
          <w:p>
            <w:pPr>
              <w:jc w:val="right"/>
              <w:ind w:right="819"/>
              <w:spacing w:after="0"/>
              <w:rPr>
                <w:sz w:val="20"/>
                <w:szCs w:val="20"/>
                <w:color w:val="auto"/>
              </w:rPr>
            </w:pPr>
            <w:r>
              <w:rPr>
                <w:rFonts w:ascii="Arial" w:cs="Arial" w:eastAsia="Arial" w:hAnsi="Arial"/>
                <w:sz w:val="16"/>
                <w:szCs w:val="16"/>
                <w:color w:val="auto"/>
              </w:rPr>
              <w:t>Three months ended June 30,</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659"/>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65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40" w:type="dxa"/>
            <w:vAlign w:val="bottom"/>
            <w:tcBorders>
              <w:lef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19,388</w:t>
            </w:r>
          </w:p>
        </w:tc>
        <w:tc>
          <w:tcPr>
            <w:tcW w:w="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49,035</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12,439</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operating expenses</w:t>
            </w: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68,423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9,965</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loss</w:t>
            </w: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(68,423)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(9,965)</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Other income/(expense)</w:t>
            </w: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 tax credit</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(3,653)</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3,140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3,402</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(1,757)</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Foreign exchange gain</w:t>
            </w:r>
          </w:p>
        </w:tc>
        <w:tc>
          <w:tcPr>
            <w:tcW w:w="3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other (expense)/income, net</w:t>
            </w: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(69,821)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Income tax expense</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(70,835)</w:t>
            </w:r>
          </w:p>
        </w:tc>
        <w:tc>
          <w:tcPr>
            <w:tcW w:w="2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(8,807)</w:t>
            </w:r>
          </w:p>
        </w:tc>
        <w:tc>
          <w:tcPr>
            <w:tcW w:w="0" w:type="dxa"/>
            <w:vAlign w:val="bottom"/>
          </w:tcPr>
          <w:p>
            <w:pPr>
              <w:spacing w:after="0"/>
              <w:rPr>
                <w:sz w:val="1"/>
                <w:szCs w:val="1"/>
                <w:color w:val="auto"/>
              </w:rPr>
            </w:pPr>
          </w:p>
        </w:tc>
      </w:tr>
      <w:tr>
        <w:trPr>
          <w:trHeight w:val="20"/>
        </w:trPr>
        <w:tc>
          <w:tcPr>
            <w:tcW w:w="7340" w:type="dxa"/>
            <w:vAlign w:val="bottom"/>
            <w:tcBorders>
              <w:lef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Weighted average shares outstanding – basic and diluted</w:t>
            </w: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648,217,411</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634,469,423</w:t>
            </w:r>
          </w:p>
        </w:tc>
        <w:tc>
          <w:tcPr>
            <w:tcW w:w="0" w:type="dxa"/>
            <w:vAlign w:val="bottom"/>
          </w:tcPr>
          <w:p>
            <w:pPr>
              <w:spacing w:after="0"/>
              <w:rPr>
                <w:sz w:val="1"/>
                <w:szCs w:val="1"/>
                <w:color w:val="auto"/>
              </w:rPr>
            </w:pPr>
          </w:p>
        </w:tc>
      </w:tr>
      <w:tr>
        <w:trPr>
          <w:trHeight w:val="52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per ordinary share - basic and diluted</w:t>
            </w:r>
          </w:p>
        </w:tc>
        <w:tc>
          <w:tcPr>
            <w:tcW w:w="380" w:type="dxa"/>
            <w:vAlign w:val="bottom"/>
            <w:tcBorders>
              <w:bottom w:val="single" w:sz="8" w:color="929292"/>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(0.11)</w:t>
            </w:r>
          </w:p>
        </w:tc>
        <w:tc>
          <w:tcPr>
            <w:tcW w:w="280" w:type="dxa"/>
            <w:vAlign w:val="bottom"/>
          </w:tcPr>
          <w:p>
            <w:pPr>
              <w:spacing w:after="0"/>
              <w:rPr>
                <w:sz w:val="24"/>
                <w:szCs w:val="24"/>
                <w:color w:val="auto"/>
              </w:rPr>
            </w:pPr>
          </w:p>
        </w:tc>
        <w:tc>
          <w:tcPr>
            <w:tcW w:w="360" w:type="dxa"/>
            <w:vAlign w:val="bottom"/>
            <w:tcBorders>
              <w:bottom w:val="single" w:sz="8" w:color="929292"/>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929292"/>
              <w:right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tcPr>
          <w:p>
            <w:pPr>
              <w:spacing w:after="0" w:line="20" w:lineRule="exact"/>
              <w:rPr>
                <w:sz w:val="1"/>
                <w:szCs w:val="1"/>
                <w:color w:val="auto"/>
              </w:rPr>
            </w:pPr>
          </w:p>
        </w:tc>
        <w:tc>
          <w:tcPr>
            <w:tcW w:w="380" w:type="dxa"/>
            <w:vAlign w:val="bottom"/>
            <w:tcBorders>
              <w:bottom w:val="single" w:sz="8" w:color="929292"/>
            </w:tcBorders>
          </w:tcPr>
          <w:p>
            <w:pPr>
              <w:spacing w:after="0" w:line="20" w:lineRule="exact"/>
              <w:rPr>
                <w:sz w:val="1"/>
                <w:szCs w:val="1"/>
                <w:color w:val="auto"/>
              </w:rPr>
            </w:pPr>
          </w:p>
        </w:tc>
        <w:tc>
          <w:tcPr>
            <w:tcW w:w="1440" w:type="dxa"/>
            <w:vAlign w:val="bottom"/>
            <w:tcBorders>
              <w:bottom w:val="single" w:sz="8" w:color="92929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734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2"/>
          </w:tcPr>
          <w:p>
            <w:pPr>
              <w:ind w:left="280"/>
              <w:spacing w:after="0"/>
              <w:rPr>
                <w:sz w:val="20"/>
                <w:szCs w:val="20"/>
                <w:color w:val="auto"/>
              </w:rPr>
            </w:pPr>
            <w:r>
              <w:rPr>
                <w:rFonts w:ascii="Arial" w:cs="Arial" w:eastAsia="Arial" w:hAnsi="Arial"/>
                <w:sz w:val="16"/>
                <w:szCs w:val="16"/>
                <w:color w:val="auto"/>
              </w:rPr>
              <w:t>Jun-30</w:t>
            </w:r>
          </w:p>
        </w:tc>
        <w:tc>
          <w:tcPr>
            <w:tcW w:w="360" w:type="dxa"/>
            <w:vAlign w:val="bottom"/>
          </w:tcPr>
          <w:p>
            <w:pPr>
              <w:spacing w:after="0"/>
              <w:rPr>
                <w:sz w:val="24"/>
                <w:szCs w:val="24"/>
                <w:color w:val="auto"/>
              </w:rPr>
            </w:pPr>
          </w:p>
        </w:tc>
        <w:tc>
          <w:tcPr>
            <w:tcW w:w="1460" w:type="dxa"/>
            <w:vAlign w:val="bottom"/>
            <w:tcBorders>
              <w:right w:val="single" w:sz="8" w:color="auto"/>
            </w:tcBorders>
          </w:tcPr>
          <w:p>
            <w:pPr>
              <w:jc w:val="right"/>
              <w:ind w:right="579"/>
              <w:spacing w:after="0"/>
              <w:rPr>
                <w:sz w:val="20"/>
                <w:szCs w:val="20"/>
                <w:color w:val="auto"/>
              </w:rPr>
            </w:pPr>
            <w:r>
              <w:rPr>
                <w:rFonts w:ascii="Arial" w:cs="Arial" w:eastAsia="Arial" w:hAnsi="Arial"/>
                <w:sz w:val="16"/>
                <w:szCs w:val="16"/>
                <w:color w:val="auto"/>
              </w:rPr>
              <w:t>Mar-31</w:t>
            </w:r>
          </w:p>
        </w:tc>
        <w:tc>
          <w:tcPr>
            <w:tcW w:w="0" w:type="dxa"/>
            <w:vAlign w:val="bottom"/>
          </w:tcPr>
          <w:p>
            <w:pPr>
              <w:spacing w:after="0"/>
              <w:rPr>
                <w:sz w:val="1"/>
                <w:szCs w:val="1"/>
                <w:color w:val="auto"/>
              </w:rPr>
            </w:pPr>
          </w:p>
        </w:tc>
      </w:tr>
      <w:tr>
        <w:trPr>
          <w:trHeight w:val="230"/>
        </w:trPr>
        <w:tc>
          <w:tcPr>
            <w:tcW w:w="734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ind w:right="659"/>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65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404,599</w:t>
            </w:r>
          </w:p>
        </w:tc>
        <w:tc>
          <w:tcPr>
            <w:tcW w:w="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254,882</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434,123</w:t>
            </w:r>
          </w:p>
        </w:tc>
        <w:tc>
          <w:tcPr>
            <w:tcW w:w="28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289,912</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Shareholders’ equity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168,274</w:t>
            </w:r>
          </w:p>
        </w:tc>
        <w:tc>
          <w:tcPr>
            <w:tcW w:w="28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224,988</w:t>
            </w:r>
          </w:p>
        </w:tc>
        <w:tc>
          <w:tcPr>
            <w:tcW w:w="0" w:type="dxa"/>
            <w:vAlign w:val="bottom"/>
          </w:tcPr>
          <w:p>
            <w:pPr>
              <w:spacing w:after="0"/>
              <w:rPr>
                <w:sz w:val="1"/>
                <w:szCs w:val="1"/>
                <w:color w:val="auto"/>
              </w:rPr>
            </w:pPr>
          </w:p>
        </w:tc>
      </w:tr>
      <w:tr>
        <w:trPr>
          <w:trHeight w:val="690"/>
        </w:trPr>
        <w:tc>
          <w:tcPr>
            <w:tcW w:w="734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4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2024-08-08T07:46:50Z</dcterms:created>
  <dcterms:modified xsi:type="dcterms:W3CDTF">2024-08-08T07:46:50Z</dcterms:modified>
</cp:coreProperties>
</file>