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2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24"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25"/>
          <w:szCs w:val="25"/>
          <w:u w:val="single" w:color="auto"/>
          <w:color w:val="auto"/>
        </w:rPr>
        <w:t>Verona Pharma plc</w:t>
      </w:r>
    </w:p>
    <w:p>
      <w:pPr>
        <w:spacing w:after="0" w:line="34"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u w:val="single" w:color="auto"/>
          <w:color w:val="auto"/>
        </w:rPr>
        <w:t>Ordinary Shares, nominal value £0.05 per share</w:t>
      </w:r>
    </w:p>
    <w:p>
      <w:pPr>
        <w:spacing w:after="0" w:line="2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American Depositary Shares, each representing eight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1550035</wp:posOffset>
            </wp:positionH>
            <wp:positionV relativeFrom="paragraph">
              <wp:posOffset>-19050</wp:posOffset>
            </wp:positionV>
            <wp:extent cx="3204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4210" cy="8255"/>
                    </a:xfrm>
                    <a:prstGeom prst="rect">
                      <a:avLst/>
                    </a:prstGeom>
                    <a:noFill/>
                  </pic:spPr>
                </pic:pic>
              </a:graphicData>
            </a:graphic>
          </wp:anchor>
        </w:drawing>
      </w:r>
    </w:p>
    <w:p>
      <w:pPr>
        <w:jc w:val="center"/>
        <w:ind w:right="64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u w:val="single" w:color="auto"/>
          <w:color w:val="auto"/>
        </w:rPr>
        <w:t>925050106</w:t>
      </w:r>
    </w:p>
    <w:p>
      <w:pPr>
        <w:spacing w:after="0" w:line="2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u w:val="single" w:color="auto"/>
          <w:color w:val="auto"/>
        </w:rPr>
        <w:t>December 31, 2023</w:t>
      </w:r>
    </w:p>
    <w:p>
      <w:pPr>
        <w:spacing w:after="0" w:line="2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4"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13d-1(b)</w:t>
      </w:r>
    </w:p>
    <w:p>
      <w:pPr>
        <w:spacing w:after="0" w:line="70"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13d-1(c)</w:t>
      </w:r>
    </w:p>
    <w:p>
      <w:pPr>
        <w:spacing w:after="0" w:line="9"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13d-1(d)</w:t>
      </w:r>
    </w:p>
    <w:p>
      <w:pPr>
        <w:spacing w:after="0" w:line="20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123190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149225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603250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7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589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589270"/>
                    </a:xfrm>
                    <a:prstGeom prst="rect">
                      <a:avLst/>
                    </a:prstGeom>
                    <a:noFill/>
                  </pic:spPr>
                </pic:pic>
              </a:graphicData>
            </a:graphic>
          </wp:anchor>
        </w:drawing>
      </w:r>
    </w:p>
    <w:p>
      <w:pPr>
        <w:spacing w:after="0" w:line="7" w:lineRule="exact"/>
        <w:rPr>
          <w:sz w:val="20"/>
          <w:szCs w:val="20"/>
          <w:color w:val="auto"/>
        </w:rPr>
      </w:pPr>
    </w:p>
    <w:p>
      <w:pPr>
        <w:ind w:left="560" w:hanging="367"/>
        <w:spacing w:after="0"/>
        <w:tabs>
          <w:tab w:leader="none" w:pos="5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 w:lineRule="exact"/>
        <w:rPr>
          <w:rFonts w:ascii="Times New Roman" w:cs="Times New Roman" w:eastAsia="Times New Roman" w:hAnsi="Times New Roman"/>
          <w:sz w:val="18"/>
          <w:szCs w:val="18"/>
          <w:b w:val="1"/>
          <w:bCs w:val="1"/>
          <w:color w:val="auto"/>
        </w:rPr>
      </w:pPr>
    </w:p>
    <w:p>
      <w:pPr>
        <w:ind w:left="560" w:right="5100"/>
        <w:spacing w:after="0" w:line="49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RA Capital Management, L.P.</w:t>
      </w:r>
    </w:p>
    <w:p>
      <w:pPr>
        <w:spacing w:after="0" w:line="5" w:lineRule="exact"/>
        <w:rPr>
          <w:sz w:val="20"/>
          <w:szCs w:val="20"/>
          <w:color w:val="auto"/>
        </w:rPr>
      </w:pPr>
    </w:p>
    <w:p>
      <w:pPr>
        <w:ind w:left="560" w:hanging="367"/>
        <w:spacing w:after="0"/>
        <w:tabs>
          <w:tab w:leader="none" w:pos="5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9840"/>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p>
    <w:p>
      <w:pPr>
        <w:spacing w:after="0" w:line="16" w:lineRule="exact"/>
        <w:rPr>
          <w:sz w:val="20"/>
          <w:szCs w:val="20"/>
          <w:color w:val="auto"/>
        </w:rPr>
      </w:pPr>
    </w:p>
    <w:p>
      <w:pPr>
        <w:ind w:left="9820"/>
        <w:spacing w:after="0" w:line="207" w:lineRule="exact"/>
        <w:rPr>
          <w:sz w:val="20"/>
          <w:szCs w:val="20"/>
          <w:color w:val="auto"/>
        </w:rPr>
      </w:pPr>
      <w:r>
        <w:rPr>
          <w:rFonts w:ascii="Times New Roman" w:cs="Times New Roman" w:eastAsia="Times New Roman" w:hAnsi="Times New Roman"/>
          <w:sz w:val="18"/>
          <w:szCs w:val="18"/>
          <w:color w:val="auto"/>
        </w:rPr>
        <w:t>(b)      </w:t>
      </w:r>
      <w:r>
        <w:rPr>
          <w:rFonts w:ascii="MS PGothic" w:cs="MS PGothic" w:eastAsia="MS PGothic" w:hAnsi="MS PGothic"/>
          <w:sz w:val="18"/>
          <w:szCs w:val="18"/>
          <w:color w:val="auto"/>
        </w:rPr>
        <w:t>☐</w:t>
      </w:r>
    </w:p>
    <w:p>
      <w:pPr>
        <w:spacing w:after="0" w:line="23" w:lineRule="exact"/>
        <w:rPr>
          <w:sz w:val="20"/>
          <w:szCs w:val="20"/>
          <w:color w:val="auto"/>
        </w:rPr>
      </w:pPr>
    </w:p>
    <w:p>
      <w:pPr>
        <w:ind w:left="560" w:hanging="367"/>
        <w:spacing w:after="0"/>
        <w:tabs>
          <w:tab w:leader="none" w:pos="5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560" w:right="7000" w:hanging="367"/>
        <w:spacing w:after="0" w:line="506" w:lineRule="auto"/>
        <w:tabs>
          <w:tab w:leader="none" w:pos="5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3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b w:val="1"/>
                <w:bCs w:val="1"/>
                <w:color w:val="auto"/>
              </w:rPr>
              <w:t>6</w:t>
            </w:r>
          </w:p>
        </w:tc>
        <w:tc>
          <w:tcPr>
            <w:tcW w:w="93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Borders>
              <w:bottom w:val="single" w:sz="8" w:color="auto"/>
            </w:tcBorders>
          </w:tcPr>
          <w:p>
            <w:pPr>
              <w:spacing w:after="0"/>
              <w:rPr>
                <w:sz w:val="21"/>
                <w:szCs w:val="21"/>
                <w:color w:val="auto"/>
              </w:rPr>
            </w:pPr>
          </w:p>
        </w:tc>
        <w:tc>
          <w:tcPr>
            <w:tcW w:w="9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7,503,976</w:t>
            </w:r>
          </w:p>
        </w:tc>
        <w:tc>
          <w:tcPr>
            <w:tcW w:w="0" w:type="dxa"/>
            <w:vAlign w:val="bottom"/>
          </w:tcPr>
          <w:p>
            <w:pPr>
              <w:spacing w:after="0"/>
              <w:rPr>
                <w:sz w:val="1"/>
                <w:szCs w:val="1"/>
                <w:color w:val="auto"/>
              </w:rPr>
            </w:pPr>
          </w:p>
        </w:tc>
      </w:tr>
      <w:tr>
        <w:trPr>
          <w:trHeight w:val="178"/>
        </w:trPr>
        <w:tc>
          <w:tcPr>
            <w:tcW w:w="13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3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Borders>
              <w:bottom w:val="single" w:sz="8" w:color="auto"/>
            </w:tcBorders>
          </w:tcPr>
          <w:p>
            <w:pPr>
              <w:spacing w:after="0"/>
              <w:rPr>
                <w:sz w:val="20"/>
                <w:szCs w:val="20"/>
                <w:color w:val="auto"/>
              </w:rPr>
            </w:pPr>
          </w:p>
        </w:tc>
        <w:tc>
          <w:tcPr>
            <w:tcW w:w="9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38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7,503,976</w:t>
      </w:r>
    </w:p>
    <w:p>
      <w:pPr>
        <w:spacing w:after="0" w:line="27" w:lineRule="exact"/>
        <w:rPr>
          <w:sz w:val="20"/>
          <w:szCs w:val="20"/>
          <w:color w:val="auto"/>
        </w:rPr>
      </w:pPr>
    </w:p>
    <w:p>
      <w:pPr>
        <w:ind w:left="580" w:hanging="381"/>
        <w:spacing w:after="0"/>
        <w:tabs>
          <w:tab w:leader="none" w:pos="5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7,503,976</w:t>
      </w:r>
    </w:p>
    <w:p>
      <w:pPr>
        <w:spacing w:after="0" w:line="27" w:lineRule="exact"/>
        <w:rPr>
          <w:sz w:val="20"/>
          <w:szCs w:val="20"/>
          <w:color w:val="auto"/>
        </w:rPr>
      </w:pPr>
    </w:p>
    <w:p>
      <w:pPr>
        <w:ind w:left="580" w:hanging="461"/>
        <w:spacing w:after="0" w:line="207" w:lineRule="exact"/>
        <w:tabs>
          <w:tab w:leader="none" w:pos="5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   </w:t>
      </w:r>
      <w:r>
        <w:rPr>
          <w:rFonts w:ascii="MS PGothic" w:cs="MS PGothic" w:eastAsia="MS PGothic" w:hAnsi="MS PGothic"/>
          <w:sz w:val="18"/>
          <w:szCs w:val="18"/>
          <w:color w:val="auto"/>
        </w:rPr>
        <w:t>☐</w:t>
      </w:r>
    </w:p>
    <w:p>
      <w:pPr>
        <w:spacing w:after="0" w:line="234" w:lineRule="exact"/>
        <w:rPr>
          <w:sz w:val="20"/>
          <w:szCs w:val="20"/>
          <w:color w:val="auto"/>
        </w:rPr>
      </w:pPr>
    </w:p>
    <w:p>
      <w:pPr>
        <w:ind w:left="580" w:right="5720" w:hanging="421"/>
        <w:spacing w:after="0" w:line="506" w:lineRule="auto"/>
        <w:tabs>
          <w:tab w:leader="none" w:pos="5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9.99%</w:t>
      </w:r>
    </w:p>
    <w:p>
      <w:pPr>
        <w:spacing w:after="0" w:line="4" w:lineRule="exact"/>
        <w:rPr>
          <w:rFonts w:ascii="Times New Roman" w:cs="Times New Roman" w:eastAsia="Times New Roman" w:hAnsi="Times New Roman"/>
          <w:sz w:val="18"/>
          <w:szCs w:val="18"/>
          <w:b w:val="1"/>
          <w:bCs w:val="1"/>
          <w:color w:val="auto"/>
        </w:rPr>
      </w:pPr>
    </w:p>
    <w:p>
      <w:pPr>
        <w:ind w:left="580" w:right="6320" w:hanging="426"/>
        <w:spacing w:after="0" w:line="532" w:lineRule="auto"/>
        <w:tabs>
          <w:tab w:leader="none" w:pos="5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26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726430"/>
                    </a:xfrm>
                    <a:prstGeom prst="rect">
                      <a:avLst/>
                    </a:prstGeom>
                    <a:noFill/>
                  </pic:spPr>
                </pic:pic>
              </a:graphicData>
            </a:graphic>
          </wp:anchor>
        </w:drawing>
      </w:r>
    </w:p>
    <w:p>
      <w:pPr>
        <w:spacing w:after="0" w:line="7" w:lineRule="exact"/>
        <w:rPr>
          <w:sz w:val="20"/>
          <w:szCs w:val="20"/>
          <w:color w:val="auto"/>
        </w:rPr>
      </w:pPr>
    </w:p>
    <w:p>
      <w:pPr>
        <w:ind w:left="560" w:hanging="367"/>
        <w:spacing w:after="0"/>
        <w:tabs>
          <w:tab w:leader="none" w:pos="5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 w:lineRule="exact"/>
        <w:rPr>
          <w:rFonts w:ascii="Times New Roman" w:cs="Times New Roman" w:eastAsia="Times New Roman" w:hAnsi="Times New Roman"/>
          <w:sz w:val="18"/>
          <w:szCs w:val="18"/>
          <w:b w:val="1"/>
          <w:bCs w:val="1"/>
          <w:color w:val="auto"/>
        </w:rPr>
      </w:pPr>
    </w:p>
    <w:p>
      <w:pPr>
        <w:ind w:left="560" w:right="5100"/>
        <w:spacing w:after="0" w:line="49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Peter Kolchinsky</w:t>
      </w:r>
    </w:p>
    <w:p>
      <w:pPr>
        <w:spacing w:after="0" w:line="5" w:lineRule="exact"/>
        <w:rPr>
          <w:sz w:val="20"/>
          <w:szCs w:val="20"/>
          <w:color w:val="auto"/>
        </w:rPr>
      </w:pPr>
    </w:p>
    <w:p>
      <w:pPr>
        <w:ind w:left="560" w:hanging="367"/>
        <w:spacing w:after="0"/>
        <w:tabs>
          <w:tab w:leader="none" w:pos="5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9840"/>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p>
    <w:p>
      <w:pPr>
        <w:spacing w:after="0" w:line="16" w:lineRule="exact"/>
        <w:rPr>
          <w:sz w:val="20"/>
          <w:szCs w:val="20"/>
          <w:color w:val="auto"/>
        </w:rPr>
      </w:pPr>
    </w:p>
    <w:p>
      <w:pPr>
        <w:ind w:left="9820"/>
        <w:spacing w:after="0" w:line="207" w:lineRule="exact"/>
        <w:rPr>
          <w:sz w:val="20"/>
          <w:szCs w:val="20"/>
          <w:color w:val="auto"/>
        </w:rPr>
      </w:pPr>
      <w:r>
        <w:rPr>
          <w:rFonts w:ascii="Times New Roman" w:cs="Times New Roman" w:eastAsia="Times New Roman" w:hAnsi="Times New Roman"/>
          <w:sz w:val="18"/>
          <w:szCs w:val="18"/>
          <w:color w:val="auto"/>
        </w:rPr>
        <w:t>(b)      </w:t>
      </w:r>
      <w:r>
        <w:rPr>
          <w:rFonts w:ascii="MS PGothic" w:cs="MS PGothic" w:eastAsia="MS PGothic" w:hAnsi="MS PGothic"/>
          <w:sz w:val="18"/>
          <w:szCs w:val="18"/>
          <w:color w:val="auto"/>
        </w:rPr>
        <w:t>☐</w:t>
      </w:r>
    </w:p>
    <w:p>
      <w:pPr>
        <w:spacing w:after="0" w:line="23" w:lineRule="exact"/>
        <w:rPr>
          <w:sz w:val="20"/>
          <w:szCs w:val="20"/>
          <w:color w:val="auto"/>
        </w:rPr>
      </w:pPr>
    </w:p>
    <w:p>
      <w:pPr>
        <w:ind w:left="560" w:hanging="367"/>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560" w:right="7000" w:hanging="367"/>
        <w:spacing w:after="0" w:line="506" w:lineRule="auto"/>
        <w:tabs>
          <w:tab w:leader="none" w:pos="5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United States of America</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3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b w:val="1"/>
                <w:bCs w:val="1"/>
                <w:color w:val="auto"/>
              </w:rPr>
              <w:t>6</w:t>
            </w:r>
          </w:p>
        </w:tc>
        <w:tc>
          <w:tcPr>
            <w:tcW w:w="93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Borders>
              <w:bottom w:val="single" w:sz="8" w:color="auto"/>
            </w:tcBorders>
          </w:tcPr>
          <w:p>
            <w:pPr>
              <w:spacing w:after="0"/>
              <w:rPr>
                <w:sz w:val="21"/>
                <w:szCs w:val="21"/>
                <w:color w:val="auto"/>
              </w:rPr>
            </w:pPr>
          </w:p>
        </w:tc>
        <w:tc>
          <w:tcPr>
            <w:tcW w:w="9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7,503,976</w:t>
            </w:r>
          </w:p>
        </w:tc>
        <w:tc>
          <w:tcPr>
            <w:tcW w:w="0" w:type="dxa"/>
            <w:vAlign w:val="bottom"/>
          </w:tcPr>
          <w:p>
            <w:pPr>
              <w:spacing w:after="0"/>
              <w:rPr>
                <w:sz w:val="1"/>
                <w:szCs w:val="1"/>
                <w:color w:val="auto"/>
              </w:rPr>
            </w:pPr>
          </w:p>
        </w:tc>
      </w:tr>
      <w:tr>
        <w:trPr>
          <w:trHeight w:val="178"/>
        </w:trPr>
        <w:tc>
          <w:tcPr>
            <w:tcW w:w="13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3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Borders>
              <w:bottom w:val="single" w:sz="8" w:color="auto"/>
            </w:tcBorders>
          </w:tcPr>
          <w:p>
            <w:pPr>
              <w:spacing w:after="0"/>
              <w:rPr>
                <w:sz w:val="20"/>
                <w:szCs w:val="20"/>
                <w:color w:val="auto"/>
              </w:rPr>
            </w:pPr>
          </w:p>
        </w:tc>
        <w:tc>
          <w:tcPr>
            <w:tcW w:w="9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38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7,503,976</w:t>
      </w:r>
    </w:p>
    <w:p>
      <w:pPr>
        <w:spacing w:after="0" w:line="27" w:lineRule="exact"/>
        <w:rPr>
          <w:sz w:val="20"/>
          <w:szCs w:val="20"/>
          <w:color w:val="auto"/>
        </w:rPr>
      </w:pPr>
    </w:p>
    <w:p>
      <w:pPr>
        <w:ind w:left="580" w:hanging="381"/>
        <w:spacing w:after="0"/>
        <w:tabs>
          <w:tab w:leader="none" w:pos="5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7,503,976</w:t>
      </w:r>
    </w:p>
    <w:p>
      <w:pPr>
        <w:spacing w:after="0" w:line="27" w:lineRule="exact"/>
        <w:rPr>
          <w:sz w:val="20"/>
          <w:szCs w:val="20"/>
          <w:color w:val="auto"/>
        </w:rPr>
      </w:pPr>
    </w:p>
    <w:p>
      <w:pPr>
        <w:ind w:left="580" w:hanging="461"/>
        <w:spacing w:after="0" w:line="207" w:lineRule="exact"/>
        <w:tabs>
          <w:tab w:leader="none" w:pos="5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   </w:t>
      </w:r>
      <w:r>
        <w:rPr>
          <w:rFonts w:ascii="MS PGothic" w:cs="MS PGothic" w:eastAsia="MS PGothic" w:hAnsi="MS PGothic"/>
          <w:sz w:val="18"/>
          <w:szCs w:val="18"/>
          <w:color w:val="auto"/>
        </w:rPr>
        <w:t>☐</w:t>
      </w:r>
    </w:p>
    <w:p>
      <w:pPr>
        <w:spacing w:after="0" w:line="234" w:lineRule="exact"/>
        <w:rPr>
          <w:sz w:val="20"/>
          <w:szCs w:val="20"/>
          <w:color w:val="auto"/>
        </w:rPr>
      </w:pPr>
    </w:p>
    <w:p>
      <w:pPr>
        <w:ind w:left="580" w:right="5720" w:hanging="421"/>
        <w:spacing w:after="0" w:line="506" w:lineRule="auto"/>
        <w:tabs>
          <w:tab w:leader="none" w:pos="5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9.99%</w:t>
      </w:r>
    </w:p>
    <w:p>
      <w:pPr>
        <w:spacing w:after="0" w:line="4" w:lineRule="exact"/>
        <w:rPr>
          <w:rFonts w:ascii="Times New Roman" w:cs="Times New Roman" w:eastAsia="Times New Roman" w:hAnsi="Times New Roman"/>
          <w:sz w:val="18"/>
          <w:szCs w:val="18"/>
          <w:b w:val="1"/>
          <w:bCs w:val="1"/>
          <w:color w:val="auto"/>
        </w:rPr>
      </w:pPr>
    </w:p>
    <w:p>
      <w:pPr>
        <w:ind w:left="580" w:right="6320" w:hanging="426"/>
        <w:spacing w:after="0" w:line="532" w:lineRule="auto"/>
        <w:tabs>
          <w:tab w:leader="none" w:pos="5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863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863590"/>
                    </a:xfrm>
                    <a:prstGeom prst="rect">
                      <a:avLst/>
                    </a:prstGeom>
                    <a:noFill/>
                  </pic:spPr>
                </pic:pic>
              </a:graphicData>
            </a:graphic>
          </wp:anchor>
        </w:drawing>
      </w:r>
    </w:p>
    <w:p>
      <w:pPr>
        <w:spacing w:after="0" w:line="7" w:lineRule="exact"/>
        <w:rPr>
          <w:sz w:val="20"/>
          <w:szCs w:val="20"/>
          <w:color w:val="auto"/>
        </w:rPr>
      </w:pPr>
    </w:p>
    <w:p>
      <w:pPr>
        <w:ind w:left="560" w:hanging="367"/>
        <w:spacing w:after="0"/>
        <w:tabs>
          <w:tab w:leader="none" w:pos="5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 w:lineRule="exact"/>
        <w:rPr>
          <w:rFonts w:ascii="Times New Roman" w:cs="Times New Roman" w:eastAsia="Times New Roman" w:hAnsi="Times New Roman"/>
          <w:sz w:val="18"/>
          <w:szCs w:val="18"/>
          <w:b w:val="1"/>
          <w:bCs w:val="1"/>
          <w:color w:val="auto"/>
        </w:rPr>
      </w:pPr>
    </w:p>
    <w:p>
      <w:pPr>
        <w:ind w:left="560" w:right="5100"/>
        <w:spacing w:after="0" w:line="49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Rajeev Shah</w:t>
      </w:r>
    </w:p>
    <w:p>
      <w:pPr>
        <w:spacing w:after="0" w:line="5" w:lineRule="exact"/>
        <w:rPr>
          <w:sz w:val="20"/>
          <w:szCs w:val="20"/>
          <w:color w:val="auto"/>
        </w:rPr>
      </w:pPr>
    </w:p>
    <w:p>
      <w:pPr>
        <w:ind w:left="560" w:hanging="367"/>
        <w:spacing w:after="0"/>
        <w:tabs>
          <w:tab w:leader="none" w:pos="5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sz w:val="20"/>
          <w:szCs w:val="20"/>
          <w:color w:val="auto"/>
        </w:rPr>
      </w:pPr>
    </w:p>
    <w:p>
      <w:pPr>
        <w:ind w:left="9840"/>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p>
    <w:p>
      <w:pPr>
        <w:spacing w:after="0" w:line="70" w:lineRule="exact"/>
        <w:rPr>
          <w:sz w:val="20"/>
          <w:szCs w:val="20"/>
          <w:color w:val="auto"/>
        </w:rPr>
      </w:pPr>
    </w:p>
    <w:p>
      <w:pPr>
        <w:ind w:left="9820"/>
        <w:spacing w:after="0" w:line="207" w:lineRule="exact"/>
        <w:rPr>
          <w:sz w:val="20"/>
          <w:szCs w:val="20"/>
          <w:color w:val="auto"/>
        </w:rPr>
      </w:pPr>
      <w:r>
        <w:rPr>
          <w:rFonts w:ascii="Times New Roman" w:cs="Times New Roman" w:eastAsia="Times New Roman" w:hAnsi="Times New Roman"/>
          <w:sz w:val="18"/>
          <w:szCs w:val="18"/>
          <w:color w:val="auto"/>
        </w:rPr>
        <w:t>(b)      </w:t>
      </w:r>
      <w:r>
        <w:rPr>
          <w:rFonts w:ascii="MS PGothic" w:cs="MS PGothic" w:eastAsia="MS PGothic" w:hAnsi="MS PGothic"/>
          <w:sz w:val="18"/>
          <w:szCs w:val="18"/>
          <w:color w:val="auto"/>
        </w:rPr>
        <w:t>☐</w:t>
      </w:r>
    </w:p>
    <w:p>
      <w:pPr>
        <w:spacing w:after="0" w:line="23" w:lineRule="exact"/>
        <w:rPr>
          <w:sz w:val="20"/>
          <w:szCs w:val="20"/>
          <w:color w:val="auto"/>
        </w:rPr>
      </w:pPr>
    </w:p>
    <w:p>
      <w:pPr>
        <w:ind w:left="560" w:hanging="367"/>
        <w:spacing w:after="0"/>
        <w:tabs>
          <w:tab w:leader="none" w:pos="5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560" w:right="7000" w:hanging="367"/>
        <w:spacing w:after="0" w:line="506" w:lineRule="auto"/>
        <w:tabs>
          <w:tab w:leader="none" w:pos="5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United States of America</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3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b w:val="1"/>
                <w:bCs w:val="1"/>
                <w:color w:val="auto"/>
              </w:rPr>
              <w:t>6</w:t>
            </w:r>
          </w:p>
        </w:tc>
        <w:tc>
          <w:tcPr>
            <w:tcW w:w="93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Borders>
              <w:bottom w:val="single" w:sz="8" w:color="auto"/>
            </w:tcBorders>
          </w:tcPr>
          <w:p>
            <w:pPr>
              <w:spacing w:after="0"/>
              <w:rPr>
                <w:sz w:val="21"/>
                <w:szCs w:val="21"/>
                <w:color w:val="auto"/>
              </w:rPr>
            </w:pPr>
          </w:p>
        </w:tc>
        <w:tc>
          <w:tcPr>
            <w:tcW w:w="9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7,503,976</w:t>
            </w:r>
          </w:p>
        </w:tc>
        <w:tc>
          <w:tcPr>
            <w:tcW w:w="0" w:type="dxa"/>
            <w:vAlign w:val="bottom"/>
          </w:tcPr>
          <w:p>
            <w:pPr>
              <w:spacing w:after="0"/>
              <w:rPr>
                <w:sz w:val="1"/>
                <w:szCs w:val="1"/>
                <w:color w:val="auto"/>
              </w:rPr>
            </w:pPr>
          </w:p>
        </w:tc>
      </w:tr>
      <w:tr>
        <w:trPr>
          <w:trHeight w:val="178"/>
        </w:trPr>
        <w:tc>
          <w:tcPr>
            <w:tcW w:w="13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3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Borders>
              <w:bottom w:val="single" w:sz="8" w:color="auto"/>
            </w:tcBorders>
          </w:tcPr>
          <w:p>
            <w:pPr>
              <w:spacing w:after="0"/>
              <w:rPr>
                <w:sz w:val="20"/>
                <w:szCs w:val="20"/>
                <w:color w:val="auto"/>
              </w:rPr>
            </w:pPr>
          </w:p>
        </w:tc>
        <w:tc>
          <w:tcPr>
            <w:tcW w:w="9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38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7,503,976</w:t>
      </w:r>
    </w:p>
    <w:p>
      <w:pPr>
        <w:spacing w:after="0" w:line="27" w:lineRule="exact"/>
        <w:rPr>
          <w:sz w:val="20"/>
          <w:szCs w:val="20"/>
          <w:color w:val="auto"/>
        </w:rPr>
      </w:pPr>
    </w:p>
    <w:p>
      <w:pPr>
        <w:ind w:left="560" w:hanging="367"/>
        <w:spacing w:after="0"/>
        <w:tabs>
          <w:tab w:leader="none" w:pos="5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7,503,976</w:t>
      </w:r>
    </w:p>
    <w:p>
      <w:pPr>
        <w:spacing w:after="0" w:line="27" w:lineRule="exact"/>
        <w:rPr>
          <w:sz w:val="20"/>
          <w:szCs w:val="20"/>
          <w:color w:val="auto"/>
        </w:rPr>
      </w:pPr>
    </w:p>
    <w:p>
      <w:pPr>
        <w:ind w:left="560" w:hanging="441"/>
        <w:spacing w:after="0" w:line="207" w:lineRule="exact"/>
        <w:tabs>
          <w:tab w:leader="none" w:pos="5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   </w:t>
      </w:r>
      <w:r>
        <w:rPr>
          <w:rFonts w:ascii="MS PGothic" w:cs="MS PGothic" w:eastAsia="MS PGothic" w:hAnsi="MS PGothic"/>
          <w:sz w:val="18"/>
          <w:szCs w:val="18"/>
          <w:color w:val="auto"/>
        </w:rPr>
        <w:t>☐</w:t>
      </w:r>
    </w:p>
    <w:p>
      <w:pPr>
        <w:spacing w:after="0" w:line="234" w:lineRule="exact"/>
        <w:rPr>
          <w:sz w:val="20"/>
          <w:szCs w:val="20"/>
          <w:color w:val="auto"/>
        </w:rPr>
      </w:pPr>
    </w:p>
    <w:p>
      <w:pPr>
        <w:ind w:left="560" w:right="5740" w:hanging="408"/>
        <w:spacing w:after="0" w:line="506" w:lineRule="auto"/>
        <w:tabs>
          <w:tab w:leader="none" w:pos="5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9.99%</w:t>
      </w:r>
    </w:p>
    <w:p>
      <w:pPr>
        <w:spacing w:after="0" w:line="4" w:lineRule="exact"/>
        <w:rPr>
          <w:rFonts w:ascii="Times New Roman" w:cs="Times New Roman" w:eastAsia="Times New Roman" w:hAnsi="Times New Roman"/>
          <w:sz w:val="18"/>
          <w:szCs w:val="18"/>
          <w:b w:val="1"/>
          <w:bCs w:val="1"/>
          <w:color w:val="auto"/>
        </w:rPr>
      </w:pPr>
    </w:p>
    <w:p>
      <w:pPr>
        <w:ind w:left="560" w:right="6340" w:hanging="413"/>
        <w:spacing w:after="0" w:line="532" w:lineRule="auto"/>
        <w:tabs>
          <w:tab w:leader="none" w:pos="5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688975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26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726430"/>
                    </a:xfrm>
                    <a:prstGeom prst="rect">
                      <a:avLst/>
                    </a:prstGeom>
                    <a:noFill/>
                  </pic:spPr>
                </pic:pic>
              </a:graphicData>
            </a:graphic>
          </wp:anchor>
        </w:drawing>
      </w:r>
    </w:p>
    <w:p>
      <w:pPr>
        <w:spacing w:after="0" w:line="7" w:lineRule="exact"/>
        <w:rPr>
          <w:sz w:val="20"/>
          <w:szCs w:val="20"/>
          <w:color w:val="auto"/>
        </w:rPr>
      </w:pPr>
    </w:p>
    <w:p>
      <w:pPr>
        <w:ind w:left="560" w:hanging="367"/>
        <w:spacing w:after="0"/>
        <w:tabs>
          <w:tab w:leader="none" w:pos="5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 w:lineRule="exact"/>
        <w:rPr>
          <w:rFonts w:ascii="Times New Roman" w:cs="Times New Roman" w:eastAsia="Times New Roman" w:hAnsi="Times New Roman"/>
          <w:sz w:val="18"/>
          <w:szCs w:val="18"/>
          <w:b w:val="1"/>
          <w:bCs w:val="1"/>
          <w:color w:val="auto"/>
        </w:rPr>
      </w:pPr>
    </w:p>
    <w:p>
      <w:pPr>
        <w:ind w:left="560" w:right="5100"/>
        <w:spacing w:after="0" w:line="49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RA Capital Healthcare Fund, L.P.</w:t>
      </w:r>
    </w:p>
    <w:p>
      <w:pPr>
        <w:spacing w:after="0" w:line="5" w:lineRule="exact"/>
        <w:rPr>
          <w:sz w:val="20"/>
          <w:szCs w:val="20"/>
          <w:color w:val="auto"/>
        </w:rPr>
      </w:pPr>
    </w:p>
    <w:p>
      <w:pPr>
        <w:ind w:left="560" w:hanging="367"/>
        <w:spacing w:after="0"/>
        <w:tabs>
          <w:tab w:leader="none" w:pos="5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9840"/>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p>
    <w:p>
      <w:pPr>
        <w:spacing w:after="0" w:line="16" w:lineRule="exact"/>
        <w:rPr>
          <w:sz w:val="20"/>
          <w:szCs w:val="20"/>
          <w:color w:val="auto"/>
        </w:rPr>
      </w:pPr>
    </w:p>
    <w:p>
      <w:pPr>
        <w:ind w:left="9820"/>
        <w:spacing w:after="0" w:line="207" w:lineRule="exact"/>
        <w:rPr>
          <w:sz w:val="20"/>
          <w:szCs w:val="20"/>
          <w:color w:val="auto"/>
        </w:rPr>
      </w:pPr>
      <w:r>
        <w:rPr>
          <w:rFonts w:ascii="Times New Roman" w:cs="Times New Roman" w:eastAsia="Times New Roman" w:hAnsi="Times New Roman"/>
          <w:sz w:val="18"/>
          <w:szCs w:val="18"/>
          <w:color w:val="auto"/>
        </w:rPr>
        <w:t>(b)      </w:t>
      </w:r>
      <w:r>
        <w:rPr>
          <w:rFonts w:ascii="MS PGothic" w:cs="MS PGothic" w:eastAsia="MS PGothic" w:hAnsi="MS PGothic"/>
          <w:sz w:val="18"/>
          <w:szCs w:val="18"/>
          <w:color w:val="auto"/>
        </w:rPr>
        <w:t>☐</w:t>
      </w:r>
    </w:p>
    <w:p>
      <w:pPr>
        <w:spacing w:after="0" w:line="23" w:lineRule="exact"/>
        <w:rPr>
          <w:sz w:val="20"/>
          <w:szCs w:val="20"/>
          <w:color w:val="auto"/>
        </w:rPr>
      </w:pPr>
    </w:p>
    <w:p>
      <w:pPr>
        <w:ind w:left="560" w:hanging="367"/>
        <w:spacing w:after="0"/>
        <w:tabs>
          <w:tab w:leader="none" w:pos="5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560" w:right="7000" w:hanging="367"/>
        <w:spacing w:after="0" w:line="506" w:lineRule="auto"/>
        <w:tabs>
          <w:tab w:leader="none" w:pos="5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3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b w:val="1"/>
                <w:bCs w:val="1"/>
                <w:color w:val="auto"/>
              </w:rPr>
              <w:t>6</w:t>
            </w:r>
          </w:p>
        </w:tc>
        <w:tc>
          <w:tcPr>
            <w:tcW w:w="93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Borders>
              <w:bottom w:val="single" w:sz="8" w:color="auto"/>
            </w:tcBorders>
          </w:tcPr>
          <w:p>
            <w:pPr>
              <w:spacing w:after="0"/>
              <w:rPr>
                <w:sz w:val="21"/>
                <w:szCs w:val="21"/>
                <w:color w:val="auto"/>
              </w:rPr>
            </w:pPr>
          </w:p>
        </w:tc>
        <w:tc>
          <w:tcPr>
            <w:tcW w:w="9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7,503,976</w:t>
            </w:r>
          </w:p>
        </w:tc>
        <w:tc>
          <w:tcPr>
            <w:tcW w:w="0" w:type="dxa"/>
            <w:vAlign w:val="bottom"/>
          </w:tcPr>
          <w:p>
            <w:pPr>
              <w:spacing w:after="0"/>
              <w:rPr>
                <w:sz w:val="1"/>
                <w:szCs w:val="1"/>
                <w:color w:val="auto"/>
              </w:rPr>
            </w:pPr>
          </w:p>
        </w:tc>
      </w:tr>
      <w:tr>
        <w:trPr>
          <w:trHeight w:val="178"/>
        </w:trPr>
        <w:tc>
          <w:tcPr>
            <w:tcW w:w="13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3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Borders>
              <w:bottom w:val="single" w:sz="8" w:color="auto"/>
            </w:tcBorders>
          </w:tcPr>
          <w:p>
            <w:pPr>
              <w:spacing w:after="0"/>
              <w:rPr>
                <w:sz w:val="20"/>
                <w:szCs w:val="20"/>
                <w:color w:val="auto"/>
              </w:rPr>
            </w:pPr>
          </w:p>
        </w:tc>
        <w:tc>
          <w:tcPr>
            <w:tcW w:w="9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38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7,503,976</w:t>
      </w:r>
    </w:p>
    <w:p>
      <w:pPr>
        <w:spacing w:after="0" w:line="27" w:lineRule="exact"/>
        <w:rPr>
          <w:sz w:val="20"/>
          <w:szCs w:val="20"/>
          <w:color w:val="auto"/>
        </w:rPr>
      </w:pPr>
    </w:p>
    <w:p>
      <w:pPr>
        <w:ind w:left="560" w:hanging="367"/>
        <w:spacing w:after="0"/>
        <w:tabs>
          <w:tab w:leader="none" w:pos="5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7,503,976</w:t>
      </w:r>
    </w:p>
    <w:p>
      <w:pPr>
        <w:spacing w:after="0" w:line="27" w:lineRule="exact"/>
        <w:rPr>
          <w:sz w:val="20"/>
          <w:szCs w:val="20"/>
          <w:color w:val="auto"/>
        </w:rPr>
      </w:pPr>
    </w:p>
    <w:p>
      <w:pPr>
        <w:ind w:left="560" w:hanging="441"/>
        <w:spacing w:after="0" w:line="207" w:lineRule="exact"/>
        <w:tabs>
          <w:tab w:leader="none" w:pos="5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   </w:t>
      </w:r>
      <w:r>
        <w:rPr>
          <w:rFonts w:ascii="MS PGothic" w:cs="MS PGothic" w:eastAsia="MS PGothic" w:hAnsi="MS PGothic"/>
          <w:sz w:val="18"/>
          <w:szCs w:val="18"/>
          <w:color w:val="auto"/>
        </w:rPr>
        <w:t>☐</w:t>
      </w:r>
    </w:p>
    <w:p>
      <w:pPr>
        <w:spacing w:after="0" w:line="234" w:lineRule="exact"/>
        <w:rPr>
          <w:sz w:val="20"/>
          <w:szCs w:val="20"/>
          <w:color w:val="auto"/>
        </w:rPr>
      </w:pPr>
    </w:p>
    <w:p>
      <w:pPr>
        <w:ind w:left="560" w:right="5740" w:hanging="408"/>
        <w:spacing w:after="0" w:line="506" w:lineRule="auto"/>
        <w:tabs>
          <w:tab w:leader="none" w:pos="5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9.99%</w:t>
      </w:r>
    </w:p>
    <w:p>
      <w:pPr>
        <w:spacing w:after="0" w:line="4" w:lineRule="exact"/>
        <w:rPr>
          <w:rFonts w:ascii="Times New Roman" w:cs="Times New Roman" w:eastAsia="Times New Roman" w:hAnsi="Times New Roman"/>
          <w:sz w:val="18"/>
          <w:szCs w:val="18"/>
          <w:b w:val="1"/>
          <w:bCs w:val="1"/>
          <w:color w:val="auto"/>
        </w:rPr>
      </w:pPr>
    </w:p>
    <w:p>
      <w:pPr>
        <w:ind w:left="560" w:right="6340" w:hanging="413"/>
        <w:spacing w:after="0" w:line="532" w:lineRule="auto"/>
        <w:tabs>
          <w:tab w:leader="none" w:pos="5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Verona Pharma plc (the “Issuer”)</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More London Riverside, London SE1 2RE, United Kingdom</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Management, L.P. (“RA Capital”)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Healthcare Fund, L.P. (the “Fund”)</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RA Capital Management, L.P., 200 Berkeley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u w:val="single" w:color="auto"/>
          <w:color w:val="auto"/>
        </w:rPr>
        <w:t>Citizenship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and the Fund are Delaware limited partnerships. 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Ordinary Shares, nominal value £0.05 per share (“Ordinary Shares”)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925050106</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right="400"/>
        <w:spacing w:after="0" w:line="266" w:lineRule="auto"/>
        <w:rPr>
          <w:sz w:val="20"/>
          <w:szCs w:val="20"/>
          <w:color w:val="auto"/>
        </w:rPr>
      </w:pPr>
      <w:r>
        <w:rPr>
          <w:rFonts w:ascii="Times New Roman" w:cs="Times New Roman" w:eastAsia="Times New Roman" w:hAnsi="Times New Roman"/>
          <w:sz w:val="18"/>
          <w:szCs w:val="18"/>
          <w:color w:val="auto"/>
        </w:rPr>
        <w:t>The Fund directly holds (i) 6,317,990 American Depository Shares (“ADSs”) that each represent 8 Ordinary Shares (totaling 50,543,920 Ordinary Shares) and (ii) 48,088,896 non-voting ordinary shares (“Non-Voting Ordinary Shares”) that it has the right to redesignate as 48,088,896 Ordinary Shares, subject to a Beneficial Ownership Blocker (as defined below).</w:t>
      </w:r>
    </w:p>
    <w:p>
      <w:pPr>
        <w:spacing w:after="0" w:line="176" w:lineRule="exact"/>
        <w:rPr>
          <w:sz w:val="20"/>
          <w:szCs w:val="20"/>
          <w:color w:val="auto"/>
        </w:rPr>
      </w:pPr>
    </w:p>
    <w:p>
      <w:pPr>
        <w:ind w:left="980"/>
        <w:spacing w:after="0" w:line="254" w:lineRule="auto"/>
        <w:rPr>
          <w:sz w:val="20"/>
          <w:szCs w:val="20"/>
          <w:color w:val="auto"/>
        </w:rPr>
      </w:pPr>
      <w:r>
        <w:rPr>
          <w:rFonts w:ascii="Times New Roman" w:cs="Times New Roman" w:eastAsia="Times New Roman" w:hAnsi="Times New Roman"/>
          <w:sz w:val="18"/>
          <w:szCs w:val="18"/>
          <w:color w:val="auto"/>
        </w:rPr>
        <w:t>The shares reported herein as beneficially owned by the Reporting Persons represent (i) 6,317,990 ADSs (representing 50,543,920 Ordinary Shares), and (ii) 1,185,986 ADSs (representing 9,487,888 Ordinary Shares) that the Reporting Persons beneficially own based on the right to acquire, upon the redesignation of the Non-Voting Ordinary Shares. The Non-Voting Ordinary Shares may be redesignated as Ordinary Shares at the election of the holder, except that the agreement governing the terms of the redesignation of the Non-Voting Ordinary Shares contains a provision (the “Beneficial Ownership Blocker”) which precludes the redesignation of Non-Voting Ordinary Shares to the extent that, following the election of redesignation, the holder, together with its affiliates and any other person acting together with the holder as a “group” (as defined in the rules under the Securities Exchange Act of 1934 (the “Act”)), would beneficially own more than 9.99% of the Ordinary Shares outstanding (including any Ordinary Shares represented by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ind w:left="980" w:right="200"/>
        <w:spacing w:after="0" w:line="282" w:lineRule="auto"/>
        <w:rPr>
          <w:sz w:val="20"/>
          <w:szCs w:val="20"/>
          <w:color w:val="auto"/>
        </w:rPr>
      </w:pPr>
      <w:r>
        <w:rPr>
          <w:rFonts w:ascii="Times New Roman" w:cs="Times New Roman" w:eastAsia="Times New Roman" w:hAnsi="Times New Roman"/>
          <w:sz w:val="18"/>
          <w:szCs w:val="18"/>
          <w:color w:val="auto"/>
        </w:rPr>
        <w:t>The Reporting Persons are currently prohibited from redesignating the Non-Voting Ordinary Shares to the extent that redesignation would result in beneficial ownership of more than 7,503,976 ADSs (representing a total of 60,031,808 Ordinary Shares) by the Reporting Persons.</w:t>
      </w:r>
    </w:p>
    <w:p>
      <w:pPr>
        <w:spacing w:after="0" w:line="162"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 to this Schedule 13G/A. The beneficial ownership percentages reported are based on the equivalent of 73,928,895 outstanding ADSs (based on a total of 639,520,054 outstanding Ordinary Shares, net of 40,088,896 Non-Voting Ordinary Shares), as reported in the Issuer’s Form 10-Q filed on November 2, 2023, plus (ii) 1,185,986 ADSs (representing 9,487,888 Ordinary Shares) of which the Reporting Persons may currently acquire beneficial ownership upon the redesignation of Non-Voting Ordinary Shares, as limited by the Beneficial Ownership Blocker.</w:t>
      </w:r>
    </w:p>
    <w:p>
      <w:pPr>
        <w:spacing w:after="0" w:line="183" w:lineRule="exact"/>
        <w:rPr>
          <w:sz w:val="20"/>
          <w:szCs w:val="20"/>
          <w:color w:val="auto"/>
        </w:rPr>
      </w:pPr>
    </w:p>
    <w:p>
      <w:pPr>
        <w:ind w:left="980" w:right="20"/>
        <w:spacing w:after="0" w:line="253" w:lineRule="auto"/>
        <w:rPr>
          <w:sz w:val="20"/>
          <w:szCs w:val="20"/>
          <w:color w:val="auto"/>
        </w:rPr>
      </w:pPr>
      <w:r>
        <w:rPr>
          <w:rFonts w:ascii="Times New Roman" w:cs="Times New Roman" w:eastAsia="Times New Roman" w:hAnsi="Times New Roman"/>
          <w:sz w:val="18"/>
          <w:szCs w:val="18"/>
          <w:color w:val="auto"/>
        </w:rPr>
        <w:t>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Ordinary Shares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13G/A other than for the purpose of determining their obligations under Section 13(d) of the Act, and the filing of this Schedule 13G/A shall not be deemed an admission that either RA Capital, Dr. Kolchinsky, or Mr. Shah is the beneficial owner of such securities for any other purpose.</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right="400"/>
        <w:spacing w:after="0" w:line="239" w:lineRule="exact"/>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Certification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8" w:name="page9"/>
    <w:bookmarkEnd w:id="8"/>
    <w:p>
      <w:pPr>
        <w:jc w:val="center"/>
        <w:ind w:right="-699"/>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RA Capital Healthcare Fund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320" w:top="904" w:right="10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February 14, 2024, is by and among RA Capital Management, L.P., Peter Kolchinsky, Rajeev Shah, and RA Capital Healthcare Fund, L.P. (the foregoing are collectively referred to herein as the “Filers”).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13G and/or 13D with respect to Ordinary Shares, £0.05 nominal value per share of Verona Pharma plc beneficially owned by them from time to time.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Joint Filing Agreement may be terminated by any of the Filers upon one week’s prior written notice or such lesser period of notice as the Filers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RA Capital Healthcare Fund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bullet"/>
      <w:start w:val="1"/>
    </w:lvl>
  </w:abstractNum>
  <w:abstractNum w:abstractNumId="1">
    <w:nsid w:val="1BEFD79F"/>
    <w:multiLevelType w:val="hybridMultilevel"/>
    <w:lvl w:ilvl="0">
      <w:lvlJc w:val="left"/>
      <w:lvlText w:val="2"/>
      <w:numFmt w:val="bullet"/>
      <w:start w:val="1"/>
    </w:lvl>
  </w:abstractNum>
  <w:abstractNum w:abstractNumId="2">
    <w:nsid w:val="41A7C4C9"/>
    <w:multiLevelType w:val="hybridMultilevel"/>
    <w:lvl w:ilvl="0">
      <w:lvlJc w:val="left"/>
      <w:lvlText w:val="3"/>
      <w:numFmt w:val="bullet"/>
      <w:start w:val="1"/>
    </w:lvl>
  </w:abstractNum>
  <w:abstractNum w:abstractNumId="3">
    <w:nsid w:val="6B68079A"/>
    <w:multiLevelType w:val="hybridMultilevel"/>
    <w:lvl w:ilvl="0">
      <w:lvlJc w:val="left"/>
      <w:lvlText w:val="4"/>
      <w:numFmt w:val="bullet"/>
      <w:start w:val="1"/>
    </w:lvl>
  </w:abstractNum>
  <w:abstractNum w:abstractNumId="4">
    <w:nsid w:val="4E6AFB66"/>
    <w:multiLevelType w:val="hybridMultilevel"/>
    <w:lvl w:ilvl="0">
      <w:lvlJc w:val="left"/>
      <w:lvlText w:val="9"/>
      <w:numFmt w:val="bullet"/>
      <w:start w:val="1"/>
    </w:lvl>
  </w:abstractNum>
  <w:abstractNum w:abstractNumId="5">
    <w:nsid w:val="25E45D32"/>
    <w:multiLevelType w:val="hybridMultilevel"/>
    <w:lvl w:ilvl="0">
      <w:lvlJc w:val="left"/>
      <w:lvlText w:val="%1"/>
      <w:numFmt w:val="decimal"/>
      <w:start w:val="10"/>
    </w:lvl>
  </w:abstractNum>
  <w:abstractNum w:abstractNumId="6">
    <w:nsid w:val="519B500D"/>
    <w:multiLevelType w:val="hybridMultilevel"/>
    <w:lvl w:ilvl="0">
      <w:lvlJc w:val="left"/>
      <w:lvlText w:val="%1"/>
      <w:numFmt w:val="decimal"/>
      <w:start w:val="11"/>
    </w:lvl>
  </w:abstractNum>
  <w:abstractNum w:abstractNumId="7">
    <w:nsid w:val="431BD7B7"/>
    <w:multiLevelType w:val="hybridMultilevel"/>
    <w:lvl w:ilvl="0">
      <w:lvlJc w:val="left"/>
      <w:lvlText w:val="1"/>
      <w:numFmt w:val="bullet"/>
      <w:start w:val="1"/>
    </w:lvl>
  </w:abstractNum>
  <w:abstractNum w:abstractNumId="8">
    <w:nsid w:val="3F2DBA31"/>
    <w:multiLevelType w:val="hybridMultilevel"/>
    <w:lvl w:ilvl="0">
      <w:lvlJc w:val="left"/>
      <w:lvlText w:val="2"/>
      <w:numFmt w:val="bullet"/>
      <w:start w:val="1"/>
    </w:lvl>
  </w:abstractNum>
  <w:abstractNum w:abstractNumId="9">
    <w:nsid w:val="7C83E458"/>
    <w:multiLevelType w:val="hybridMultilevel"/>
    <w:lvl w:ilvl="0">
      <w:lvlJc w:val="left"/>
      <w:lvlText w:val="3"/>
      <w:numFmt w:val="bullet"/>
      <w:start w:val="1"/>
    </w:lvl>
  </w:abstractNum>
  <w:abstractNum w:abstractNumId="10">
    <w:nsid w:val="257130A3"/>
    <w:multiLevelType w:val="hybridMultilevel"/>
    <w:lvl w:ilvl="0">
      <w:lvlJc w:val="left"/>
      <w:lvlText w:val="4"/>
      <w:numFmt w:val="bullet"/>
      <w:start w:val="1"/>
    </w:lvl>
  </w:abstractNum>
  <w:abstractNum w:abstractNumId="11">
    <w:nsid w:val="62BBD95A"/>
    <w:multiLevelType w:val="hybridMultilevel"/>
    <w:lvl w:ilvl="0">
      <w:lvlJc w:val="left"/>
      <w:lvlText w:val="9"/>
      <w:numFmt w:val="bullet"/>
      <w:start w:val="1"/>
    </w:lvl>
  </w:abstractNum>
  <w:abstractNum w:abstractNumId="12">
    <w:nsid w:val="436C6125"/>
    <w:multiLevelType w:val="hybridMultilevel"/>
    <w:lvl w:ilvl="0">
      <w:lvlJc w:val="left"/>
      <w:lvlText w:val="%1"/>
      <w:numFmt w:val="decimal"/>
      <w:start w:val="10"/>
    </w:lvl>
  </w:abstractNum>
  <w:abstractNum w:abstractNumId="13">
    <w:nsid w:val="628C895D"/>
    <w:multiLevelType w:val="hybridMultilevel"/>
    <w:lvl w:ilvl="0">
      <w:lvlJc w:val="left"/>
      <w:lvlText w:val="%1"/>
      <w:numFmt w:val="decimal"/>
      <w:start w:val="11"/>
    </w:lvl>
  </w:abstractNum>
  <w:abstractNum w:abstractNumId="14">
    <w:nsid w:val="333AB105"/>
    <w:multiLevelType w:val="hybridMultilevel"/>
    <w:lvl w:ilvl="0">
      <w:lvlJc w:val="left"/>
      <w:lvlText w:val="1"/>
      <w:numFmt w:val="bullet"/>
      <w:start w:val="1"/>
    </w:lvl>
  </w:abstractNum>
  <w:abstractNum w:abstractNumId="15">
    <w:nsid w:val="721DA317"/>
    <w:multiLevelType w:val="hybridMultilevel"/>
    <w:lvl w:ilvl="0">
      <w:lvlJc w:val="left"/>
      <w:lvlText w:val="2"/>
      <w:numFmt w:val="bullet"/>
      <w:start w:val="1"/>
    </w:lvl>
  </w:abstractNum>
  <w:abstractNum w:abstractNumId="16">
    <w:nsid w:val="2443A858"/>
    <w:multiLevelType w:val="hybridMultilevel"/>
    <w:lvl w:ilvl="0">
      <w:lvlJc w:val="left"/>
      <w:lvlText w:val="3"/>
      <w:numFmt w:val="bullet"/>
      <w:start w:val="1"/>
    </w:lvl>
  </w:abstractNum>
  <w:abstractNum w:abstractNumId="17">
    <w:nsid w:val="2D1D5AE9"/>
    <w:multiLevelType w:val="hybridMultilevel"/>
    <w:lvl w:ilvl="0">
      <w:lvlJc w:val="left"/>
      <w:lvlText w:val="4"/>
      <w:numFmt w:val="bullet"/>
      <w:start w:val="1"/>
    </w:lvl>
  </w:abstractNum>
  <w:abstractNum w:abstractNumId="18">
    <w:nsid w:val="6763845E"/>
    <w:multiLevelType w:val="hybridMultilevel"/>
    <w:lvl w:ilvl="0">
      <w:lvlJc w:val="left"/>
      <w:lvlText w:val="9"/>
      <w:numFmt w:val="bullet"/>
      <w:start w:val="1"/>
    </w:lvl>
  </w:abstractNum>
  <w:abstractNum w:abstractNumId="19">
    <w:nsid w:val="75A2A8D4"/>
    <w:multiLevelType w:val="hybridMultilevel"/>
    <w:lvl w:ilvl="0">
      <w:lvlJc w:val="left"/>
      <w:lvlText w:val="%1"/>
      <w:numFmt w:val="decimal"/>
      <w:start w:val="10"/>
    </w:lvl>
  </w:abstractNum>
  <w:abstractNum w:abstractNumId="20">
    <w:nsid w:val="8EDBDAB"/>
    <w:multiLevelType w:val="hybridMultilevel"/>
    <w:lvl w:ilvl="0">
      <w:lvlJc w:val="left"/>
      <w:lvlText w:val="%1"/>
      <w:numFmt w:val="decimal"/>
      <w:start w:val="11"/>
    </w:lvl>
  </w:abstractNum>
  <w:abstractNum w:abstractNumId="21">
    <w:nsid w:val="79838CB2"/>
    <w:multiLevelType w:val="hybridMultilevel"/>
    <w:lvl w:ilvl="0">
      <w:lvlJc w:val="left"/>
      <w:lvlText w:val="1"/>
      <w:numFmt w:val="bullet"/>
      <w:start w:val="1"/>
    </w:lvl>
  </w:abstractNum>
  <w:abstractNum w:abstractNumId="22">
    <w:nsid w:val="4353D0CD"/>
    <w:multiLevelType w:val="hybridMultilevel"/>
    <w:lvl w:ilvl="0">
      <w:lvlJc w:val="left"/>
      <w:lvlText w:val="2"/>
      <w:numFmt w:val="bullet"/>
      <w:start w:val="1"/>
    </w:lvl>
  </w:abstractNum>
  <w:abstractNum w:abstractNumId="23">
    <w:nsid w:val="B03E0C6"/>
    <w:multiLevelType w:val="hybridMultilevel"/>
    <w:lvl w:ilvl="0">
      <w:lvlJc w:val="left"/>
      <w:lvlText w:val="3"/>
      <w:numFmt w:val="bullet"/>
      <w:start w:val="1"/>
    </w:lvl>
  </w:abstractNum>
  <w:abstractNum w:abstractNumId="24">
    <w:nsid w:val="189A769B"/>
    <w:multiLevelType w:val="hybridMultilevel"/>
    <w:lvl w:ilvl="0">
      <w:lvlJc w:val="left"/>
      <w:lvlText w:val="4"/>
      <w:numFmt w:val="bullet"/>
      <w:start w:val="1"/>
    </w:lvl>
  </w:abstractNum>
  <w:abstractNum w:abstractNumId="25">
    <w:nsid w:val="54E49EB4"/>
    <w:multiLevelType w:val="hybridMultilevel"/>
    <w:lvl w:ilvl="0">
      <w:lvlJc w:val="left"/>
      <w:lvlText w:val="9"/>
      <w:numFmt w:val="bullet"/>
      <w:start w:val="1"/>
    </w:lvl>
  </w:abstractNum>
  <w:abstractNum w:abstractNumId="26">
    <w:nsid w:val="71F32454"/>
    <w:multiLevelType w:val="hybridMultilevel"/>
    <w:lvl w:ilvl="0">
      <w:lvlJc w:val="left"/>
      <w:lvlText w:val="%1"/>
      <w:numFmt w:val="decimal"/>
      <w:start w:val="10"/>
    </w:lvl>
  </w:abstractNum>
  <w:abstractNum w:abstractNumId="27">
    <w:nsid w:val="2CA88611"/>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2024-02-14T17:28:35Z</dcterms:created>
  <dcterms:modified xsi:type="dcterms:W3CDTF">2024-02-14T17:28:35Z</dcterms:modified>
</cp:coreProperties>
</file>