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 w:lineRule="exact"/>
        <w:rPr>
          <w:sz w:val="24"/>
          <w:szCs w:val="24"/>
          <w:color w:val="auto"/>
        </w:rPr>
      </w:pPr>
    </w:p>
    <w:p>
      <w:pPr>
        <w:jc w:val="center"/>
        <w:ind w:left="5400" w:right="160" w:hanging="5225"/>
        <w:spacing w:after="0" w:line="243" w:lineRule="auto"/>
        <w:tabs>
          <w:tab w:leader="none" w:pos="5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60" w:type="dxa"/>
            <w:vAlign w:val="bottom"/>
          </w:tcPr>
          <w:p>
            <w:pPr>
              <w:spacing w:after="0"/>
              <w:rPr>
                <w:sz w:val="24"/>
                <w:szCs w:val="24"/>
                <w:color w:val="auto"/>
              </w:rPr>
            </w:pPr>
          </w:p>
        </w:tc>
      </w:t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40" w:type="dxa"/>
            <w:vAlign w:val="bottom"/>
          </w:tcPr>
          <w:p>
            <w:pPr>
              <w:jc w:val="center"/>
              <w:ind w:left="31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VRNA</w:t>
            </w:r>
          </w:p>
        </w:tc>
        <w:tc>
          <w:tcPr>
            <w:tcW w:w="4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firstLine="8"/>
        <w:spacing w:after="0" w:line="30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9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July 31, 2025, the registrant had 689,536,966 ordinary shares, nominal value £0.05 per share, outstanding, which if all held in ADS form, would be represented by 86,192,121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18</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30</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30</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81</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81</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82</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83</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ADSs. The principal risks and uncertainties affecting our business include the following:</w:t>
      </w:r>
    </w:p>
    <w:p>
      <w:pPr>
        <w:spacing w:after="0" w:line="76" w:lineRule="exact"/>
        <w:rPr>
          <w:sz w:val="20"/>
          <w:szCs w:val="20"/>
          <w:color w:val="auto"/>
        </w:rPr>
      </w:pP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acquisition by Merck may not be completed within the expected timeframe, or at all, and significant delay or the failure to complete the acquisition could adversely affect our business and the market price of our ADSs;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our acquisition by Merck could adversely affect our business, prospects, financial condition, and results of operations;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may not generate sufficient product revenue to sustain profitability;</w:t>
      </w:r>
    </w:p>
    <w:p>
      <w:pPr>
        <w:spacing w:after="0" w:line="103"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6"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facility place restrictions on our operating and financial flexibility, and our existing and any future indebtedness could adversely affect our ability to operate our business;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solely on the success of ensifentrine, which was recently approved by the FDA as Ohtuvayre. If we are unable to continue to commercialize Ohtuvayre, or successfully develop ensifentrine for other indications, our ability to generate revenue and our financial condition will be adversely affected;</w:t>
      </w:r>
    </w:p>
    <w:p>
      <w:pPr>
        <w:spacing w:after="0" w:line="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our product candidates;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have serious adverse, undesirable or unacceptable side effects which may delay or prevent marketing approval;</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enroll patients in our clinical trials for other indications, or enrollment is slower than anticipated, our research and development efforts could be adversely affected;</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ensifentrine in the clinic or at the commercial stage, and our product liability insurance may not cover all damages from such claims;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time consuming and inherently unpredictable, and if we are ultimately unable to obtain regulatory approval for our product candidates, our business will be substantially harmed;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of and commercialize our product candidates and may affect the prices we may set;</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discovering, developing or commercializing competing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including Ohtuvayre, do not gain market acceptance or if we fail to accurately forecast demand or manage our inventories, our business will suffer because we might not be able to fund future operations;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capabilities and infrastructure, including sales, marketing, operations, manufacturing, distribution, and reimbursement infrastructure, may not be adequate to successfully commercialize Ohtuvayre;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clinical investigators and clinical research organizations, to conduct our pre-clinical studies and clinical trials;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72" w:lineRule="exact"/>
        <w:rPr>
          <w:sz w:val="20"/>
          <w:szCs w:val="20"/>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acquisition by Merck is not completed, and we fail to enter into new strategic relationships for ensifentrine, our business, research and development and commercialization prospects could be adversely affected;</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party manufacturers and suppliers for production of the active pharmaceutical ingredient ensifentrine and formulated drug products derived therefrom. Our dependence on these third parties may impair continued commercialization of Ohtuvayre and the advancement of our research and development programs;</w:t>
      </w:r>
    </w:p>
    <w:p>
      <w:pPr>
        <w:spacing w:after="0" w:line="5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for the sales, marketing, reimbursement and distribution of our drug products, and a failure by these third parties to adequately perform would adversely affect our business;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manufacturers’, suppliers’ and other critical third parties’ cybersecurity risk management program and processes may not be effective in protecting our systems, networks and Confidential Information;</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ensifentrine, the enforcement, defense and maintenance of which may be challenging and costly;</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our ability to retain our key personnel and recruit additional qualified personnel;</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regulatory and sales and marketing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American Depositary Shares may be volatile and may fluctuate due to factors beyond our control;</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in the United States, and our senior management are required to devote substantial time to new compliance initiatives and corporate governance practices;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2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399,757</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incentive receivable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453,572</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Furniture and equipment, net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 long-term</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interest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20,670</w:t>
            </w:r>
          </w:p>
        </w:tc>
        <w:tc>
          <w:tcPr>
            <w:tcW w:w="0" w:type="dxa"/>
            <w:vAlign w:val="bottom"/>
          </w:tcPr>
          <w:p>
            <w:pPr>
              <w:spacing w:after="0"/>
              <w:rPr>
                <w:sz w:val="1"/>
                <w:szCs w:val="1"/>
                <w:color w:val="auto"/>
              </w:rPr>
            </w:pPr>
          </w:p>
        </w:tc>
      </w:tr>
      <w:tr>
        <w:trPr>
          <w:trHeight w:val="207"/>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572,871</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474,242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payable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 interest purchase security agreement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42,681</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 loan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120,341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 interest purchase security agreement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243,360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227,002</w:t>
            </w:r>
          </w:p>
        </w:tc>
        <w:tc>
          <w:tcPr>
            <w:tcW w:w="0" w:type="dxa"/>
            <w:vAlign w:val="bottom"/>
          </w:tcPr>
          <w:p>
            <w:pPr>
              <w:spacing w:after="0"/>
              <w:rPr>
                <w:sz w:val="1"/>
                <w:szCs w:val="1"/>
                <w:color w:val="auto"/>
              </w:rPr>
            </w:pPr>
          </w:p>
        </w:tc>
      </w:tr>
      <w:tr>
        <w:trPr>
          <w:trHeight w:val="207"/>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269,683</w:t>
            </w:r>
          </w:p>
        </w:tc>
        <w:tc>
          <w:tcPr>
            <w:tcW w:w="0" w:type="dxa"/>
            <w:vAlign w:val="bottom"/>
          </w:tcPr>
          <w:p>
            <w:pPr>
              <w:spacing w:after="0"/>
              <w:rPr>
                <w:sz w:val="1"/>
                <w:szCs w:val="1"/>
                <w:color w:val="auto"/>
              </w:rPr>
            </w:pPr>
          </w:p>
        </w:tc>
      </w:tr>
      <w:tr>
        <w:trPr>
          <w:trHeight w:val="165"/>
        </w:trPr>
        <w:tc>
          <w:tcPr>
            <w:tcW w:w="8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£0.05 par value shares; 703,189,462 and 703,189,462 issued, and 687,930,486 and 677,008,254 outstanding, at</w:t>
            </w:r>
          </w:p>
        </w:tc>
        <w:tc>
          <w:tcPr>
            <w:tcW w:w="280" w:type="dxa"/>
            <w:vAlign w:val="bottom"/>
            <w:shd w:val="clear" w:color="auto" w:fill="CCEEFF"/>
          </w:tcPr>
          <w:p>
            <w:pPr>
              <w:spacing w:after="0"/>
              <w:rPr>
                <w:sz w:val="23"/>
                <w:szCs w:val="2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0" w:type="dxa"/>
            <w:vAlign w:val="bottom"/>
          </w:tcPr>
          <w:p>
            <w:pPr>
              <w:spacing w:after="0"/>
              <w:rPr>
                <w:sz w:val="1"/>
                <w:szCs w:val="1"/>
                <w:color w:val="auto"/>
              </w:rPr>
            </w:pPr>
          </w:p>
        </w:tc>
      </w:tr>
      <w:tr>
        <w:trPr>
          <w:trHeight w:val="129"/>
        </w:trPr>
        <w:tc>
          <w:tcPr>
            <w:tcW w:w="8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 and December 31, 2024, respectively</w:t>
            </w:r>
          </w:p>
        </w:tc>
        <w:tc>
          <w:tcPr>
            <w:tcW w:w="28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26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2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805,918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728,199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Ordinary shares held in treasury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(567,101)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(562,401)</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204,559</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572,871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102,939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103,138</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26,152</w:t>
            </w:r>
          </w:p>
        </w:tc>
      </w:tr>
      <w:tr>
        <w:trPr>
          <w:trHeight w:val="213"/>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69,469</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95,621</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(95,621)</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 tax credit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r>
      <w:tr>
        <w:trPr>
          <w:trHeight w:val="213"/>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r>
      <w:tr>
        <w:trPr>
          <w:trHeight w:val="213"/>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exchange gain/(loss)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(94,861)</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183"/>
        </w:trPr>
        <w:tc>
          <w:tcPr>
            <w:tcW w:w="53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income/(loss)</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11,921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(70,835)</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(4,398)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(96,629)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Income/(loss) per ordinary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35"/>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Income/(loss) per ordinary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Income/(loss) per ADS - 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7"/>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Income/(loss) per ADS - 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0"/>
        </w:trPr>
        <w:tc>
          <w:tcPr>
            <w:tcW w:w="5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Weighted-average ordinary shares outstanding - basic</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685,155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648,217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682,296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646,959</w:t>
            </w:r>
          </w:p>
        </w:tc>
      </w:tr>
      <w:tr>
        <w:trPr>
          <w:trHeight w:val="234"/>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Weighted-average ordinary shares outstanding - diluted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646,959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Weighted-average ADS outstanding - basic</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80,870</w:t>
            </w:r>
          </w:p>
        </w:tc>
      </w:tr>
      <w:tr>
        <w:trPr>
          <w:trHeight w:val="379"/>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ADS outstanding - diluted</w:t>
            </w:r>
            <w:r>
              <w:rPr>
                <w:rFonts w:ascii="Times New Roman" w:cs="Times New Roman" w:eastAsia="Times New Roman" w:hAnsi="Times New Roman"/>
                <w:sz w:val="21"/>
                <w:szCs w:val="21"/>
                <w:color w:val="auto"/>
                <w:vertAlign w:val="superscript"/>
              </w:rPr>
              <w:t>(1)</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90,903</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81,027</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85,287</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80,870</w:t>
            </w:r>
          </w:p>
        </w:tc>
      </w:tr>
      <w:tr>
        <w:trPr>
          <w:trHeight w:val="27"/>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8" w:right="3360" w:firstLine="8"/>
        <w:spacing w:after="0" w:line="393" w:lineRule="auto"/>
        <w:tabs>
          <w:tab w:leader="none" w:pos="15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Weighted-average ADS outstanding has been converted with a ratio of one ADS per eight ordinary shares 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5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2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703,189,462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204,559</w:t>
            </w:r>
          </w:p>
        </w:tc>
        <w:tc>
          <w:tcPr>
            <w:tcW w:w="0" w:type="dxa"/>
            <w:vAlign w:val="bottom"/>
          </w:tcPr>
          <w:p>
            <w:pPr>
              <w:spacing w:after="0"/>
              <w:rPr>
                <w:sz w:val="1"/>
                <w:szCs w:val="1"/>
                <w:color w:val="auto"/>
              </w:rPr>
            </w:pPr>
          </w:p>
        </w:tc>
      </w:tr>
      <w:tr>
        <w:trPr>
          <w:trHeight w:val="114"/>
        </w:trPr>
        <w:tc>
          <w:tcPr>
            <w:tcW w:w="22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0" w:type="dxa"/>
            <w:vAlign w:val="bottom"/>
          </w:tcPr>
          <w:p>
            <w:pPr>
              <w:spacing w:after="0"/>
              <w:rPr>
                <w:sz w:val="1"/>
                <w:szCs w:val="1"/>
                <w:color w:val="auto"/>
              </w:rPr>
            </w:pPr>
          </w:p>
        </w:tc>
      </w:tr>
      <w:tr>
        <w:trPr>
          <w:trHeight w:val="165"/>
        </w:trPr>
        <w:tc>
          <w:tcPr>
            <w:tcW w:w="22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shares withheld for</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0" w:type="dxa"/>
            <w:vAlign w:val="bottom"/>
          </w:tcPr>
          <w:p>
            <w:pPr>
              <w:spacing w:after="0"/>
              <w:rPr>
                <w:sz w:val="1"/>
                <w:szCs w:val="1"/>
                <w:color w:val="auto"/>
              </w:rPr>
            </w:pPr>
          </w:p>
        </w:tc>
      </w:tr>
      <w:tr>
        <w:trPr>
          <w:trHeight w:val="129"/>
        </w:trPr>
        <w:tc>
          <w:tcPr>
            <w:tcW w:w="2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on vested share awards</w:t>
            </w:r>
          </w:p>
        </w:tc>
        <w:tc>
          <w:tcPr>
            <w:tcW w:w="14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37,477</w:t>
            </w:r>
          </w:p>
        </w:tc>
        <w:tc>
          <w:tcPr>
            <w:tcW w:w="0" w:type="dxa"/>
            <w:vAlign w:val="bottom"/>
          </w:tcPr>
          <w:p>
            <w:pPr>
              <w:spacing w:after="0"/>
              <w:rPr>
                <w:sz w:val="1"/>
                <w:szCs w:val="1"/>
                <w:color w:val="auto"/>
              </w:rPr>
            </w:pPr>
          </w:p>
        </w:tc>
      </w:tr>
      <w:tr>
        <w:trPr>
          <w:trHeight w:val="30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703,189,462</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766,369</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(578,792)</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226,595</w:t>
            </w:r>
          </w:p>
        </w:tc>
        <w:tc>
          <w:tcPr>
            <w:tcW w:w="0" w:type="dxa"/>
            <w:vAlign w:val="bottom"/>
          </w:tcPr>
          <w:p>
            <w:pPr>
              <w:spacing w:after="0"/>
              <w:rPr>
                <w:sz w:val="1"/>
                <w:szCs w:val="1"/>
                <w:color w:val="auto"/>
              </w:rPr>
            </w:pPr>
          </w:p>
        </w:tc>
      </w:tr>
      <w:tr>
        <w:trPr>
          <w:trHeight w:val="112"/>
        </w:trPr>
        <w:tc>
          <w:tcPr>
            <w:tcW w:w="226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4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60" w:type="dxa"/>
            <w:vAlign w:val="bottom"/>
            <w:tcBorders>
              <w:top w:val="single" w:sz="8" w:color="CCEEFF"/>
            </w:tcBorders>
            <w:vMerge w:val="continue"/>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11,921</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34,814</w:t>
            </w:r>
          </w:p>
        </w:tc>
        <w:tc>
          <w:tcPr>
            <w:tcW w:w="0" w:type="dxa"/>
            <w:vAlign w:val="bottom"/>
          </w:tcPr>
          <w:p>
            <w:pPr>
              <w:spacing w:after="0"/>
              <w:rPr>
                <w:sz w:val="1"/>
                <w:szCs w:val="1"/>
                <w:color w:val="auto"/>
              </w:rPr>
            </w:pPr>
          </w:p>
        </w:tc>
      </w:tr>
      <w:tr>
        <w:trPr>
          <w:trHeight w:val="301"/>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703,189,462</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805,918</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(567,101)</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0" w:type="dxa"/>
            <w:vAlign w:val="bottom"/>
          </w:tcPr>
          <w:p>
            <w:pPr>
              <w:spacing w:after="0"/>
              <w:rPr>
                <w:sz w:val="1"/>
                <w:szCs w:val="1"/>
                <w:color w:val="auto"/>
              </w:rPr>
            </w:pPr>
          </w:p>
        </w:tc>
      </w:tr>
      <w:tr>
        <w:trPr>
          <w:trHeight w:val="87"/>
        </w:trPr>
        <w:tc>
          <w:tcPr>
            <w:tcW w:w="22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6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249,283</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(25,794)</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Common shares withheld for</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129"/>
        </w:trPr>
        <w:tc>
          <w:tcPr>
            <w:tcW w:w="22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on vested share awards</w:t>
            </w:r>
          </w:p>
        </w:tc>
        <w:tc>
          <w:tcPr>
            <w:tcW w:w="14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Equity settled share-based</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62"/>
        </w:trPr>
        <w:tc>
          <w:tcPr>
            <w:tcW w:w="22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compensation reclassified as</w:t>
            </w: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cash-settled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301"/>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602,497</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(414,397)</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224,988</w:t>
            </w:r>
          </w:p>
        </w:tc>
        <w:tc>
          <w:tcPr>
            <w:tcW w:w="0" w:type="dxa"/>
            <w:vAlign w:val="bottom"/>
          </w:tcPr>
          <w:p>
            <w:pPr>
              <w:spacing w:after="0"/>
              <w:rPr>
                <w:sz w:val="1"/>
                <w:szCs w:val="1"/>
                <w:color w:val="auto"/>
              </w:rPr>
            </w:pPr>
          </w:p>
        </w:tc>
      </w:tr>
      <w:tr>
        <w:trPr>
          <w:trHeight w:val="87"/>
        </w:trPr>
        <w:tc>
          <w:tcPr>
            <w:tcW w:w="228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40"/>
        <w:spacing w:after="0"/>
        <w:rPr>
          <w:sz w:val="20"/>
          <w:szCs w:val="20"/>
          <w:color w:val="auto"/>
        </w:rPr>
      </w:pPr>
      <w:r>
        <w:rPr>
          <w:rFonts w:ascii="Times New Roman" w:cs="Times New Roman" w:eastAsia="Times New Roman" w:hAnsi="Times New Roman"/>
          <w:sz w:val="16"/>
          <w:szCs w:val="16"/>
          <w:color w:val="auto"/>
        </w:rPr>
        <w:t>Restricted share units vested</w:t>
      </w:r>
    </w:p>
    <w:p>
      <w:pPr>
        <w:spacing w:after="0" w:line="32" w:lineRule="exact"/>
        <w:rPr>
          <w:sz w:val="20"/>
          <w:szCs w:val="20"/>
          <w:color w:val="auto"/>
        </w:rPr>
      </w:pPr>
    </w:p>
    <w:p>
      <w:pPr>
        <w:ind w:left="240" w:right="520"/>
        <w:spacing w:after="0" w:line="245" w:lineRule="auto"/>
        <w:rPr>
          <w:sz w:val="20"/>
          <w:szCs w:val="20"/>
          <w:color w:val="auto"/>
        </w:rPr>
      </w:pPr>
      <w:r>
        <w:rPr>
          <w:rFonts w:ascii="Times New Roman" w:cs="Times New Roman" w:eastAsia="Times New Roman" w:hAnsi="Times New Roman"/>
          <w:sz w:val="16"/>
          <w:szCs w:val="16"/>
          <w:color w:val="auto"/>
        </w:rPr>
        <w:t>Common shares withheld for taxes on vested share awards</w:t>
      </w:r>
    </w:p>
    <w:p>
      <w:pPr>
        <w:spacing w:after="0" w:line="2" w:lineRule="exact"/>
        <w:rPr>
          <w:sz w:val="20"/>
          <w:szCs w:val="20"/>
          <w:color w:val="auto"/>
        </w:rPr>
      </w:pPr>
    </w:p>
    <w:p>
      <w:pPr>
        <w:ind w:left="240" w:right="540"/>
        <w:spacing w:after="0" w:line="232" w:lineRule="auto"/>
        <w:rPr>
          <w:sz w:val="20"/>
          <w:szCs w:val="20"/>
          <w:color w:val="auto"/>
        </w:rPr>
      </w:pPr>
      <w:r>
        <w:rPr>
          <w:rFonts w:ascii="Times New Roman" w:cs="Times New Roman" w:eastAsia="Times New Roman" w:hAnsi="Times New Roman"/>
          <w:sz w:val="16"/>
          <w:szCs w:val="16"/>
          <w:color w:val="auto"/>
        </w:rPr>
        <w:t>Equity settled share-based compensation reclassified as cash-settled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79</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(1,273)</w:t>
            </w: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45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(200)</w:t>
            </w: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-475615</wp:posOffset>
            </wp:positionV>
            <wp:extent cx="71323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2640" w:space="720"/>
            <w:col w:w="78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r>
      <w:tr>
        <w:trPr>
          <w:trHeight w:val="298"/>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616,618</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24"/>
                <w:szCs w:val="24"/>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(485,311)</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168,274</w:t>
            </w:r>
          </w:p>
        </w:tc>
      </w:tr>
      <w:tr>
        <w:trPr>
          <w:trHeight w:val="87"/>
        </w:trPr>
        <w:tc>
          <w:tcPr>
            <w:tcW w:w="228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20"/>
        </w:trPr>
        <w:tc>
          <w:tcPr>
            <w:tcW w:w="2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8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(96,629)</w:t>
            </w:r>
          </w:p>
        </w:tc>
        <w:tc>
          <w:tcPr>
            <w:tcW w:w="0" w:type="dxa"/>
            <w:vAlign w:val="bottom"/>
          </w:tcPr>
          <w:p>
            <w:pPr>
              <w:spacing w:after="0"/>
              <w:rPr>
                <w:sz w:val="1"/>
                <w:szCs w:val="1"/>
                <w:color w:val="auto"/>
              </w:rPr>
            </w:pPr>
          </w:p>
        </w:tc>
      </w:tr>
      <w:tr>
        <w:trPr>
          <w:trHeight w:val="214"/>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used in operating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exchange (gain)/loss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RIPSA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redemption premium on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14"/>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incentive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11,617</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Royalties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21,322</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07"/>
        </w:trPr>
        <w:tc>
          <w:tcPr>
            <w:tcW w:w="8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(30,712)</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Purchases of furniture and equipment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122,500</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RIPSA</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RIPSA</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2023 Term Loans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(52,256)</w:t>
            </w: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of withholding taxes from share-based awards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163,709</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7"/>
        </w:trPr>
        <w:tc>
          <w:tcPr>
            <w:tcW w:w="82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132,827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271,772</w:t>
            </w:r>
          </w:p>
        </w:tc>
        <w:tc>
          <w:tcPr>
            <w:tcW w:w="0" w:type="dxa"/>
            <w:vAlign w:val="bottom"/>
          </w:tcPr>
          <w:p>
            <w:pPr>
              <w:spacing w:after="0"/>
              <w:rPr>
                <w:sz w:val="1"/>
                <w:szCs w:val="1"/>
                <w:color w:val="auto"/>
              </w:rPr>
            </w:pPr>
          </w:p>
        </w:tc>
      </w:tr>
      <w:tr>
        <w:trPr>
          <w:trHeight w:val="20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404,599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Verona Pharma plc is incorporated and domiciled in the United Kingdom. Verona Pharma plc has two wholly-owned subsidiaries, Verona Pharma, Inc., a Delaware corporation, and Verona Pharma Ireland Limited, an Irish entity (together with Verona Pharma plc, the “Company”). The address of the registered office is 1 Central Square, Cardiff, CF10 1FS, United Kingdom.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“Transaction Agreement”) with Merck Sharp &amp; Dohme LLC, a New Jersey limited liability company (“Merck” or “Parent”) and Vol Holdings LLC, a Delaware limited liability company and wholly owned subsidiary of Parent (“Bidco”), pursuant to which Bidco (and/or at Merck’s election its nominee(s)) will acquire the entire issued and to be issued share capital of the Company by means of a court-sanctioned scheme of arrangement under Part 26 of the UK Companies Act 2006 (the “Scheme of Arrangement” and such acquisition, the “Transaction”), for a total transaction value of approximately $10 billion, on the terms and subject to the conditions set forth therein. The Transaction is expected to close in the fourth quarter of 2025, subject to customary closing conditions, including the approval of the Scheme of Arrangement by the Company’s shareholders, the sanction of the Scheme of Arrangement by the High Court of Justice of England and Wales and receipt of the required regulatory approvals. Refer also to Note 10 – Subsequent events for additional information regarding the Transaction.</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U.S. Food and Drug Administration (the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Verona is commercializing Ohtuvayre for the maintenance treatment of COPD in the U.S. Outside the U.S., the Company submitted marketing authorization applications for Ohtuvayre for the maintenance treatment of COPD in the UK and in the European Union (“EU”) in June and July 2025, respectively.</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the Transaction is not completed, Verona intends to license Ohtuvayre to companies with expertise and experience in developing and commercializing products in those regions. The Company has entered into a strategic collaboration with Nuance Pharma Limited, a Shanghai-based specialty pharmaceutical company (“Nuance Pharma”), to develop and commercialize ensifentrine, including Ohtuvayre, in Greater China. In February 2025, Nuance Pharma announced that Ohtuvayre was approved in Macau, the first approval outside of the U.S., for the maintenance treatment of COPD in adult patients. In addition, in May 2025, Nuance Pharma announced positive results from its own pivotal Phase 3 trial evaluating ensifentrine for the maintenance treatment of COPD in China.</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24, 2025, the Company provided notice (the “Buy-Back Notice”) to Nuance Pharma of its decision to exercise its option to buy back the license granted to Nuance Pharma pursuant to the Nuance Agreement (the “Buy-Back Option”), including any sublicenses granted by Nuance Pharma and all related assets. Nuance Pharma has disputed the Buy-Back Notice, and requested that it be withdrawn. The Company believes that the Buy-Back Notice was properly issued, and discussions are ongoing. The Buy-Back Notice may be withdrawn by us, at the Company’s sole discretion, at any point prior to paying Nuance Pharma the consideration due under the Buy-Back Option.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plans to start a dose-ranging Phase 2b trial to assess the safety and efficacy of a fixed-dose nebulized combination of ensifentrine with glycopyrrolate, a Long-Acting Muscarinic Antagonist (“LAMA”), for the maintenance treatment of patients with COPD in the second half of 2025. The Company has successfully completed a dose-ranging Phase 2 trial with glycopyrrolate to support this program.</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based on the clinical results of ensifentrine observed in patients with COPD, including improvements in lung function and symptoms of cough and sputum, the Company believes ensifentrine could potentially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treatment for non-cystic fibrosis bronchiectasis (“bronchiectasis”). In the third quarter of 2024, the Company commenced a Phase 2 clinical trial to assess the efficacy and safety of nebulized ensifentrine in patients with bronchiectasis.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incurred recurring losses and, until the quarter ended June 30, 2025, negative cash flows from operations since inception, and has an accumulated deficit of $567.1 million as of June 30, 2025. The Company may incur additional losses and negative cash flows from operations if its products are unable to sustain commercial profitability in subsequent periods.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June 30, 2025, its anticipated product sales and funding expected to become available under the Term Loans (as defined in Note 7) will enable the Company to fund planned operating expenses and capital expenditure requirements for at least the next 12 months from the date of issuance.</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the Company may enter into out-licensing transactions from time to time but there can be no assurance that the Company can secure such transactions in the future. Accordingly, if the Transaction is not completed, the Company may need to obtain substantial additional funds to achieve its business objectives including, to further advance clinical and regulatory activities, to fund launch related costs and to create an effective sales and marketing organization to commercialize Ohtuvayre.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February 27, 2025 (the “2024 Form 10-K”). The Consolidated Balance Sheet as of December 31, 2024, was derived from audited consolidated financial statements included in the 2024 Form 10-K but does not include all disclosures required by U.S. GAAP for complete financial statements. The Company’s significant accounting policies are described in Note 2 to those consolidated financial statements.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 has determined that the Chief Executive Officer (“CEO”) is the Company’s CODM as the CEO makes decisions as it relates to allocation of resources and key market strategies. The Company has one operating and reportable segment, the development and commercialization of pharmaceutical products. The CODM uses consolidated Net income/(loss) to assess financial performance and allocate resources. The significant expenses within Net income/(loss) are separately presented on the Company’s Condensed Consolidated Statements of Operations and Comprehensive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relied on five specialty pharmacies to purchase and supply Ohtuvayre to patients. These five specialty pharmacies accounted for 47%, 31%, 1%, 20% and 1% of product</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net, respectively, for the three months ended June 30, 2025, 47%, 29%, 4%, 18% and 2% of product sales, net, respectively, for the six months ended June 30, 2025 and accounted for all of the Company's outstanding accounts receivable from product sales as of June 30, 2025. The loss, or a significant change in the buying patterns, of any one of these specialty pharmacies could negatively impact net sales of Ohtuvayre.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gross-to-net revenue adjustments, amortization and carrying value of the revenue interest purchase and sale agreement (“RIPSA”),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after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The ASU requires additional disclosure of the nature of expenses included in the income statement. The ASU is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extent of the impact of this ASU on disclosures in our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ectPr>
          <w:pgSz w:w="11900" w:h="16860" w:orient="portrait"/>
          <w:cols w:equalWidth="0" w:num="1">
            <w:col w:w="11240"/>
          </w:cols>
          <w:pgMar w:left="320" w:top="117"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classes of inventory as of June 30, 2025 and December 31, 2024 are summarized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inventory was written down as a result of excess, obsolescence, scrap, or other reasons during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 interest</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six months ended June 30, 2025.</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2025, Nuance Pharma completed the last treatment of the last patient under the Phase 3 Clinical Study of ensifentrine at which point the Company was due $5.0 million as a development milestone under the Nuance Agreement which was received in the three months ended June 30, 2025. This amount is included as Other revenue in the Condensed Consolidated Statements of Operations and Comprehensive Loss.</w:t>
      </w:r>
    </w:p>
    <w:p>
      <w:pPr>
        <w:spacing w:after="0" w:line="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June 2025, the Company provided the Buy-Back Notice to Nuance Pharma of its decision to exercise the Buy-Back Option, including any sublicenses granted by Nuance Pharma and all related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Ligand license agreement obligations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contingent liability assumed included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the acquisition the contingent liability was not recognized as part of the acquisition accounting as it was immaterial.</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low single digit royalties based on the net sales of all Ligand Licensed Products and expenses all costs related to royalty amounts as a cost of sales within the income statement.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obligated to pay Ligand 25% of any milestones received and, due to the milestone payment from Nuance Pharma discussed in Note 4</w:t>
      </w:r>
    </w:p>
    <w:p>
      <w:pPr>
        <w:spacing w:after="0" w:line="16" w:lineRule="exact"/>
        <w:rPr>
          <w:sz w:val="20"/>
          <w:szCs w:val="20"/>
          <w:color w:val="auto"/>
        </w:rPr>
      </w:pPr>
    </w:p>
    <w:p>
      <w:pPr>
        <w:ind w:firstLine="8"/>
        <w:spacing w:after="0" w:line="243" w:lineRule="auto"/>
        <w:tabs>
          <w:tab w:leader="none" w:pos="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 above, has recorded $1.3 million in Selling, general and administrative expense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May 9, 2024 (the “2024 Effective Date”), Verona Pharma, Inc. (the “Borrower”) entered into a term loan facility of up to $400.0 million (the “2024 Term Loans” or “2024 Loan Agreement”),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term loan facility entered into in 2023 (the “2023 Term Loan”).</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 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 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an aggregate amount at least equal to $5.0 million in a denomination that is a whole number multiple of $1.0 million in excess thereof.</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2024 Term Loans are secured by a lien on substantially all of the assets of the Borrower and the Company, including intellectual property, subject to customary exclusions and exceptions.</w:t>
      </w:r>
    </w:p>
    <w:p>
      <w:pPr>
        <w:spacing w:after="0" w:line="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March 27, 2025 (the “First Amendment Effective Date”), Verona Pharma Inc. entered into the first amendment (the “First Amendment”) to the 2024 Loan Agreement (the 2024 Term Loan Agreement as amended by the First Amendment, the “Term Loan Agreement” and the term loans borrowed thereunder, the “Term Loans”). The First Amendment provides for, among other things: (i) an increase to the commitments under the Tranche C Term Loan from $75.0 million to $125.0 million, which was drawn on the First Amendment Effective Date, (ii) a decrease in the interest rate applicable to all term loans borrowed under the Term Loan Agreement from 11.0% to 9.7% per annum, with a further step down to 9.35% per annum after the Company has met certain Net Sales (as defined in the Term Loan Agreement) milestones (and such step down to apply commencing the first day of the applicable fiscal quarter in which the Borrower certifies such condition has been met), and (iii) a $75.0 million basket for a future working capital facility, subject to certain terms and conditions.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2025, the effective interest rate was approximately 11% per annum and there was no material difference between the carrying value and the estimated fair value of the Term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Purchase and Sale Agreement</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w:t>
      </w:r>
    </w:p>
    <w:p>
      <w:pPr>
        <w:spacing w:after="0" w:line="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28, 2024, the Company received the Tranche A Purchase Price of $100.0 million. On March 25, 2025, the Company exercised its buy-out option under the RIPSA and repurchased the Tranche A obligation with reduced repayment fees.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accounted for the exercise of the buy-out option of the RIPSA Agreement and the First Amendment as a debt modification for the existing lenders who participated in both agreements by performing an analysis on a lender by lender basis under ASC 470-50 Debt modifications and exchanges.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3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5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tables show the activity of each type of share-based compensation and are presented in ordinary shares. The Company’s ADSs that are listed on Nasdaq each represent eight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 activity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51"/>
        </w:trPr>
        <w:tc>
          <w:tcPr>
            <w:tcW w:w="984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32,873,392</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1,269,600</w:t>
            </w: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(343,280)</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(2,885,032)</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30,914,680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4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4,208,000</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(659,832)</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(3,254,632)</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31,208,216</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 activity</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8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8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37"/>
        </w:trPr>
        <w:tc>
          <w:tcPr>
            <w:tcW w:w="98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14,830,112</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(84,152)</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(984,416)</w:t>
            </w:r>
          </w:p>
        </w:tc>
        <w:tc>
          <w:tcPr>
            <w:tcW w:w="0" w:type="dxa"/>
            <w:vAlign w:val="bottom"/>
          </w:tcPr>
          <w:p>
            <w:pPr>
              <w:spacing w:after="0"/>
              <w:rPr>
                <w:sz w:val="1"/>
                <w:szCs w:val="1"/>
                <w:color w:val="auto"/>
              </w:rPr>
            </w:pP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13,761,544</w:t>
            </w:r>
          </w:p>
        </w:tc>
        <w:tc>
          <w:tcPr>
            <w:tcW w:w="0" w:type="dxa"/>
            <w:vAlign w:val="bottom"/>
          </w:tcPr>
          <w:p>
            <w:pPr>
              <w:spacing w:after="0"/>
              <w:rPr>
                <w:sz w:val="1"/>
                <w:szCs w:val="1"/>
                <w:color w:val="auto"/>
              </w:rPr>
            </w:pP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(205,816)</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(981,728)</w:t>
            </w:r>
          </w:p>
        </w:tc>
        <w:tc>
          <w:tcPr>
            <w:tcW w:w="0" w:type="dxa"/>
            <w:vAlign w:val="bottom"/>
          </w:tcPr>
          <w:p>
            <w:pPr>
              <w:spacing w:after="0"/>
              <w:rPr>
                <w:sz w:val="1"/>
                <w:szCs w:val="1"/>
                <w:color w:val="auto"/>
              </w:rPr>
            </w:pP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13,534,000</w:t>
            </w: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 (“PRSU”) activity</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PRSUs will begin to vest upon achievement of certain performance conditions and are subject to continued service. The fair value of PRSUs will be recognized over the remaining service period using the graded-vesting method once the performance conditions are determined to be probable of occurring. The total compensation cost not yet recognized as of June 30, 2025 related to PRSUs was $65.4 million, which will be recognized over a weighted-average period of approximately one year.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for the period ended June 30,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40" w:type="dxa"/>
            <w:vAlign w:val="bottom"/>
          </w:tcPr>
          <w:p>
            <w:pPr>
              <w:spacing w:after="0"/>
              <w:rPr>
                <w:sz w:val="15"/>
                <w:szCs w:val="15"/>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 of PRSUs</w:t>
            </w:r>
          </w:p>
        </w:tc>
      </w:tr>
      <w:tr>
        <w:trPr>
          <w:trHeight w:val="190"/>
        </w:trPr>
        <w:tc>
          <w:tcPr>
            <w:tcW w:w="98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7"/>
        </w:trPr>
        <w:tc>
          <w:tcPr>
            <w:tcW w:w="98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30,561,974</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(307,482)</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(776,936)</w:t>
            </w:r>
          </w:p>
        </w:tc>
      </w:tr>
      <w:tr>
        <w:trPr>
          <w:trHeight w:val="223"/>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29,477,556</w:t>
            </w: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(593,040)</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(2,638,104)</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26,246,412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Nasdaq each represent eight ordinary shares. The following table shows the computation of basic and diluted net loss per share for the three and six months ended June 30, 2025 and 2024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(96,629)</w:t>
            </w:r>
          </w:p>
        </w:tc>
      </w:tr>
      <w:tr>
        <w:trPr>
          <w:trHeight w:val="257"/>
        </w:trPr>
        <w:tc>
          <w:tcPr>
            <w:tcW w:w="5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646,959</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RSUs and PRSUs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per share: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8, 2025, the Company entered into the Transaction Agreement with Merck and Bidco, pursuant to which Bidco has agreed to acquire the entire issued and to be issued share capital of the Company by means of the Scheme of Arrangement.</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Transaction Agreement, at the effective time of the Scheme of Arrangement (the “Effective Time”), all ordinary shares subject to the Scheme of Arrangement, nominal value £0.05 per share, issued and outstanding as of the Effective Time will be acquired by Bidco (and/or at Merck’s election its nominee(s)), and the holders of such ordinary shares as of the record time for the Scheme of Arrangement, on the terms set out in the Scheme of Arrangement, will have the right to receive, for each such share, $13.375 in cash, without interest. Because each ADS represents a beneficial interest in eight (8) ordinary shares, holders of ADSs will be entitled to receive eight (8) times the foregoing cash amount, or $107 in cash, per ADS.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warranties and covenants, including covenants obligating the Company to use commercially reasonable efforts to conduct its business and operations in all material respects in the ordinary course of business consistent with past practice, to cooperate in seeking regulatory approvals and not to engage in certain specified activities without Merck’s prior written consent. In addition, subject to certain exceptions, the Company has agreed not to solicit, initiate, knowingly encourage or knowingly facilitate, any inquiry, proposal or offer that constitutes or would reasonably be expected to lead to an Acquisition Proposal (as defined in the Transaction Agreement), or take certain other restricted actions in connection therewith.</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Notwithstanding the foregoing, if at any time prior to obtaining the required approvals by the Company’s shareholders, the Company or any of its representatives receives a written, bona fide Acquisition Proposal that did not result from a material breach of the Company’s obligations relating to non-solicitation as set forth in the Transaction Agreement and the Company’s Board of Directors (or a committee thereof) determines in good faith, after consultation with its financial advisors and outside legal counsel, that such Acquisition Proposal constitutes or is reasonably likely to lead to a Superior Proposal (as defined in the Transaction Agreement) and that the failure to take action would be reasonably likely to be inconsistent with its fiduciary duties under applicable law, then the Company and any of its representatives may take certain actions to furnish information and participate and engage in discussions or negotiations with respect to such Acquisition Proposal, after providing written notice to Merck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consummation of the Transaction is subject to certain customary closing conditions, including, among other things, (i) the expiration or termination of the required waiting period applicable to the consummation of the Transaction under the Hart-Scott-Rodino Antitrust Improvements Act of 1976, as amended, as well as all other required waivers, approvals and waiting periods under certain other specified antitrust laws having been obtained, terminated or expired, in each case, without the imposition of a burdensome condition, (ii) approval by the Company’s shareholders of the Scheme of Arrangement and the passing of the special resolution to amend the Company’s articles of association and other related matters, (iii) sanction of the Scheme of Arrangement by the High Court of Justice of England and Wales, and (iv) no governmental authority of competent and applicable jurisdiction having (a) enacted, issued or promulgated any law that remains in effect and has the effect of (1) making the Transaction illegal or prohibiting or otherwise preventing the Transaction or (2) imposing a burdensome condition (other than a burdensome condition that Merck, in its sole discretion, has determined to accept) or</w:t>
      </w:r>
    </w:p>
    <w:p>
      <w:pPr>
        <w:spacing w:after="0" w:line="6" w:lineRule="exact"/>
        <w:rPr>
          <w:sz w:val="20"/>
          <w:szCs w:val="20"/>
          <w:color w:val="auto"/>
        </w:rPr>
      </w:pPr>
    </w:p>
    <w:p>
      <w:pPr>
        <w:ind w:right="3520" w:firstLine="8"/>
        <w:spacing w:after="0" w:line="368"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or granted any order that remains in effect and has the effects described in the preceding clauses. The Transaction is expected to close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2024 filed with the Securities and Exchange Commission on February 27, 2025 (the “2024 Form 10-K”).</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proposed acquisition of Verona Pharma plc by Merck Sharp &amp; Dohme LLC, including without limitation the structure, timing and ability to consummate the transaction, the commercialization of Ohtuvayre, the development of our product candidates, including statements regarding the expected initiation, timing, progress and availability of data from our clinical trials, including our recently initiated Phase 2 clinical trials, potential regulatory approvals, research and development costs, timing and likelihood of success, potential collaborations, the duration of our patent portfolio, our estimates regarding expenses, future revenues, milestone payments, capital requirements, debt service obligations and our need for additional financing, our exercise of the Buy-Back Option and the impact and outcome of our related dispute with Nuance Pharma, including the results of any arbitration, the funding we expect to become available under our various financing agreements and from cash receipts from U.K. tax credits, and the sufficiency of our cash and cash equivalents to fund operations, are forward-looking statements.</w:t>
      </w:r>
    </w:p>
    <w:p>
      <w:pPr>
        <w:spacing w:after="0" w:line="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and are based largely on our management’s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2024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innovative therapeutics for the treatment of respiratory diseases with significant unmet medical needs.</w:t>
      </w:r>
    </w:p>
    <w:p>
      <w:pPr>
        <w:spacing w:after="0" w:line="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8, 2025, we entered into a Transaction Agreement (the “Transaction Agreement”) with Merck Sharp &amp; Dohme LLC, a New Jersey limited liability company (“Merck” or “Parent”) and Vol Holdings LLC, a Delaware limited liability company and wholly owned subsidiary of Parent (“Bidco”), pursuant to which Bidco (and/or at Merck’s election its nominee(s)) will acquire our entire issued and to be issued share capital pursuant to a court-sanctioned scheme of arrangement under Part 26 of the UK Companies Act 2006 (the “Scheme of Arrangement” and such acquisition, the “Transaction”), for a total transaction value of approximately $10 billion, on the terms and subject to the conditions set forth therein. The Transaction is expected to close in the fourth quarter of 2025, subject to certain customary closing conditions, including the approval of the Scheme of Arrangement by our shareholders, the sanction of the Scheme of Arrangement by the High Court of Justice of England and Wales and receipt of the required regulatory approvals. See “Note 10 – Subsequent events” to our unaudited condensed consolidated financial statements included elsewhere in this Form 10-Q for additional information regarding the Transaction.</w:t>
      </w:r>
    </w:p>
    <w:p>
      <w:pPr>
        <w:spacing w:after="0" w:line="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June 26, 2024, the U.S. Food and Drug Administration (“FDA”) approved Ohtuvayre (ensifentrine) for the maintenance treatment of chronic obstructive pulmonary disease (“COPD”) in adult patients and we launched Ohtuvayre in the U.S. through an exclusive network of accredited specialty pharmacies in August 2024. Ohtuvayre is our first commercial product and the first inhaled therapy with a novel mechanism of action available for the maintenance treatment of COPD in more than 20 years. We believe Ohtuvayre is an important advancement in the treatment of COPD and will redefine the treatment paradigm for COPD.</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commercializing Ohtuvayre for the maintenance treatment of COPD in the United States (“U.S”). Outside the U.S., the Company submitted marketing authorization applications for Ohtuvayre for the maintenance treatment of COPD in the UK and in the European Union (“EU”) in June and July 2025, respectively.</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the Transaction is not completed, we intend to license Ohtuvayre to companies with expertise and experience in developing and commercializing products in those regions. We entered into a strategic collaboration (the “Nuance Agreement”) with Nuance Pharma Limited, a Shanghai-based specialty pharmaceutical company (“Nuance Pharma”), to develop and commercialize ensifentrine, including Ohtuvayre, in Greater China. In February 2025, Nuance Pharma announced that Ohtuvayre was approved in Macau, the first approval outside of the U.S., for the maintenance treatment of COPD in adult patients. In addition, in May 2025, Nuance Pharma announced positive results from its own pivotal Phase 3 trial evaluating ensifentrine for the maintenance treatment of COPD in China. See “Nuance Pharma” below for additional information regarding the Nuance Agreement.</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approval of Ohtuvayre in the U.S. was based on extensive data including the Phase 3 ENHANCE (“Ensifentrine as a Novel inHAled Nebulized COPD thErapy”) trials, the results of which were published in the American Journal of Respiratory and Critical Care Medicine.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plan to start a dose-ranging Phase 2b trial to assess the safety and efficacy of a fixed-dose nebulized combination of ensifentrine with glycopyrrolate, a Long-Acting Muscarinic Antagonist (“LAMA”), for the maintenance treatment of patients with COPD in the second half of 2025. We have successfully completed a dose-ranging Phase 2 trial with glycopyrrolate to support this program.</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enrolling subjects into a Phase 2 trial to assess the efficacy and safety of nebulized ensifentrine in patients with non-cystic fibrosis bronchiectasis (“bronchiectasis”).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until the quarter ended June 30, 2025 , incurred recurring losses and negative cash flows from operations since inception, and have an accumulated deficit of $567.1 million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if and as we:</w:t>
      </w:r>
    </w:p>
    <w:p>
      <w:pPr>
        <w:spacing w:after="0" w:line="104" w:lineRule="exact"/>
        <w:rPr>
          <w:sz w:val="20"/>
          <w:szCs w:val="20"/>
          <w:color w:val="auto"/>
        </w:rPr>
      </w:pPr>
    </w:p>
    <w:p>
      <w:pPr>
        <w:jc w:val="both"/>
        <w:ind w:left="340" w:right="20" w:hanging="332"/>
        <w:spacing w:after="0" w:line="24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a fixed-dose combination of ensifentrine and a LAMA as well as our DPI and pMDI formulations of ensifentrine and research and development of other formulations of ensifentrine;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bronchiectasis, acute COPD, CF or any other indication;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that our cash and cash equivalents as of June 30, 2025, our anticipated product sales and funding expected to become available under the Term Loans will enable us to fund our planned operating expenses and capital expenditure requirements for at least the next 12 months. The remaining advances under the Term Loans are contingent upon the achievement of commercial milestones and other specified conditions, and in the case of the Tranche E Term Loan (as defined in the Term Loans) under the Term Loans, at the sole discretion of the lenders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update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ENHANCE program</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approval of Ohtuvayre was based on extensive data including the Phase 3 ENHANCE trials, the results of which were published in the American Journal of Respiratory and Critical Care Medicine.</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demographics and disease characteristics were well balanced between treatment groups in both trials.</w:t>
      </w:r>
    </w:p>
    <w:p>
      <w:pPr>
        <w:spacing w:after="0" w:line="104" w:lineRule="exact"/>
        <w:rPr>
          <w:sz w:val="20"/>
          <w:szCs w:val="20"/>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approximately 69% of subjects received background COPD therapy, either a LAMA or a long-acting beta-antagonist (“LABA”). Additionally, approximately 20% of all subjects received inhaled corticosteroids (“ICS”) with concomitant LAMA or LABA.</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ENHANCE-2 approximately 55% of subjects received background COPD therapy, either a LAMA or a LABA. Additionally, approximately 15% of all subjects received ICS with concomitant LAMA or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277495</wp:posOffset>
            </wp:positionV>
            <wp:extent cx="6583680" cy="3549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3680" cy="35490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Ensifentrine / Long-Acting Muscarinic Antagonist fixed-dose combination</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developing a fixed-dose combination formulation with ensifentrine and glycopyrrolate, a LAMA, for the maintenance treatment of patients with COPD via delivery in a nebulizer. We have filed patent applications in multiple jurisdictions including the U.S. We plan to start a dose-ranging Phase 2b trial to assess the safety and efficacy of the fixed-dose combination in the second half of 2025. We have successfully completed a dose-ranging Phase 2 trial with glycopyrrolate to support this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Non-cystic fibrosis bronchiectasis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Bronchiectasis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clinical results of ensifentrine observed in patients with COPD, including improvements in lung function and symptoms of cough and sputum, we believe that ensifentrine could potentially be an effective treatment for bronchiectasis. In the third quarter of 2024, we commenced a Phase 2 clinical trial to assess the efficacy and safety of nebulized ensifentrine in patients with bronchiectasis.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Nuance Pharma</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IND application to conduct both Phase 1 and Phase 3 studies with ensifentrine for the maintenance treatment of COPD in mainland China. Nuance Pharma initiated a Phase 1 trial with ensifentrine in healthy volunteers in March 2023, and, in May 2025, Nuance Pharma announced positive results from its own pivotal Phase 3 trial evaluating ensifentrine for the maintenance treatment of COPD in China.</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Completion of treatment in the Phase 3 trial in March 2025 triggered a milestone payment of $5.0 million to the Company, which was received during the three months ended June 30, 2025.</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February 2025, Nuance Pharma announced that Ohtuvayre was approved in Macau, the first approval outside of the U.S., for the maintenance treatment of COPD in adult patients. On June 24, 2025, we provided notice (the “Buy-Back Notice”) to Nuance Pharma of our decision to exercise our option to buy back the license granted to Nuance Pharma pursuant to the Nuance Agreement (the “Buy-Back Option”), including any sublicenses granted by Nuance Pharma and all related assets. Nuance Pharma has disputed the Buy-Back Notice, and requested that it be withdrawn. We believe that the Buy-Back Notice was properly issued, and discussions are ongoing. The Buy-Back Notice may be withdrawn by us, at our sole discretion, at any point prior to paying Nuance Pharma the consideration due under the Buy-Back Option.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critical accounting estimates described in the Company’s 2024 Form 10-K during the six months ended June 30,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the FDA approval of Ohtuvayre and our commercial launch in the third quarter of 2024, we began to recognize product sales. We record product sales net of estimated distribution fees, government rebates and chargebacks, commercial chargebacks, product returns, co-pay assistance costs and other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consists of revenue unrelated to product sales of Ohtuvayre.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to recognize cost of sales after the commercial launch of Ohtuvayre in the third quarter of 2024. Cost of sales includes the cost of producing inventory related to Ohtuvayre including manufacturing, freight and overhead as well as sales-based royalties due to Ligand.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we expensed costs relating to production of pre-launch inventory as research and development expense in our condensed consolidated statements of operations and comprehensive loss in the period incurred. All other research and development costs are expensed as incurred.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costs to increase related to our additional trials for a fixed-dose combination formulation for COPD patients and nebulized ensifentrine in patients with bronchiectasis.</w:t>
      </w:r>
    </w:p>
    <w:p>
      <w:pPr>
        <w:spacing w:after="0" w:line="41" w:lineRule="exact"/>
        <w:rPr>
          <w:sz w:val="20"/>
          <w:szCs w:val="20"/>
          <w:color w:val="auto"/>
        </w:rPr>
      </w:pPr>
    </w:p>
    <w:p>
      <w:pPr>
        <w:ind w:right="520"/>
        <w:spacing w:after="0" w:line="360" w:lineRule="auto"/>
        <w:rPr>
          <w:sz w:val="20"/>
          <w:szCs w:val="20"/>
          <w:color w:val="auto"/>
        </w:rPr>
      </w:pPr>
      <w:r>
        <w:rPr>
          <w:rFonts w:ascii="Times New Roman" w:cs="Times New Roman" w:eastAsia="Times New Roman" w:hAnsi="Times New Roman"/>
          <w:sz w:val="18"/>
          <w:szCs w:val="18"/>
          <w:color w:val="auto"/>
        </w:rPr>
        <w:t xml:space="preserve">Due to the nature of research and development, the expected costs are inherently uncertain and may vary significantly from our current expectations. </w:t>
      </w:r>
      <w:r>
        <w:rPr>
          <w:rFonts w:ascii="Times New Roman" w:cs="Times New Roman" w:eastAsia="Times New Roman" w:hAnsi="Times New Roman"/>
          <w:sz w:val="18"/>
          <w:szCs w:val="18"/>
          <w:i w:val="1"/>
          <w:iCs w:val="1"/>
          <w:color w:val="auto"/>
        </w:rPr>
        <w:t>Selling, general and administrative costs</w:t>
      </w:r>
    </w:p>
    <w:p>
      <w:pPr>
        <w:jc w:val="both"/>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develop our knowledge of the market and refine our commercial operations, expected costs may vary significantly from our current expectations.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foreign exchange movements on cash and cash equivalents and taxes receivable, and, historically, the U.K. research and development tax credits (the “R&amp;D tax credit”).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historically participated in the U.K. Small and Medium Enterprises research and development tax relief program. The tax credits are calculated as a percentage of qualifying research and development expenditure and are payable in cash by the U.K. government to us on the basis that the Company is loss making. The credit recorded related to the 2024 financial year is expected to be received in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effective tax rate varies from the statutory U.K. tax rate in each period presented primarily due to the recording of a valuation allowance for our deferred tax assets. We assess the available positive and negative evidence to estimate whether sufficient future taxable income will be generated to permit use of the existing deferred tax assets. A significant piece of objective negative evidence evaluated was the cumulative consolidated loss incurred over the three-year period ended December 31, 2024. Such objective evidence limits the ability to consider other subjective evidence, such as our projections for future growth. We have determined that the reversal of future taxable temporary differences corresponding to our deferred tax liabilities will not provide a sufficient source of income for realization of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three months ended June 30,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102,939</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103,138</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103,138</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33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108"/>
        </w:trPr>
        <w:tc>
          <w:tcPr>
            <w:tcW w:w="68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81,728</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received FDA approval on June 26, 2024 and the product was commercially available in August 2024. Product sales, net for Ohtuvayre was $102.9 million for the three months ended June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sales was $4.8 million for the three months ended June 30, 2025 which includes Ohtuvayre manufacturing costs incurred after FDA approval, inventory overhead costs and sales-based royalties due to Ligand.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Research and development costs were $13.0 million for the three months ended June 30, 2025, compared to $19.4 million for the three months ended June 30, 2024, a decrease of $6.4 million. This decrease was primarily due to the prior year accrual of $6.3 million for the approval milestone payable to Ligand as well as $1.1 million related to pre-launch manufacturing costs for commercial supply. The impact of these items was partially offset by an increase of $1.5 million in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costs were $72.1 million for the three months ended June 30, 2025, compared to $49.0 million for the three months ended June 30, 2024, an increase of $23.1 million. This increase was driven primarily by a $10.9 million increase in people-related costs and $17.2 million in share-based compensation, as a result of the increase in headcount of our field sales team and supporting functions with the launch of Ohtuvayre. Additionally, our marketing and other commercial related activities, including travel, increased by $6.0 million and our professional and consulting fees, information technology costs, and other support costs increased by $3.4 million, each due to the continued buildout of our commercial organization. These increases were partially offset by the $15.0 million first sale milestone due to Ligand incurred in the prior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expense, net for the three months ended June 30, 2025 was $1.4 million compared to $1.4 million for the three months ended June 30, 2024, with no significant change between the two periods. The current to comparative period changes include an increase in interest expense of $5.1 million related to our higher average debt balance which was partially offset by an increase in interest income of $1.2 million due to our higher average cash balance. Additionally, in the prior year we recognized loss on the extinguishment of our 2023 Term Loan of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six months ended June 30,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174,195</w:t>
            </w: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w:t>
            </w: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179,394</w:t>
            </w:r>
          </w:p>
        </w:tc>
      </w:tr>
      <w:tr>
        <w:trPr>
          <w:trHeight w:val="19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69,469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71,770</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80,785</w:t>
            </w: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 tax credit</w:t>
            </w:r>
          </w:p>
        </w:tc>
        <w:tc>
          <w:tcPr>
            <w:tcW w:w="34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exchange gain/(loss)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(expense)/income, net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w:t>
            </w: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90,185</w:t>
            </w: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(96,629)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92,231</w:t>
            </w: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Ohtuvayre received FDA approval on June 26, 2024 and the product was commercially available on August 6, 2024. Product sales, net for Ohtuvayre was $174.2 million for the six months ended June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revenue was $5.2 million for the six months ended June 30, 2025, primarily due to a milestone earned by the Company for Nuance Pharma’s completion of treatment in the Phase 3 trial development under the Nuance Agreement in the first quarter of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sales was $8.2 million for the six months ended June 30, 2025, which includes Ohtuvayre manufacturing costs incurred after FDA approval, inventory overhead costs and sales-based royalties due to Ligand.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Research and development costs were $27.0 million for the six months ended June 30, 2025, compared to $26.2 million for the six months ended June 30, 2024, an increase of $0.9 million. This increase was primarily due to an increase of $6.9 million related to share-based compensation as well as a $2.0 million increase in clinical trial and other development costs as we incurred costs related to the two Phase 2 studies initiated in the third quarter of 2024 related to the combination of ensifentrine and glycopyrrolate and Ohtuvayre in patients with bronchiectasis. The prior year period also included the impact of the accrual of the $6.3 million approval milestone due to Ligand, as well as $1.1 million related to pre-launch manufacturing costs for commercial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costs were $141.2 million for the six months ended June 30, 2025 compared to $69.5 million for the six months ended June 30, 2024, an increase of $71.8 million. This increase was driven primarily by an increase of $20.2 million in people-related costs and $44.4 million in share-based compensation, as a result of the increase in headcount of our field sales team and supporting functions with the launch of Ohtuvayre. Additionally, our marketing and other commercial related activities, including travel, increased by $13.8 million and our professional and consulting fees, information technology costs, and other support costs increased by $7.2 million, each due to the continued buildout of our commercial organization. These increases were partially offset by the $15.0 million first sale milestone due to Ligand incurred in the prior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expense, net for the six months ended June 30, 2025 was $7.7 million compared to income of $0.8 million for the six months ended June 30, 2024, a change of $8.4 million. This change was primarily driven by an increase in interest expense of $13.7 million related to our higher average debt balance and was partially offset by an increase in interest income of $1.7 million due to our higher average cash balance. Additionally, in the prior year we recognized loss on the extinguishment of our 2023 Term Loan of $3.7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(145,309)</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1,394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33,417</w:t>
            </w: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Net cash provided by operating activities was $19.0 million in the six months ended June 30, 2025, compared to net cash used in operating activities of $30.7 million during the six months ended June 30, 2024, a change of $49.7 million. The change in cash from operating activities was primarily due to our cash received from product sales of Ohtuvayre which was partially offset by the increase of commercial costs of Ohtuvayre and the related increase in people-related costs for the field sales team and commercial and corporate support functions.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Net cash provided by financing activities was $18.4 million in the six months ended June 30, 2025, compared to $163.7 million in the six months ended June 30, 2024, a decrease of $145.3 million. The decrease in cash provided by financing activities was primarily due to the net proceeds received of $167.9 million in the six months ended June 30, 2024 from the 2024 Term Loans and RIPSA while the current period includes the net proceeds of $12.6 million from Tranche C draw under the Term Loans and RIPSA repurchase. Additionally, there was an increase of $9.3 million for the cash received from the exercise of share options in the current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issuances of our equity securities, from borrowings under term loan facilities, from product sales and from the Nuance Agreement.</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incurred, until the quarter ended June 30, 2025, recurring losses and negative cash flows from operations since inception, and have an accumulated deficit of $567.1 million as of June 30, 2025.</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and the Term Loans.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Financing and Capital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we had the following financing transactions:</w:t>
      </w:r>
    </w:p>
    <w:p>
      <w:pPr>
        <w:spacing w:after="0" w:line="212" w:lineRule="exact"/>
        <w:rPr>
          <w:sz w:val="20"/>
          <w:szCs w:val="20"/>
          <w:color w:val="auto"/>
        </w:rPr>
      </w:pPr>
    </w:p>
    <w:p>
      <w:pPr>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Term Loans decreasing the interest rate from 11.0% to 9.7% and increasing the Tranche C draw under the Term Loans from $75.0 million to $125.0 million;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the RIPSA in full.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also to Note 7 - Debt to the unaudited condensed consolidated financial statements for additional information on the Term Loans and RIPSA.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2025, our product sales and funding expected to become available under the Term Loans, will enable us to fund planned operating expenses and capital expenditure requirements for at least the next 12 months from the date of issuance of our condensed consolidated financial statements included elsewhere in this Form 10-Q. Future advances under the Term Loans are contingent upon achievement of certain commercial milestones and other specified conditions, and in the case of the Tranche E Term Loan, at the sole discretion of the lenders. We have based this estimate on assumptions that may prove to be incorrect, and we could use our available capital resources sooner than we currently expect. In addition, our operating plan may change as a result of many factors, including as a result of the Transaction and risks related to such Transaction.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require additional capital to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Further, failure to complete the Transaction at all or within the expected timeframe, could adversely affect our business, the market price of our ADSs, and causes us to incur significant costs and/or termination fees.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the Transaction is not completed, we may need to seek additional funding through public or private financings, debt financings, collaboration or licensing agreements and other arrangements. However, there is no guarantee that we will be successful in securing additional capital on acceptable terms, or at all. In addition, the magnitude and duration of the global instability due to the United States political environment, disruptions and extreme volatility in the global economy, including rising inflation and interest rates, declines in economic growth, and the ongoing conflicts in Europe and the Middle East and their impact on our liquidity and future funding requirements is uncertain as of the filing date of this Quarterly Report on Form 10-Q, as the situation continues to evolve. Furthermore, the Transaction Agreement contains restrictions on our ability to issue ordinary shares or ADSs, subject to certain exceptions described therein.</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the proceeds from Ohtuvayre product sales, securities offerings, debt financings, license and collaboration agreements and research grants. If we raise capital through equity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Transaction within the expected timeframe, if at all;</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62"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and scale up external manufacturing capabilities to commercialize Ohtuvayre and any product candidates for which we may obtain regulatory approval;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June 30, 2025 and December 31, 2024, we had cash and cash equivalents of $438.0 million and $399.8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three months ended June 30,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exposed to foreign exchange risk as a result of transactions in currencies other than its functional currency, the U.S. dollar. The Company’s expenses in the three months ended June 30, 2025 were incurred primarily in U.S. dollars, but also included euros and pound sterling. As at June 30, 2025, approximately 3% of cash and cash equivalents and 22%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0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2025,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June 30,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Investing in our ADSs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Transaction with Merck</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Transaction may not be completed within the expected timeframe, or at all, and significant delay or the failure to complete the Transaction could adversely affect our business and the market price of our ADSs.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8, 2025, we entered into a Transaction Agreement (the “Transaction Agreement”) with Merck Sharp &amp; Dohme LLC, a New Jersey limited liability company (“Merck” or “Parent”) and Vol Holdings LLC, a Delaware limited liability company and wholly owned subsidiary of Parent (“Bidco”), pursuant to which Bidco (and/or at Merck’s election its nominee(s)) has agreed to acquire the entire issued and to be issued share capital of the Company by means of a court-sanctioned scheme of arrangement under Part 26 of the UK Companies Act 2006, subject to the conditions described therein (the “Scheme of Arrangement” and such acquisition, the “Transaction”).</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the Transaction Agreement, at the effective time of the Scheme of Arrangement (the “Effective Time”), all ordinary shares subject to the Scheme of Arrangement, nominal value £0.05 per share, issued and outstanding as of the Effective Time will be acquired by Bidco (and/or at Merck’s election its nominee(s)), and the holders of such ordinary shares as of the record time for the Scheme of Arrangement, on the terms set out in the Scheme of Arrangement, will have the right to receive, for each such share, $13.375 in cash, without interest (the “Consideration”). Because each ADS represents a beneficial interest in eight (8) ordinary shares, holders of ADSs will be entitled to receive eight (8) times the foregoing cash amount, or $107 in cash, per ADS (the “ADS Consideration”).</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consummation of the Transaction is subject to certain customary closing conditions, including, among other things, (i) the expiration or termination of the required waiting period applicable to the consummation of the Transaction under the Hart-Scott-Rodino Antitrust Improvements Act of 1976, as amended, as well as all other required waivers, approvals and waiting periods under certain other specified antitrust laws having been obtained, terminated or expired, in each case, without the imposition of a burdensome condition, (ii) approval by the Company’s shareholders of the Scheme of Arrangement and the passing of the special resolution to amend the Company’s articles of association and other related matters, (iii) sanction of the Scheme of Arrangement by the High Court of Justice of England and Wales, and (iv) no governmental authority of competent and applicable jurisdiction having (a) enacted, issued or promulgated any law that remains in effect and has the effect of (1) making the Transaction illegal or prohibiting or otherwise preventing the Transaction or (2) imposing a burdensome condition (other than a burdensome condition that Merck, in its sole discretion, has determined to accept) or (b) issued or granted any order that remains in effect and has the effects described in the preceding clauses.</w:t>
      </w:r>
    </w:p>
    <w:p>
      <w:pPr>
        <w:spacing w:after="0" w:line="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Many of the conditions to consummation of the Transaction are not within our control or the control of Merck or Bidco, and we cannot predict when or if these conditions will be satisfied. There can be no assurance that our business, our relationships or our financial condition will not be adversely affected, as compared to the condition prior to the announcement of the Transaction, if the Transaction is not consummated within the expected timeframe, or at all. Failure to complete the Transaction within the expected timeframe, or at all, could adversely affect our business and the market price of our ADSs in a number of ways, including the following:</w:t>
      </w:r>
    </w:p>
    <w:p>
      <w:pPr>
        <w:spacing w:after="0" w:line="63" w:lineRule="exact"/>
        <w:rPr>
          <w:sz w:val="20"/>
          <w:szCs w:val="20"/>
          <w:color w:val="auto"/>
        </w:rPr>
      </w:pPr>
    </w:p>
    <w:p>
      <w:pPr>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is not completed within the expected timeframe, or at all, the share price of our ADSs may change to the extent that the current market price of our ADSs reflects assumptions regarding the completion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0" w:lineRule="exact"/>
        <w:rPr>
          <w:sz w:val="20"/>
          <w:szCs w:val="20"/>
          <w:color w:val="auto"/>
        </w:rPr>
      </w:pPr>
    </w:p>
    <w:p>
      <w:pPr>
        <w:jc w:val="both"/>
        <w:ind w:left="340" w:hanging="332"/>
        <w:spacing w:after="0" w:line="24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costs, expenses and fees for professional services and other costs in connection with the Transaction, for which we may receive little or no benefit if the Transaction is not completed. Many of these fees and costs will be payable by us even if the Transaction is not completed and may relate to activities that we would not have undertaken other than to complete the Transaction;</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Transaction within the expected timeframe, or at all, may result in negative publicity and a negative impression of us in the investment community and may lead to subsequent offers to acquire our company at a lower price or otherwise on less favorable terms to us and our stockholders than contemplated by the Transaction;</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ability to attract, retain and motivate personnel, including our senior management;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relationships with third-party manufacturers, contract research organizations, collaborators and other business partners;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Transaction Agreement by us or Merck under specified circumstances, we would be required to pay a termination fee of approximately $100,000,000;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litigation related to any failure to complete the Transaction.</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our acquisition by Merck could adversely affect our business, prospects, financial condition, and results of operations.</w:t>
      </w:r>
    </w:p>
    <w:p>
      <w:pPr>
        <w:spacing w:after="0" w:line="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announcement and pendency of the Transaction could cause disruptions in and create uncertainty surrounding our business, which could have an adverse effect on our business, prospects, financial condition, and results of operations, regardless of whether the Transaction is completed. These risks to our business include the following, all of which could be exacerbated by a delay in the completion of the Transaction:</w:t>
      </w:r>
    </w:p>
    <w:p>
      <w:pPr>
        <w:spacing w:after="0" w:line="7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significant management time and resources towards the completion of the Transaction;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ability to attract, retain and motivate key personnel, including our senior management;</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relationships with investigators, healthcare professionals, consultants, third-party payors, customers and other business partners, who may defer decisions about working with us or seek to change existing business relationships with us;</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pursue alternative business opportunities or make appropriate changes to our business because of requirements in the Transaction Agreement that we conduct our business in the ordinary course and not engage in certain kinds of transactions or business activities prior to the completion of the Transaction; and</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Transaction and the costs and distractions related thereto.</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contains provisions that could discourage a potential competing acquirer of our Company or could result in any competing proposal being at a lower price than it might otherwise be.</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are subject to certain restrictions on our ability to solicit alternative acquisition proposals from third parties, to provide information to third parties and to enter into or continue discussions or negotiations with third parties regarding alternative acquisition proposals, subject to customary exceptions. In addition, we may be required to pay Merck a termination fee of approximately $100,000,000 in specified circumstances, including due to the entry by the Company into a definitive agreement with respect to a Superior Proposal (as defined in the Transaction Agreement), or certain other triggering events, such as if the High Court of Justice of England and Wales declines or refuses to sanction the Scheme of Arrangement and the Company shall have communicated to the Court at the hearing to sanction the Scheme of Arrangement that the Board no longer supports the consummation of the Transaction or no longer wishes the Court to sanction the Scheme of Arrangement. These provisions could discourage a potential competing acquirer that might have an interest in acquiring all or a significant part of our company from considering or proposing such an acquisition, including, if the Transaction Agreement is terminated prior to the consummation of the Transaction, after such termination of the Transaction Agreement, even if it were prepared to pay a purchase price per share higher than the purchase price per share proposed to be paid in the Transaction, or might result in a potential competing acquirer proposing to pay a lower price than it might otherwise have proposed to pay because of the added expense of the termination fee that may become payable in specified circumstances under the Transaction Agreement, including, in certain circumstances, after a valid termination of the Transaction Agreement in accordance with the terms thereof.</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the Transaction Agreement is in effect, we are subject to restrictions on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Transaction Agreement includes restrictions on the conduct of our business prior to the completion of the Transaction, generally requiring us to use reasonable efforts to conduct our business and operations in all material respects in the ordinary course and to preserve intact our business organization and significant business relationships. In addition, we are subject to a variety of specified restrictions. Unless we obtain Merck’s prior written consent (which consent may not be unreasonably withheld, conditioned or delayed), except as specifically required by the Transaction Agreement or required by applicable law, we may not, among other things and subject to certain exceptions, limitations and qualifications, incur additional indebtedness, issue additional shares of our ADSs outside of our equity incentive plans, repurchase our ADSs, pay dividends, acquire certain assets or securities, sell or dispose of intellectual property, or enter into material contracts or make certain capital expenditures. We may find that these and other contractual restrictions in the Transaction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ADSs.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may not generate sufficient product revenue to sustain profitability.</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and with the exception of the quarter ended June 30, 2025, have incurred significant operating losses since our inception. We had a net income of $11.9 million for the three months ended June 30, 2025, and a net loss of $173.4 million for the year ended December 31, 2024. As of June 30, 2025, we had an accumulated deficit of $567.1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support the commercialization of ensifentrine under the brand name Ohtuvayre™ (ensifentrine), which was approved by the FDA on June 26, 2024 for the maintenance treatment of chronic obstructive pulmonary disease ("COPD”) in adult patients. We generally use “Ohtuvayre” when referring to our FDA-approved version of ensifentrine, and “ensifentrine” when referring to our investigational programs for ensifentrine. We anticipate that our expenses will increase substantially as we:</w:t>
      </w:r>
    </w:p>
    <w:p>
      <w:pPr>
        <w:spacing w:after="0" w:line="81" w:lineRule="exact"/>
        <w:rPr>
          <w:sz w:val="20"/>
          <w:szCs w:val="20"/>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ensifentrine for the treatment of non-cystic fibrosis bronchiectasis (“bronchiectasis”), cystic fibrosis (“CF”), asthma or other indications;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pharmacology studies with any formulation;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or in-license additional respiratory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ensifentrine and potentially other future product candidates;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manufacturing processes and produce clinical and commercial supplies of the ensifentrine active pharmaceutical ingredient and formulated drug products derived from it;</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regulatory approvals of ensifentrine;</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in-licensed technologies and products;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to support commercialization and research activities in the U.S. and elsewhere.</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pre-clinical studies or clinical trials, complex results, safety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difficulties, inadequate quantity or quality of ensifentrine for our clinical trials or finished drug product, or regulatory challenges.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of Ohtuvayre in other territories, if and when approved in such territories.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To remain profitable, we must succeed in developing our product candidates and commercializing our product, Ohtuvayre, and any other products for which we may receive regulatory approval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including our approved product Ohtuvayre. We are only in the preliminary stages of some of these activities, such as the commercialization of Ohtuvayre. We may not succeed in all of these activities and, even if we do, we may not generate revenue that is significant enough to sustain profitability in future periods.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if we will be able to sustain profitability in future periods. If we are required by the FDA, the European Medicines Agency (“EMA”), or other regulatory authorities to perform studies in addition to those we currently anticipate, or if there are any delays in the closing of the Transaction, completing our planned clinical trials or the development of ensifentrine in additional formulations or for other targeted indications, or any other product candidates, our expenses could increase and revenue could be further delayed.</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Ohtuvayre is our only product approved for marketing. It is approved in the U.S. and Macau but is not approved in any other jurisdiction, and may never receive approval in other jurisdictions. We may not be successful in obtaining regulatory approval for any additional products, and Ohtuvayre may not generate revenues sufficient to sustain profitability. The net losses we incur may fluctuate significantly from quarter to quarter and year to year. Our failure to achieve or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part of their investment.</w:t>
      </w:r>
    </w:p>
    <w:p>
      <w:pPr>
        <w:spacing w:after="0" w:line="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If the Transaction is not completed, 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and planned activities, particularly as we continue to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if the Transaction is not completed,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estimate that our existing cash resources, our product sales and additional funding received and expected to become available under the 2024 Term Loans (as defined below) will be sufficient to fund our operating expenses and capital expenditure requirements for at least the next 12 months from the date of issuance of our unaudited condensed consolidated financial statements included elsewhere in this Quarterly Report on Form 10-Q. Future advances under the 2024 Term Loans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0"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Transaction within the expected timeframe, if at all;</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68"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fully developing a sales, marketing and distribution infrastructure and scale up of external manufacturing capabilities to commercialize Ohtuvayre and any product candidates for which we may obtain regulatory approval;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 Additionally, the Transaction Agreement generally restricts our ability to issue ordinary shares or ADSs outside of our equity incentive plans during the interim period between the execution of the Transaction Agreement and the Effective Time (or the date on which the Transaction Agreement is earlier terminated). If we are unable to obtain funding on a timely basis, we may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solely on the commercial success of Ohtuvayre. If we are unable to generate significant revenue from the sale of Ohtuvayre or successfully develop ensifentrine for other indications, our financial condition will be adversely affected.</w:t>
      </w:r>
    </w:p>
    <w:p>
      <w:pPr>
        <w:spacing w:after="0" w:line="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FDA approved our New Drug Application (“NDA”) for Ohtuvayre for the maintenance treatment of COPD in adult patients on June 26, 2024, and we began generating revenue from the sale of Ohtuvayre in August 2024. We have invested substantially all of our efforts and financial resources on the development of Ohtuvayre and preparation for its commercial launch, including costs related to commercial drug supply, sales, and marketing, and it is our sole source of revenue. Our ability to sustain profitability depends heavily on its successful commercialization and potential regulatory approvals in other jurisdictions. The success of Ohtuvayre will depend on many factors, including the following:</w:t>
      </w:r>
    </w:p>
    <w:p>
      <w:pPr>
        <w:spacing w:after="0" w:line="7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efficacy and potential advantages over alternative treatments, including over direct competitors;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Ohtuvayre for sale at a competitive price;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or competing products and treatments;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Ohtuvayre;</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adverse clinical findings or decreased effectiveness of our product over time identified during continued monitoring and evaluation of patients;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and supply chain to maintain sufficient quantity and quality, and uninterrupted supply, of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timely scale up manufacturing capabilities through current or additional sources to support any increase in market demand;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with other medicines patients are taking;</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private and governmental payers coverage, particularly if the percentage of patients receiving reimbursement from state Medicaid is high since such process can be slower to reimburse; and</w:t>
      </w:r>
    </w:p>
    <w:p>
      <w:pPr>
        <w:spacing w:after="0" w:line="54"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efforts of governmental and other third-party payors to contain, reduce or shift the costs of healthcare through various means, including an increased emphasis on managed care and attempts to limit or regulate the price of medical products and services, particularly for new and innovative products and therapies, any of which may result in downward pressure on pricing, reimbursement and utilization, which may adversely affect our product sales and results of operations.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any product candidates, including our planned and ongoing development programs for ensifentrine, will depend on many factors,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0" w:lineRule="exact"/>
        <w:rPr>
          <w:sz w:val="20"/>
          <w:szCs w:val="20"/>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our targeted indications to the satisfaction of the applicable regulatory authorities;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additional pre-clinical or clinical trials, which would increase our costs and prolong our development;</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a product candidate may not meet the level of statistical or clinical significance required by the applicable regulatory authorities for marketing approval;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the number, design, size, conduct or implementation of our clinical trials;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we retain to conduct clinical trials may take actions outside of our control that materially adversely impact our clinical trials;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 non-clinical safety profile that is acceptable to the applicable regulatory authorities;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operational or clinical issues may prevent completion or interpretation of clinical study results;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 may delay or otherwise adversely affect the progress of our clinical development program;</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travel restrictions or geopolitical conflict, including war and terrorism, such as the ongoing conflicts in Europe and the Middle East;</w:t>
      </w:r>
    </w:p>
    <w:p>
      <w:pPr>
        <w:spacing w:after="0" w:line="5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accept data generated at our clinical trial sites due to Good Clinical Practice (“GCP”) compliance issues, misconduct, or other reasons;</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development of a risk evaluation and mitigation strategy (“REMS”) or similar risk management measures as a condition of approval;</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identify deficiencies in the manufacturing processes or facilities of our third-party manufacturers;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change their approval policies or adopt new regulations;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license a product candidate to others, the efforts of those parties in completing clinical trials of, receiving regulatory approval for, and commercializing that product candidate;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clinical trials, we may discover factors that limit the commercial viability of a product candidate or make the commercialization of such product candidate unfeasible;</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unfavorable outcome in any of these factors could result in our experiencing significant delays or an inability to successfully commercialize our product candidates.</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received FDA approval to commercialize ensifentrine in the U.S. for the maintenance treatment of COPD in adult patients under the brand name Ohtuvayre, and are in the process of submitting applications to seek regulatory approval to commercialize ensifentrine in the European Union (“EU”) and additional countries, such as the United Kingdom.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investors to evaluate the success of our business to date and to assess our future viability.</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with different formulations of ensifentrine and for different indications, and two registrational Phase 3 clinical trials with nebulized ensifentrine for the maintenance treatment of COPD. While we have received approval for marketing ensifentrine in the U.S. for the maintenance treatment of COPD in adults, we are in the early stages of sales, marketing and distribution activities necessary for successful product commercialization. Additionally, we have recorded profit for only one fiscal quarter and have otherwise incurred losses in each year since our inception, and we expect our financial condition and operating results to continue to fluctuate significantly from quarter to quarter and year to year due to a variety of factors, including the Transaction, many of which are beyond our control. Consequently, any predictions investors make about our future success or viability may not be as accurate as they could be if we had a longer operating history.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May 9, 2024 (the “2024 Effective Date”), Verona Pharma, Inc. entered into a term loan facility of up to $400.0 million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“Lenders”). On March 27, 2025 (the “First Amendment Effective Date”), we entered into the first amendment (the “First Amendment”) to the 2024 Term Loan Agreement with the Agent and the Lenders to, among other things, increase the Tranche C Term Loan commitment thereunder from $75.0 million to $125.0 million (increasing the overall term loan facility thereunder to a total of $450.0 million) and add a provision allowing us to incur a working capital credit facility of up to $75.0 million (the 2024 Term Loan Agreement as amended by the First Amendment, the “Term Loan Agreement” and the term loans borrowed thereunder, the “Term Loans”).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the 2024 Effective Date, we received net proceeds of $52.8 million related to the Tranche A Term Loan under the 2024 Term Loan Agreement. We received net proceeds of $68.6 million related to the Tranche B Term Loan on June 28, 2024 following FDA approval of Ohtuvayre. On the First Amendment Effective Date, we drew down the full $125 million ($122.5 million in net proceeds) from the Tranche C Term Loans under the Term Loan Agreement. Pursuant to the First Amendment, the interest rate on the Term Loans was reduced from 11.0% per annum to 9.70% per annum, with a further reduction to 9.35% per annum upon achievement of certain sales milestones.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outstanding indebtedness, including any additional indebtedness incurred beyond our borrowings under the Term Loans, combined with our other financial obligations and contractual commitments could have significant adverse consequences, including:</w:t>
      </w:r>
    </w:p>
    <w:p>
      <w:pPr>
        <w:spacing w:after="0" w:line="54" w:lineRule="exact"/>
        <w:rPr>
          <w:sz w:val="20"/>
          <w:szCs w:val="20"/>
          <w:color w:val="auto"/>
        </w:rPr>
      </w:pPr>
    </w:p>
    <w:p>
      <w:pPr>
        <w:ind w:left="340" w:hanging="332"/>
        <w:spacing w:after="0" w:line="250"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need to meet minimum net sales requirements when our future sales are uncertain;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pacing w:after="0" w:line="7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rising inflation and interest rates, or political instability in particular non-U.S. economies and markets;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euro and currency controls;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 the imposition of tariffs, or trade wars;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natural disasters including earthquakes, typhoons, floods and fires, or public health emergencies.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0" w:lineRule="exact"/>
        <w:rPr>
          <w:sz w:val="20"/>
          <w:szCs w:val="20"/>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drug product characterizations or other in vivo or in vitro data to support the initiation or continuation of clinical trials;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agreement on clinical trial design or implementation, including dose and frequency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 to commence a trial;</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CRO to meet their contracted obligations regarding subject enrollment, data collection, data monitoring, laboratory sample management, programming and analysis or other activities;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or ethics committee approval or positive opinion at each site;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suitable patients to participate in a trial;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 or committing gross misconduct or fraud;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the addition of new clinical trial sites;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 maintain double-blinding, when required by the applicable clinical trial protocol;</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issues during manufacture;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drug product performance and/or stability;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that may reduce the commercial viability of the product candidate;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the applicable product candidates for use in clinical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 for either safety or efficacy;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the product candidate in clinical trials and obtaining injunctions interfering with our progress;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or natural disasters and other extreme weather-related events including earthquakes, hurricanes, typhoons, floods and fires;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imposed by the U.S. or other governments impacting our ability to transfer money to certain countries, such as Russia, to pay clinical trials sites in those countries;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to meet their contractual obligations to us in a timely manner, or at all;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certain countries in identifying the populations that we are trying to evaluate in a particular trial, which may delay enrollment.</w:t>
      </w:r>
    </w:p>
    <w:p>
      <w:pPr>
        <w:spacing w:after="0" w:line="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governmental regulations or administrative actions or lack of adequate funding to continue the clinical trial.</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the now-repealed EU Clinical Trials Directive (as implemented into U.K. law, through the Medicines for Human Use (Clinical Trials) Regulations 2004, as amended).</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the regulation of clinical trials in the U.K. will mirror the (EU) CTR in the long term is not yet certain, however, on December 12, 2024, the U.K. government introduced a legislative proposal - the Medicines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Human Use (Clinical Trials) Amendment Regulations 2024 - that, if implemented, will replace the current regulatory framework for clinical trials in the U.K. The U.K. government has provided the legislative proposal to the U.K. Parliament for its review and approval. Once the legislative proposal is approved (with or without amendment), it will be adopted into U.K. law which is expected in early 2026. A decision by the U.K. not to closely align its regulations with the new approach that has been adopted in the EU may have an effect on the cost of conducting clinical trials in the U.K. compared with other countries.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twenty Phase 1, 2 and 3 clinical trials of ensifentrine. In these trials, some patients have experienced mild to moderate adverse reactions, including urinary tract infection, back pain, hypertension, and diarrhea.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 undesirable or unacceptable side effects following regulatory approval, a number of potentially significant negative consequences could result, including:</w:t>
      </w:r>
    </w:p>
    <w:p>
      <w:pPr>
        <w:spacing w:after="0" w:line="76"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 and require us to take them off the market;</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conduct additional clinical trials or change the labeling of the product;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a product;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may be adversely impacted;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ensifentrine in different formulations, including fixed-dose combinations, and/or for other targeted indications, including bronchiectasis, CF, asthma or other respiratory diseases.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Part of our strategy is to continue to develop ensifentrine in different formulations and in indications other than COPD, such as bronchiectasis, CF and asthma and other formulations including fixed-dose combinations, MDI and DPI. Although our research and development efforts to date have suggested that ensifentrine has the potential to treat bronchiectasis, CF and asthma, we may not be able to successfully develop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5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pacing w:after="0" w:line="6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the reputation of Ohtuvayre in the market;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promote any approved products, including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warnings that identify known potential adverse effects and patients who should not use a product.</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could fail to receive regulatory approval for many reasons, including the following:</w:t>
      </w:r>
    </w:p>
    <w:p>
      <w:pPr>
        <w:spacing w:after="0" w:line="104" w:lineRule="exact"/>
        <w:rPr>
          <w:sz w:val="20"/>
          <w:szCs w:val="20"/>
          <w:color w:val="auto"/>
        </w:rPr>
      </w:pPr>
    </w:p>
    <w:p>
      <w:pPr>
        <w:ind w:left="340" w:right="2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product candidate is safe and effective for its proposed indication;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benefits outweigh its safety risks;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pre-clinical studies or clinical trials or may find the data to be unacceptable;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for various reasons, be considered insufficient to support the submission or approval of an NDA or supplemental NDA in the U.S., an MAA or variation in the EU, or other comparable submission to obtain regulatory approval in other countries;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 and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proposed product specifications and performance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the necessary or desired regulatory approvals for our product candidates. The FDA, the EMA and other 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and our business in the long term.</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 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 prolonged government shutdown occurs, or if funding shortages, staffing limitations, or renewed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Even though the FDA has approved Ohtuvayre, we remain subject to ongoing obligations and continued regulatory review, which may result in significant additional expense. Additionally, Ohtuvayre and any other approved products could be subject to labeling and other restrictions, or market withdrawal, and we may be subject to penalties if we fail to comply with regulatory requirements or experience unanticipated problems.</w:t>
      </w:r>
    </w:p>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 post-approval, all of which may result in significant expense and limit our ability to commercialize any 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80"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or commercialize ensifentrine in other major markets outside of the U.S., which would limit our ability to realize its full market potential.</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and in Macau for the maintenance treatment of COPD in adult patients in collaboration with Nuance Pharma,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8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and regulation may increase the difficulty and cost for us to commercialize our products and may affect the prices we may set.</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80" w:lineRule="exact"/>
        <w:rPr>
          <w:sz w:val="20"/>
          <w:szCs w:val="20"/>
          <w:color w:val="auto"/>
        </w:rPr>
      </w:pPr>
    </w:p>
    <w:p>
      <w:pPr>
        <w:ind w:left="340" w:right="2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(the “MDRP”);</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MDRP are calculated for drugs that are inhaled, infused, instilled, implanted or injected and not generally distributed through the retail channel;</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For example, the Budget Control Act of 2011 has, among other things, led to aggregate reductions of Medicare payments to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which, due to subsequent legislative amendments to the statute, will remain in effect through 2032, unless additional action is taken by Congress. The American Taxpayer Relief Act of 2012,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eliminated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Most significantly, in August 2022, the Inflation Reduction Act of 2022, or IRA, was signed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our company and the pharmaceutical industry cannot yet be fully determined but is likely to be significant.</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 H.R. 1, 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our sales of Ohtuvayre.</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current U.S. administration has issued executive orders that address the pricing of pharmaceuticals in the U.S. and has proposed a so-called most favored nation pricing policy, which would tie the price of drugs in the U.S. to the lowest price in a group of other countries. While it is unclear whether and how these proposals will be implemented, these policies are likely to have a negative impact on the pharmaceutical industry. Even proposals or executive actions that are ultimately deemed unlawful could negatively impact the U.S. pharmaceutical sector and our business.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new and changing laws, regulations, executive orders and other governmental actions may also create uncertainty about how laws and regulations will be interpreted and applied. Regulatory changes and other actions that materially affect our business may be announced with little or no advance notice, and we may be unable to effectively mitigate all adverse impacts from such measures.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products, if approved. In international markets, reimbursement and healthcare payment systems vary significantly by country, and many countries have instituted price ceilings on specific products and therapies.</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77" w:lineRule="exact"/>
        <w:rPr>
          <w:sz w:val="20"/>
          <w:szCs w:val="20"/>
          <w:color w:val="auto"/>
        </w:rPr>
      </w:pPr>
    </w:p>
    <w:p>
      <w:pPr>
        <w:jc w:val="both"/>
        <w:ind w:left="340" w:hanging="332"/>
        <w:spacing w:after="0" w:line="235"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0" w:lineRule="exact"/>
        <w:rPr>
          <w:sz w:val="20"/>
          <w:szCs w:val="20"/>
          <w:color w:val="auto"/>
        </w:rPr>
      </w:pPr>
    </w:p>
    <w:p>
      <w:pPr>
        <w:jc w:val="both"/>
        <w:ind w:left="340" w:hanging="332"/>
        <w:spacing w:after="0" w:line="239"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78"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and commercialization activities.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and many state Attorneys General also continue to enforce federal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consumer protection laws against companies for online collection, use, dissemination and security practices that appear to be unfair or deceptive, including by regulating the presentation of website content.</w:t>
      </w:r>
    </w:p>
    <w:p>
      <w:pPr>
        <w:spacing w:after="0" w:line="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Relatedly, since the beginning of 2021, following the U.K.’s withdrawal from the EEA and the EU,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varied and differing positions on environmental sustainability and social initiatives by government and other stakeholders could increase our costs, harm our reputation and adversely impact our financial results.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has been varied and differing public focus by investors, environmental activists, the media, governmental and nongovernmental organizations, and other stakeholders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We are currently assessing the potential impacts of the adopted or proposed laws, as well as other sustainability related disclosure obligations and evolving legal and regulatory requirements, to which we may be subject. If we fail to comply with new laws, regulations or reporting requirements, our reputation and business could be adversely impacted.</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Given the number of products already on the market and in development to treat COPD, asthma, CF and bronchiectasis, we expect to face intense competition for our products, including for Ohtuvayre, and for ensifentrine, if approved for these additional indications. Companies including GlaxoSmithKline, AstraZeneca, Vertex, Viatris, Theravance, Gilead, Genentech, Regeneron and Sanofi currently have treatments on the U.S. market for COPD, CF and asthma, and we anticipate that new companies will enter these markets in the future. While no treatments for bronchiectasis currently have marketing approval in the U.S. or EU, there are products in late-stage clinical development and in the regulatory review process that could be approved in the future. Our products will compete with existing therapies and new therapies that may become available in the future. The highly competitive nature of, and rapid technological changes in, the biopharmaceutical and pharmaceutical industries could render our products obsolete, less competitive or uneconomical. Our competitors may, among other things:</w:t>
      </w:r>
    </w:p>
    <w:p>
      <w:pPr>
        <w:spacing w:after="0" w:line="80" w:lineRule="exact"/>
        <w:rPr>
          <w:sz w:val="20"/>
          <w:szCs w:val="20"/>
          <w:color w:val="auto"/>
        </w:rPr>
      </w:pPr>
    </w:p>
    <w:p>
      <w:pPr>
        <w:jc w:val="both"/>
        <w:ind w:left="340" w:hanging="332"/>
        <w:spacing w:after="0" w:line="24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more convenient or easier to administer, or have fewer or less severe side effects;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products and technologies;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Forecasting potential sales for Ohtuvayre is difficult, and if our projections are inaccurate, our business may be harmed and our share price may be adversely affected.</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planning requires us to forecast or make assumptions regarding product demand and revenues for Ohtuvayre, despite numerous uncertainties. These uncertainties may be increased if we rely on third parties to conduct commercial activities in certain jurisdictions and provide us with accurate and timely information. Actual results may differ materially from projected results for various reasons, including the following, as well as risks identified in other risk factors:</w:t>
      </w:r>
    </w:p>
    <w:p>
      <w:pPr>
        <w:spacing w:after="0" w:line="6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Ohtuvayre, including as relative to marketed products and product candidates in development by third parties;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(including discounting and other promotions), reimbursement, product returns or recalls, competition, labeling, adverse events and other items that impact commercialization;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in the particular market, including fluctuations in demand for various reasons;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market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0"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and physician familiarity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use and physician prescribing history;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commercialization experience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rate of adoption;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provided without compensation through patient support programs or other free drug programs, may not eventually result in or contribute to revenue-producing prescriptions.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that our revenues from sales of Ohtuvayre will be based in part on estimates, judgment and accounting policies. Any incorrect estimates or disagreements with regulators or others regarding such estimates, judgment or accounting policies may result in changes to our guidance, projections or previously reported results. Expected and actual product sales and quarterly and other results may greatly fluctuate, including in the near-term, and such fluctuations can adversely affect the price of our common stock, perceptions of our ability to forecast demand and revenues, and our ability to maintain and fund our operations. The metrics that we are tracking in order to evaluate the success of our sales efforts may not correlate to commercial success, particularly given the challenging market for Ohtuvayre.</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Ohtuvayre will depend in part on the extent to which government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continued coverage and reimbursement for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Ohtuvayre to each payor separately, with no assurance that coverage and adequate reimbursement will be applied consistently or obtained in the first instance. Furthermore, rules and regulations regarding reimbursement change frequently,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cases at short notice, and we believe that changes in these rules and regulations are likely. Specifically, we believe that Ohtuvayre will be primarily reimbursed under a medical benefit through either Medicare Part B or Medicare Advantage programs, and changes within how products are reimbursed under these programs could occur and those changes may affect the overall coverage and reimbursement of Ohtuvayre in the future.</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even if a pharmaceutical product obtains a marketing authorization in the EU, there can be no assurance that reimbursement for such product will be secured on a timely basis or at all.</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“Enacted and future legislation and regulation may increase the difficulty and cost for us to commercialize our products and may affect the prices we may set,” above. The Medicare Part D rebate will be calculated on the basis of the AMP figures we report pursuant to the MDRP.</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(the “VA”), Federal Supply Schedule (“FSS”) pricing program. As part of this program, we are required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 The FCP is based on the Non-Federal Average Manufacturer Price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spacing w:after="0" w:line="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or other products will depend on a variety of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0"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relative to other products for the same or similar treatment;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 for which Ohtuvayre is approved;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frequency, and ease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effectiveness;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 support;</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continuing to develop sales, marketing, operations, distribution and reimbursement capabilities and infrastructure after receiving approval of Ohtuvayre in June 2024, and we did not market, sell or distribute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 market access, and distribution capabilities on our own or through collaborations would adversely impact the commercialization of Ohtuvayre.</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either on our own or through collaborations with one or more third parties, our future product revenue will suffer and we may incur significant additional losses.</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and marketing capabilities to market and sell our approved product, Ohtuvayre, we may be unable to generate adequate revenue.</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continuing to establish our infrastructure for the sales, marketing, market access, and distribution of Ohtuvayre, and the cost of establishing and maintaining such an organization may exceed the benefits of doing so. Additionally, the infrastructure we have built to support the launch of Ohtuvayre, future indications of ensifentrine, or other potential marketed products may not be sufficient, and we may be required to increase spending or add resources to support commercialization efforts.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established an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compete with other companies to recruit, hire, train and retain sales and marketing personnel. We cannot be sure that we will be able to retain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establish and maintain our sales and marketing capabilities include:</w:t>
      </w:r>
    </w:p>
    <w:p>
      <w:pPr>
        <w:spacing w:after="0" w:line="104"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Ohtuvayre or our product candidates, once approved;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as compared to companies who market products using independent third parties, such as costs associated with employee benefits, training, and managing sales personnel;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Beyond Ohtuvayre, we may leverage the sales and marketing capabilities that we establish for Ohtuvayre to commercialize additional product candidates or market Ohtuvayre for other indications, if approved by the FDA, in the U.S. If we are unable to do so for any reason, we would need to expend additional resources to establish commercialization capabilities for those product candidates or Ohtuvayre for other indications, if approved.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Good Laboratory Practice (“GLP”) and GCP requirements, which are regulations and guidelines enforced by the FDA and comparable foreign regulatory authorities with respect to the conduct of clinical trials, and in the case of GLP, certain animal studies. Regulatory authorities enforce these GLP and GCP requirements through periodic inspections of CROs, trial sponsors, principal investigators and trial sites. If we fail to exercise adequate oversight over any of our CROs or if we or any of our CROs fail to comply with applicable GLP or GCP requirements, the non-clinical or clinical data generated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clinical trials may be deemed unreliable and the FDA, the EMA or comparable foreign regulatory authorities may require us to perform additional studies or clinical trials before approving our marketing applications. We cannot provide assurance that upon a regulatory inspection of us or our CROs or other third parties performing services in connection with our non-clinical studies or clinical trials, such regulatory authority will determine that any of our non-clinical or clinical trials complies with GLP or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On June 24, 2025, we provided notice to Nuance Pharma of our decision to exercise our option to buy back the license granted to Nuance Pharma pursuant to the Nuance Agreement. Nuance Pharma has disputed the Buy-Back Notice. The ongoing dispute may result in costly litigation or arbitration that diverts our management’s attention and resources, and there is no guarantee that the dispute will ultimately be determined in our favor, or that we will be able to obtain a negotiated resolution on terms favorable to us or at all.</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entered into a collaboration and license agreement with Nuance Pharma effective June 9, 2021, and as amended on November 18, 2024, and supplemented on February 15, 2022 (the “Nuance Agreement”) under which we granted Nuance Pharma the exclusive rights to develop and commercialize products containing ensifentrine (the “Nuance Licensed Products”) in Greater China (China, Taiwan, Hong Kong and Macau).</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June 24, 2025, we provided notice (the “Buy-Back Notice”) to Nuance Pharma of our decision to exercise our option to buy back the license granted to Nuance Pharma pursuant to the Nuance Agreement (the “Buy-Back Option”), including any sublicenses granted by Nuance Pharma and all related assets. Nuance Pharma has disputed the Buy-Back Notice, and requested that it be withdrawn. We believe that the Buy-Back Notice was properly issued, and discussions are ongoing. The Buy-Back Notice may be withdrawn by us, at our sole discretion, at any point prior to paying Nuance Pharma the consideration due under the Buy-Back Option.</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of the Nuance Licensed Products identified under the Nuance Agreement.</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interests and Nuance Pharma’s interests may differ or conflict, including in connection with the ongoing dispute. If Nuance Pharma does not perform in the manner we expect or fulfill its responsibilities in a timely manner, or at all, including with respect to our exercise of the Buy-Back Option, our ability to develop and commercialize the Nuance Licensed Products in the manner of our choosing and to receive revenue from the commercialization of the Nuance Licensed Products could be impaired, and our business would be adversely affected.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Nuance Pharma may in the future file a request for binding arbitration under the International Chamber of Commerce Rules of Arbitration to resolve the ongoing dispute related to our exercise of the Buy-Back Option.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such arbitration or other legal proceedings would require us to dedicate significant time, effort and financial resources, and there is no guarantee that the dispute will ultimately be determined in our favor, or that we can obtain a negotiated resolution on terms favorable to us or at all. Additionally, delays incurred in adjudicating, and other factors that may inhere in, the dispute may diminish the value of Nuance Licensed Products, in absolute terms and/or relative to competitors.</w:t>
      </w:r>
    </w:p>
    <w:p>
      <w:pPr>
        <w:spacing w:after="0" w:line="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Transaction is not completed, and we fail to enter into new strategic relationships for ensifentrine, our business, research and development and commercialization prospects could be adversely affected.</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68"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collaborator devotes to the development of the product candidate;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experience financial difficulties;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distribution and intellectual property rights;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move forward with a competing product developed either independently or in collaboration with third parties, including our competitors;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and/or efficacy data from a collaborator’s clinical development activities may conflict with our data and could potentially impact our global clinical development and commercialization activities;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unlawfully use or disclose confidential information and materials in breach of confidentiality obligations to us;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our willingness to complete our obligations under any arrangement;</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collaborator could fail to adequately perform our obligations under the agreement and/or the agreement could fall into dispute; or</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our products or product candidates, or relating to the terms of our collaborations, which could be expensive, time consuming and unsuccessful.</w:t>
      </w:r>
    </w:p>
    <w:p>
      <w:pPr>
        <w:spacing w:after="0" w:line="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facilities for manufacturing ensifentrine and its derived formulated products. Instead, we rely on and expect to continue to rely on third-party CMOs, for the supply of cGMP- or GMP-grade clinical trial materials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ensifentrine and its derived formulated products, including commercial quantities of Ohtuvayre. While we may contract with other CMOs in the future, we currently have two CMOs for the manufacture of ensifentrine drug substance and one CMO for the two formulations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may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there would be a shortage in supply, which would impair our ability to generate revenues from the sale of Ohtuvayre. In addition, growth in the costs and expenses of these supplies may impair our ability to cost-effectively manufacture ensifentrine. Additionally, CMOs may experience labor constraints which could impact their ability to manufacture and deliver ensifentrine.</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of our pharmaceutical products are manufactured outside of the U.S. In certain years, the U.S. government has initiated substantial changes in U.S. trade policy and U.S. trade agreements, including the initiation of tariffs on certain foreign goods. In response to these tariffs, certain foreign governments, including Canada, China and Mexico, have instituted or are considering imposing tariffs on certain U.S. goods. If the U.S. imposes additional tariffs on a broader range of imports from certain countries, and in response those countries take further retaliatory trade measures, these actions could impose additional costs on our business. Increased tariffs could require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our prices which could decrease demand for our product, and in certain cases we may be unable to pass along increased costs to our customers.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 candidates. Patents and other intellectual property rights also will not protect our technology if competitors design around our protected technology without infringing our patents or other intellectual property rights.</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the 2024 Loan Agreement, or any other future loan agreements with third parties, we could lose rights that are important to our business.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are secured by a first-priority lien on substantially all of the assets of Verona Pharma, Inc. and the Company, including intellectual property. For further description of the 2024 Term Loans, see Note 7 – Debt to the unaudited condensed consolidated financial statements included elsewhere in this Quarterly Report on Form 10-Q.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registered trademarks in some territories and made applications to register the trademarks in other territories for potential trade names for our business and products and product candidates.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Our other issued patents covering Ohtuvayre will expire between 2031 and 2044, subject to any patent extensions that may be available for such patents. If patents are issued on our pending US patent applications relating to Ohtuvayre, the resulting US patents are projected to expire on dates ranging from 2043 to 2045.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Generic drug companies can also challenge the patents of a brand-name drug under the Hatch-Waxman Act. When a generic drug manufacturer files an Abbreviated New Drug Application (ANDA) or a New Drug Application (under 21 U.S.C. § 355(b)(2)) with the FDA to seek approval for a generic version of a brand-name drug that is already on the market, they must make certain certifications regarding the patents listed for such drug in the FDA’s publication entitled Approved Drug Products with Therapeutic Equivalence Evaluations (Orange Book). The Orange Book lists patents that innovator drug companies assert cover their drug products or use of those products and a Paragraph IV certification is a legal challenge to the validity or enforceability, or infringement, of the patent(s) listed in the Orange Book. If the generic applicant makes a Paragraph IV certification, they must also notify the patent holder and the NDA (New Drug Application) holder that they have filed an ANDA or NDA with a Paragraph IV certification, providing detailed reasons why the patent is not valid or not infringed. The filing of a Paragraph IV certification can trigger a statutory stay of approval of the ANDA or NDA for 30 months while the parties engage in patent litigation unless the litigation is resolved in favor of the generic applicant sooner or the court orders otherwise. This process can be a critical aspect of the generic drug approval pathway and may impact the timing of a generic drug’s entry into the market. Currently, there are four patents listed in the Orange Book for our product Ohtuvayre. Additional pending patent applications related to Ohtuvayre may result in granted patents that are then eligible for Orange Book listing. Ohtuvayre (and the patents listed in the Orange Book for Ohtuvayre) may be cited by potential competitors as a reference listed drug in support of approval of an ANDA for a generic version of Ohtuvayre. Our ability to assert or defend patents covering Ohtuvayre through this process will be adversely affected if we fail to seek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listing of eligible patents in the Orange Book, or fail to otherwise maintain patents for which we have already obtained Orange Book listing.</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generally file our first patent application, or priority filing, at the U.K. Intellectual Property Office or the U.S. Patent and Trademark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6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8" w:lineRule="exact"/>
        <w:rPr>
          <w:sz w:val="20"/>
          <w:szCs w:val="20"/>
          <w:color w:val="auto"/>
        </w:rPr>
      </w:pPr>
    </w:p>
    <w:p>
      <w:pPr>
        <w:ind w:left="340" w:right="2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products or product candidates but that are not covered by the claims of the patents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products or product candidates;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(the “AIA”), which was passed on September 16, 2011, resulted in significant changes to the U.S. patent system.</w:t>
      </w:r>
    </w:p>
    <w:p>
      <w:pPr>
        <w:spacing w:after="0" w:line="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 countries taking part in the UPC, including those issued prior to ratification of the European Patent Package, by default automatically fall under the jurisdiction of the UPC. The UPC provides our competitors with a new forum to centrally revoke our European patents in UPC countries, and allows for the possibility of a competitor to obtain pan-European injunctions. It will be several years before we will understand the scope of patent rights that will be recognized and the strength of patent remedies that will be provided by the UPC. Under the UPC agreement, we will have the right to opt our patents out of the UPC over the first seven years of the court’s existence, but doing so may preclude us from realizing the benefits of the new unified court.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protect other proprietary information.</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ordinary course of our business, we and our manufacturers, suppliers and third parties that we use to perform services for us or otherwise collaborate with, collect and store sensitive data, including intellectual property, clinical trial data, sales, forecasting, and commercial performance data, proprietary business information and personally identifiable information (collectively, “Confidential Information”) in our and third-party data centers and on our and third-party networks. The secure processing, maintenance and transmission of Confidential Information is critical to our operations. Our information technology and other internal infrastructure systems, including cloud services,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our ability to retain our key personnel and recruit additional qualified personnel.</w:t>
      </w:r>
    </w:p>
    <w:p>
      <w:pPr>
        <w:spacing w:after="0" w:line="1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chief regulatory officer,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 The Transaction may make it more difficult to attract and retain qualified employees due to the uncertainty about whether or when the Transaction will close and the impact of the Transaction on our employees.</w:t>
      </w:r>
    </w:p>
    <w:p>
      <w:pPr>
        <w:spacing w:after="0" w:line="7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and the limited experience of our management team in managing a company with such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Additionally, the Transaction Agreement generally restricts our ability to pay any dividends on our ordinary shares or ADSs during the interim period between the execution of the Transaction Agreement and the Effective Time (or the date on which the Transaction Agreement is earlier terminated).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incorporated under English law. Some of our assets are located outside the U.S. and certain members of our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board of directors or certain experts named herein who are residents of the U.K. or countries other than the U.S. any judgments obtained in U.S. courts in civil and commercial matters, including judgments under the U.S. federal securities laws.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Since becoming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and our subsidiaries are subject to tax laws and regulations in the United Kingdom, the United States, France, and other jurisdictions in which we operate. These laws and regulations are inherently complex, requiring us to make judgments about their application to our businesses. Governmental authorities may challenge our interpretations, potentially leading to administrative or judicial proceedings, penalties, or other material consequences. In addition, 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For example, on July 4, 2025, the OBBBA was signed into law in the United States. Among other changes, the OBBBA modifies key business tax provisions, including the restoration of 100% bonus depreciation under Section 168(k) of the United States Internal Revenue Code of 1986, as amended (the “Internal Revenue Code”), the restoration of the immediate deduction of U.S. domestic research and experimental expenditures under Section 174A of the Internal Revenue Code, the restoration of the EBITDA-based business interest expense limitation under Section 163(j) of the Internal Revenue Code, and changes to the computation of taxes related to international operations. Based on our current analysis of these provisions, we do not believe these provisions will have a material impact on our business and our results of operations. However, regulations and other United States Internal Revenue Service guidance implementing the OBBBA may give rise to new issues that we did not foresee, and further changes to tax laws may be implemented. Therefore, there can be no assurance that our business will not be adversely affected by the OBBBA or any other tax law changes.</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carry out research and development activities including, but not limited to, developing ensifentrine for various indications and delivery methods, and as a result we have previously benefitted in the U.K. from the HM Revenue and Customs, or HMRC, small and medium sized enterprises research and development relief, or SME R&amp;D Relief, which, prior to April 1, 2024, provided relief against U.K. Corporation Tax either by way of an enhanced deduction in computing profits subject to U.K. Corporation Tax, or as a payable cash credit where a company is loss making and relevant criteria are met.</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Broadly, SME R&amp;D Relief allowed qualifying SMEs to deduct a total of 186% of their qualifying expenditure from their yearly profit for U.K. Corporation Tax purposes (the deduction is given by allowing an additional 86% deduction plus the usual 100% deduction, the “SME R&amp;D Additional Deduction”). Where there were not sufficient profits for U.K. Corporation Tax purposes to fully utilize the SME R&amp;D Additional Deduction, the excess (“surrenderable losses”) could be carried forward to offset against future taxable profits, or a tax credit equal to 10% of such surrenderable loss could be claimed in cash (the “SME R&amp;D Tax Credit”).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criteria established by HMRC, prior to April 1, 2024, a portion of expenditure incurred in relation to our research and development activities including, but not limited to, operating clinical trials, manufacturing, consultant and salary and related costs, was eligible for the SME R&amp;D Additional Deduction. Our consequential surrenderable losses were also eligible for the SME R&amp;D Tax Credit, in accordance with HMRC criteria.</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financial statements for the years ended December 31, 2024 and December 31, 2023, we recorded SME R&amp;D Tax Credits of $3.7 million and $2.0 million, respectively. We received the credit relating to the year ended December 31, 2022 in June 2024 and we received the credit relating to the year ended December 31, 2023 in May 2025. Based on the HMRC criteria, in 2025 we expect to receive the credit relating to the year ended December 31, 2024.</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Changes to the U.K.’s SME R&amp;D Relief regime that take effect for accounting periods beginning on or after April 1, 2024, may adversely affect the financial benefit of the R&amp;D claim. Such changes have introduced a single R&amp;D relief regime which merges the “RDEC” and SME R&amp;D Relief scheme. The credit rate under the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current rates of U.K. corporation tax, profitable businesses subject to the main rate of U.K. corporation tax will effectively receive a credit of 15% of qualifying expenditure whilst loss-making businesses will receive a credit of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for accounting periods beginning on or after April 1, 2024, the R&amp;D intensive loss-making SME scheme threshold (broadly, the proportion of qualifying R&amp;D expenditure compared to total expenditure, including connected group companies) is 30%. Therefore, loss-making SMEs with qualifying R&amp;D expenditure of 30% or more of its total expenditure may claim an enhanced deduction of 86% and a repayable credit of 14.5%.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certain adverse U.S. federal income tax consequences could apply to U.S. Holders.</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 the taxable year ended December 31, 2024, we believe that we were not a passive foreign investment company (“PFIC”) for U.S. federal income tax purposes for such taxable year. However, no assurances regarding our PFIC status can be provided for any taxable year, including the current taxable year. If we are or have been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tax advisors with respect to the potential adverse U.S. tax consequences to it if we are a PFIC.</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or have been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“U.S. Holder” includes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Internal Revenue Code), or (ii) has a valid election in effect to be treated as a United States person. Special rules apply to investors who are, or who own our ordinary shares or ADSs through, an entity or arrangement treated as a partnership for U.S. federal income tax purposes.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or ADSs, such holder may be subject to adverse U.S. federal income tax consequences.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Under U.S. federal income tax rules currently in effect, because our group includes one or more U.S. subsidiaries, certain of our non-U.S. subsidiaries could be treated as CFCs, regardless of whether we are treated as a CFC. However, for taxable years beginning after December 31, 2025, as a result of the enactment of Section 958(b)(4) of the Internal Revenue Code by the OBBBA (restoring a limitation on so-called “downward attribution”), our non-U.S. subsidiaries generally will not be treated as CFCs with respect to a U.S. Holder that is a United States shareholder solely by reason of the inclusion of one or more U.S. subsidiaries within our group. A United States shareholder of a CFC may be required to report annually and include in its U.S. taxable income its pro rata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“Subpart F income,” “global intangible low-taxed income” (renamed “net CFC tested income” for taxable years beginning after December 31, 2025, pursuant to the OBBBA) and investments in U.S. property by such CFC, regardless of whether such CFC makes any distributions. Failure to comply with these reporting obligations may subject a United States shareholder to significant monetary penalties and may prevent the expiration of the statute of limitations with respect to such shareholder’s U.S. federal income tax return for the year for which reporting was due. An individual that is a United States shareholder with respect to a CFC generally would not be allowed certain tax deductions or foreign tax credits that would be allowed to a United States shareholder that is a U.S. corporation. We cannot provide any assurances that we will assist investors in determining whether we or any of our non-U.S. subsidiaries are treated as CFCs or whether any such investor is treated as a United States shareholder with respect to any such CFCs. Further, we cannot provide any assurances that we will furnish to any United States shareholder information that may be necessary to comply with the reporting and tax payment obligations described above. U.S. Holders should consult their tax advisors regarding the potential application of these rules to their investment in our ordinary shares or ADSs, including with respect to the potential effect of any changes pursuant to the OBBBA.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may be volatile and may fluctuate due to factors beyond our control.</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4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Transaction within the expected timeframe, if at all;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ensifentrine, including for our approved product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competitors’ businesses;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payment systems;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clinical trials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operating results;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regarding the ownership of ADSs, including as related to their inclusion in U.S. market indices;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commentators;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industry or in the economy as a whole;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non-U.S. customs, tariffs and trade barriers;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geopolitical instability, including the ongoing conflicts in Europe and the Middle East;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or board members, and significant holders of our ADSs; or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ADSs or ordinary shares could adversely affect the price of our ADSs.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fluctuating interest and inflation rates, tariffs and trade wars,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trading market for our ADSs and ordinary shares depends in part on the research and reports that securities or industry analysts or commentators publish about us, our business or our industry.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operations are potentially vulnerable to interruption by fire, severe weather conditions, power loss, telecommunications failure, terrorist activity, public health crises and pandemic diseases, and other natural and man- 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June 30, 2025, our officers and directors took the following actions with respect to 10b5-1 trading plans: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Aggregate Number of ADS</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to be Sold Pursuant to</w:t>
            </w: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Name and Title</w:t>
            </w:r>
          </w:p>
        </w:tc>
        <w:tc>
          <w:tcPr>
            <w:tcW w:w="2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Action</w:t>
            </w:r>
          </w:p>
        </w:tc>
        <w:tc>
          <w:tcPr>
            <w:tcW w:w="2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Date</w:t>
            </w:r>
          </w:p>
        </w:tc>
        <w:tc>
          <w:tcPr>
            <w:tcW w:w="2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End Date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Trading Arrangement</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 Edwards, Non-</w:t>
            </w:r>
          </w:p>
        </w:tc>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Adopt</w:t>
            </w:r>
          </w:p>
        </w:tc>
        <w:tc>
          <w:tcPr>
            <w:tcW w:w="22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May 20, 2025</w:t>
            </w: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Director</w:t>
            </w:r>
          </w:p>
        </w:tc>
        <w:tc>
          <w:tcPr>
            <w:tcW w:w="224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40" w:type="dxa"/>
            <w:vAlign w:val="bottom"/>
            <w:gridSpan w:val="2"/>
            <w:vMerge w:val="continue"/>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w:t>
            </w: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0" w:type="dxa"/>
            <w:vAlign w:val="bottom"/>
          </w:tcPr>
          <w:p>
            <w:pPr>
              <w:spacing w:after="0"/>
              <w:rPr>
                <w:sz w:val="1"/>
                <w:szCs w:val="1"/>
                <w:color w:val="auto"/>
              </w:rPr>
            </w:pPr>
          </w:p>
        </w:tc>
      </w:tr>
      <w:tr>
        <w:trPr>
          <w:trHeight w:val="297"/>
        </w:trPr>
        <w:tc>
          <w:tcPr>
            <w:tcW w:w="1100" w:type="dxa"/>
            <w:vAlign w:val="bottom"/>
            <w:gridSpan w:val="4"/>
            <w:vMerge w:val="restart"/>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540" w:type="dxa"/>
            <w:vAlign w:val="bottom"/>
            <w:gridSpan w:val="11"/>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Transaction Agreement, dated as of July 8, 2025, by and</w:t>
              </w:r>
            </w:hyperlink>
          </w:p>
        </w:tc>
        <w:tc>
          <w:tcPr>
            <w:tcW w:w="0" w:type="dxa"/>
            <w:vAlign w:val="bottom"/>
          </w:tcPr>
          <w:p>
            <w:pPr>
              <w:spacing w:after="0"/>
              <w:rPr>
                <w:sz w:val="1"/>
                <w:szCs w:val="1"/>
                <w:color w:val="auto"/>
              </w:rPr>
            </w:pPr>
          </w:p>
        </w:tc>
      </w:tr>
      <w:tr>
        <w:trPr>
          <w:trHeight w:val="20"/>
        </w:trPr>
        <w:tc>
          <w:tcPr>
            <w:tcW w:w="11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100" w:type="dxa"/>
            <w:vAlign w:val="bottom"/>
            <w:gridSpan w:val="4"/>
            <w:vMerge w:val="continue"/>
          </w:tcPr>
          <w:p>
            <w:pPr>
              <w:spacing w:after="0"/>
              <w:rPr>
                <w:sz w:val="6"/>
                <w:szCs w:val="6"/>
                <w:color w:val="auto"/>
              </w:rPr>
            </w:pPr>
          </w:p>
        </w:tc>
        <w:tc>
          <w:tcPr>
            <w:tcW w:w="4540" w:type="dxa"/>
            <w:vAlign w:val="bottom"/>
            <w:gridSpan w:val="11"/>
            <w:vMerge w:val="restart"/>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among Verona Pharma, Merck and Vol Holdings LLC.</w:t>
              </w:r>
            </w:hyperlink>
          </w:p>
        </w:tc>
        <w:tc>
          <w:tcPr>
            <w:tcW w:w="0" w:type="dxa"/>
            <w:vAlign w:val="bottom"/>
          </w:tcPr>
          <w:p>
            <w:pPr>
              <w:spacing w:after="0"/>
              <w:rPr>
                <w:sz w:val="1"/>
                <w:szCs w:val="1"/>
                <w:color w:val="auto"/>
              </w:rPr>
            </w:pPr>
          </w:p>
        </w:tc>
      </w:tr>
      <w:tr>
        <w:trPr>
          <w:trHeight w:val="61"/>
        </w:trPr>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5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0" w:type="dxa"/>
            <w:vAlign w:val="bottom"/>
          </w:tcPr>
          <w:p>
            <w:pPr>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Articles of Association, as amended and as currently in effect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vMerge w:val="restart"/>
          </w:tcPr>
          <w:p>
            <w:pPr>
              <w:spacing w:after="0"/>
              <w:rPr>
                <w:rFonts w:ascii="Times New Roman" w:cs="Times New Roman" w:eastAsia="Times New Roman" w:hAnsi="Times New Roman"/>
                <w:sz w:val="18"/>
                <w:szCs w:val="18"/>
                <w:color w:val="0000FF"/>
                <w:w w:val="95"/>
              </w:rPr>
            </w:pPr>
            <w:hyperlink r:id="rId9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Voting Agreement, dated as of July 8, 2025, by and among</w:t>
              </w:r>
            </w:hyperlink>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20" w:type="dxa"/>
            <w:vAlign w:val="bottom"/>
            <w:tcBorders>
              <w:bottom w:val="single" w:sz="8" w:color="0000FF"/>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540" w:type="dxa"/>
            <w:vAlign w:val="bottom"/>
            <w:gridSpan w:val="11"/>
            <w:vMerge w:val="restart"/>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Verona Pharma, Merck and the shareholders party thereto.</w:t>
              </w:r>
            </w:hyperlink>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5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First Amendment to Collaboration and License Agreement,</w:t>
            </w:r>
          </w:p>
        </w:tc>
        <w:tc>
          <w:tcPr>
            <w:tcW w:w="0" w:type="dxa"/>
            <w:vAlign w:val="bottom"/>
          </w:tcPr>
          <w:p>
            <w:pPr>
              <w:spacing w:after="0"/>
              <w:rPr>
                <w:sz w:val="1"/>
                <w:szCs w:val="1"/>
                <w:color w:val="auto"/>
              </w:rPr>
            </w:pPr>
          </w:p>
        </w:tc>
      </w:tr>
      <w:tr>
        <w:trPr>
          <w:trHeight w:val="156"/>
        </w:trPr>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42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dated November 18, 2024, by and between Verona Pharma</w:t>
            </w:r>
          </w:p>
        </w:tc>
        <w:tc>
          <w:tcPr>
            <w:tcW w:w="2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0"/>
              </w:rPr>
              <w:t>plc,</w:t>
            </w:r>
          </w:p>
        </w:tc>
        <w:tc>
          <w:tcPr>
            <w:tcW w:w="0" w:type="dxa"/>
            <w:vAlign w:val="bottom"/>
          </w:tcPr>
          <w:p>
            <w:pPr>
              <w:spacing w:after="0"/>
              <w:rPr>
                <w:sz w:val="1"/>
                <w:szCs w:val="1"/>
                <w:color w:val="auto"/>
              </w:rPr>
            </w:pPr>
          </w:p>
        </w:tc>
      </w:tr>
      <w:tr>
        <w:trPr>
          <w:trHeight w:val="20"/>
        </w:trPr>
        <w:tc>
          <w:tcPr>
            <w:tcW w:w="11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100" w:type="dxa"/>
            <w:vAlign w:val="bottom"/>
            <w:gridSpan w:val="4"/>
            <w:vMerge w:val="continue"/>
          </w:tcPr>
          <w:p>
            <w:pPr>
              <w:spacing w:after="0"/>
              <w:rPr>
                <w:sz w:val="6"/>
                <w:szCs w:val="6"/>
                <w:color w:val="auto"/>
              </w:rPr>
            </w:pPr>
          </w:p>
        </w:tc>
        <w:tc>
          <w:tcPr>
            <w:tcW w:w="4540" w:type="dxa"/>
            <w:vAlign w:val="bottom"/>
            <w:gridSpan w:val="11"/>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Nuance Pharma Limited and Nuance (Shanghai) Pharma Co</w:t>
            </w:r>
          </w:p>
        </w:tc>
        <w:tc>
          <w:tcPr>
            <w:tcW w:w="0" w:type="dxa"/>
            <w:vAlign w:val="bottom"/>
          </w:tcPr>
          <w:p>
            <w:pPr>
              <w:spacing w:after="0"/>
              <w:rPr>
                <w:sz w:val="1"/>
                <w:szCs w:val="1"/>
                <w:color w:val="auto"/>
              </w:rPr>
            </w:pPr>
          </w:p>
        </w:tc>
      </w:tr>
      <w:tr>
        <w:trPr>
          <w:trHeight w:val="61"/>
        </w:trPr>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680" w:type="dxa"/>
            <w:vAlign w:val="bottom"/>
          </w:tcPr>
          <w:p>
            <w:pPr>
              <w:spacing w:after="0"/>
              <w:rPr>
                <w:sz w:val="5"/>
                <w:szCs w:val="5"/>
                <w:color w:val="auto"/>
              </w:rPr>
            </w:pPr>
          </w:p>
        </w:tc>
        <w:tc>
          <w:tcPr>
            <w:tcW w:w="45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Ltd</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20" w:type="dxa"/>
            <w:vAlign w:val="bottom"/>
            <w:tcBorders>
              <w:bottom w:val="single" w:sz="8" w:color="0000FF"/>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540" w:type="dxa"/>
            <w:vAlign w:val="bottom"/>
            <w:gridSpan w:val="11"/>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5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540" w:type="dxa"/>
            <w:vAlign w:val="bottom"/>
            <w:gridSpan w:val="11"/>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5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149"/>
        </w:trPr>
        <w:tc>
          <w:tcPr>
            <w:tcW w:w="1100" w:type="dxa"/>
            <w:vAlign w:val="bottom"/>
            <w:gridSpan w:val="4"/>
            <w:vMerge w:val="continue"/>
          </w:tcPr>
          <w:p>
            <w:pPr>
              <w:spacing w:after="0"/>
              <w:rPr>
                <w:sz w:val="12"/>
                <w:szCs w:val="12"/>
                <w:color w:val="auto"/>
              </w:rPr>
            </w:pPr>
          </w:p>
        </w:tc>
        <w:tc>
          <w:tcPr>
            <w:tcW w:w="45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5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15"/>
        </w:trPr>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540" w:type="dxa"/>
            <w:vAlign w:val="bottom"/>
            <w:gridSpan w:val="11"/>
          </w:tcPr>
          <w:p>
            <w:pPr>
              <w:spacing w:after="0" w:line="114" w:lineRule="exact"/>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101.DEF</w:t>
            </w:r>
          </w:p>
        </w:tc>
        <w:tc>
          <w:tcPr>
            <w:tcW w:w="4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w w:val="98"/>
              </w:rPr>
              <w:t>Inline XBRL Taxonomy Extension Definition Linkbase</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4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88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120" w:right="200" w:hanging="1094"/>
        <w:spacing w:after="0" w:line="181" w:lineRule="auto"/>
        <w:tabs>
          <w:tab w:leader="none" w:pos="1120" w:val="left"/>
        </w:tabs>
        <w:numPr>
          <w:ilvl w:val="0"/>
          <w:numId w:val="40"/>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2"/>
              </w:rPr>
              <w:t>Form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 No.</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Exhibit No.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Filing date</w:t>
            </w:r>
          </w:p>
        </w:tc>
      </w:tr>
      <w:tr>
        <w:trPr>
          <w:trHeight w:val="432"/>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7/9/2025</w:t>
            </w:r>
          </w:p>
        </w:tc>
      </w:tr>
      <w:tr>
        <w:trPr>
          <w:trHeight w:val="540"/>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12/30/2020</w:t>
            </w:r>
          </w:p>
        </w:tc>
      </w:tr>
      <w:tr>
        <w:trPr>
          <w:trHeight w:val="540"/>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7/9/2025</w:t>
            </w: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ind w:right="20"/>
        <w:spacing w:after="0" w:line="263" w:lineRule="auto"/>
        <w:rPr>
          <w:sz w:val="20"/>
          <w:szCs w:val="20"/>
          <w:color w:val="auto"/>
        </w:rPr>
      </w:pPr>
      <w:r>
        <w:rPr>
          <w:rFonts w:ascii="Times New Roman" w:cs="Times New Roman" w:eastAsia="Times New Roman" w:hAnsi="Times New Roman"/>
          <w:sz w:val="17"/>
          <w:szCs w:val="17"/>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ectPr>
          <w:pgSz w:w="11900" w:h="16838" w:orient="portrait"/>
          <w:cols w:equalWidth="0" w:num="3">
            <w:col w:w="5660" w:space="360"/>
            <w:col w:w="4020" w:space="40"/>
            <w:col w:w="1160"/>
          </w:cols>
          <w:pgMar w:left="320" w:top="1440" w:right="339" w:bottom="1440" w:gutter="0" w:footer="0" w:header="0"/>
          <w:type w:val="continuous"/>
        </w:sectPr>
      </w:pPr>
    </w:p>
    <w:p>
      <w:pPr>
        <w:jc w:val="both"/>
        <w:ind w:firstLine="8"/>
        <w:spacing w:after="0" w:line="250" w:lineRule="auto"/>
        <w:tabs>
          <w:tab w:leader="none" w:pos="3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brackets and asterisks) have been omitted pursuant to Item 601(b)(10)(iv) of Regulation S-K. Schedules and exhibits have been omitted pursuant to Item 601(a)(5). The Company agrees to furnish supplementally to the SEC a copy of any omitted schedule or exhibit upon request by the SEC.</w:t>
      </w:r>
    </w:p>
    <w:p>
      <w:pPr>
        <w:spacing w:after="0" w:line="5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0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VERONA PHARMA PLC</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Zaccardelli</w:t>
            </w: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4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905"/>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W. Hahn</w:t>
            </w: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47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Hahn</w:t>
            </w: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85" w:name="page86"/>
    <w:bookmarkEnd w:id="85"/>
    <w:p>
      <w:pPr>
        <w:ind w:left="1022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67" w:lineRule="exact"/>
        <w:rPr>
          <w:sz w:val="20"/>
          <w:szCs w:val="20"/>
          <w:color w:val="auto"/>
        </w:rPr>
      </w:pPr>
    </w:p>
    <w:p>
      <w:pPr>
        <w:jc w:val="center"/>
        <w:ind w:left="340" w:right="80"/>
        <w:spacing w:after="0" w:line="270" w:lineRule="auto"/>
        <w:rPr>
          <w:sz w:val="20"/>
          <w:szCs w:val="20"/>
          <w:color w:val="auto"/>
        </w:rPr>
      </w:pPr>
      <w:r>
        <w:rPr>
          <w:rFonts w:ascii="Times New Roman" w:cs="Times New Roman" w:eastAsia="Times New Roman" w:hAnsi="Times New Roman"/>
          <w:sz w:val="19"/>
          <w:szCs w:val="19"/>
          <w:b w:val="1"/>
          <w:bCs w:val="1"/>
          <w:color w:val="auto"/>
        </w:rPr>
        <w:t>CERTAIN INFORMATION IN THIS DOCUMENT, MARKED BY [***], HAS BEEN EXCLUDED PURSUANT TO REGULATION S-K, ITEM 601(b)(10)(iv). SUCH EXCLUDED INFORMATION IS NOT MATERIAL AND IS THE TYPE THAT</w:t>
      </w:r>
    </w:p>
    <w:p>
      <w:pPr>
        <w:jc w:val="center"/>
        <w:spacing w:after="0"/>
        <w:rPr>
          <w:sz w:val="20"/>
          <w:szCs w:val="20"/>
          <w:color w:val="auto"/>
        </w:rPr>
      </w:pPr>
      <w:r>
        <w:rPr>
          <w:rFonts w:ascii="Times New Roman" w:cs="Times New Roman" w:eastAsia="Times New Roman" w:hAnsi="Times New Roman"/>
          <w:sz w:val="20"/>
          <w:szCs w:val="20"/>
          <w:b w:val="1"/>
          <w:bCs w:val="1"/>
          <w:color w:val="auto"/>
        </w:rPr>
        <w:t>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23" w:lineRule="exact"/>
        <w:rPr>
          <w:sz w:val="20"/>
          <w:szCs w:val="20"/>
          <w:color w:val="auto"/>
        </w:rPr>
      </w:pPr>
    </w:p>
    <w:p>
      <w:pPr>
        <w:jc w:val="both"/>
        <w:ind w:right="580"/>
        <w:spacing w:after="0" w:line="263" w:lineRule="auto"/>
        <w:rPr>
          <w:sz w:val="20"/>
          <w:szCs w:val="20"/>
          <w:color w:val="auto"/>
        </w:rPr>
      </w:pPr>
      <w:r>
        <w:rPr>
          <w:rFonts w:ascii="Times New Roman" w:cs="Times New Roman" w:eastAsia="Times New Roman" w:hAnsi="Times New Roman"/>
          <w:sz w:val="22"/>
          <w:szCs w:val="22"/>
          <w:color w:val="auto"/>
        </w:rPr>
        <w:t>This First Amendment to Collaboration and License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by and between Verona Pharma plc, a United Kingdom corporation (“</w:t>
      </w:r>
      <w:r>
        <w:rPr>
          <w:rFonts w:ascii="Times New Roman" w:cs="Times New Roman" w:eastAsia="Times New Roman" w:hAnsi="Times New Roman"/>
          <w:sz w:val="22"/>
          <w:szCs w:val="22"/>
          <w:u w:val="single" w:color="auto"/>
          <w:color w:val="auto"/>
        </w:rPr>
        <w:t>Verona</w:t>
      </w:r>
      <w:r>
        <w:rPr>
          <w:rFonts w:ascii="Times New Roman" w:cs="Times New Roman" w:eastAsia="Times New Roman" w:hAnsi="Times New Roman"/>
          <w:sz w:val="22"/>
          <w:szCs w:val="22"/>
          <w:color w:val="auto"/>
        </w:rPr>
        <w:t>”) and Nuance Pharma (Shanghai) Co., Ltd. (“</w:t>
      </w:r>
      <w:r>
        <w:rPr>
          <w:rFonts w:ascii="Times New Roman" w:cs="Times New Roman" w:eastAsia="Times New Roman" w:hAnsi="Times New Roman"/>
          <w:sz w:val="22"/>
          <w:szCs w:val="22"/>
          <w:u w:val="single" w:color="auto"/>
          <w:color w:val="auto"/>
        </w:rPr>
        <w:t>Nuance Shanghai</w:t>
      </w:r>
      <w:r>
        <w:rPr>
          <w:rFonts w:ascii="Times New Roman" w:cs="Times New Roman" w:eastAsia="Times New Roman" w:hAnsi="Times New Roman"/>
          <w:sz w:val="22"/>
          <w:szCs w:val="22"/>
          <w:color w:val="auto"/>
        </w:rPr>
        <w:t>”) and Nuance Pharma Limited (“</w:t>
      </w:r>
      <w:r>
        <w:rPr>
          <w:rFonts w:ascii="Times New Roman" w:cs="Times New Roman" w:eastAsia="Times New Roman" w:hAnsi="Times New Roman"/>
          <w:sz w:val="22"/>
          <w:szCs w:val="22"/>
          <w:u w:val="single" w:color="auto"/>
          <w:color w:val="auto"/>
        </w:rPr>
        <w:t>Nuance</w:t>
      </w:r>
      <w:r>
        <w:rPr>
          <w:rFonts w:ascii="Times New Roman" w:cs="Times New Roman" w:eastAsia="Times New Roman" w:hAnsi="Times New Roman"/>
          <w:sz w:val="22"/>
          <w:szCs w:val="22"/>
          <w:color w:val="auto"/>
        </w:rPr>
        <w:t>”) and is effective as of November 18,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right="220" w:firstLine="212"/>
        <w:spacing w:after="0" w:line="271" w:lineRule="auto"/>
        <w:rPr>
          <w:sz w:val="20"/>
          <w:szCs w:val="20"/>
          <w:color w:val="auto"/>
        </w:rPr>
      </w:pPr>
      <w:r>
        <w:rPr>
          <w:rFonts w:ascii="Times New Roman" w:cs="Times New Roman" w:eastAsia="Times New Roman" w:hAnsi="Times New Roman"/>
          <w:sz w:val="22"/>
          <w:szCs w:val="22"/>
          <w:color w:val="auto"/>
        </w:rPr>
        <w:t>WHEREAS, Nuance, Nuance Shanghai and Verona are parties to a Collaboration and License Agreement dated June 9, 2021 (the “</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parties wish to amend the License Agreement.</w:t>
      </w:r>
    </w:p>
    <w:p>
      <w:pPr>
        <w:spacing w:after="0" w:line="260" w:lineRule="exact"/>
        <w:rPr>
          <w:sz w:val="20"/>
          <w:szCs w:val="20"/>
          <w:color w:val="auto"/>
        </w:rPr>
      </w:pPr>
    </w:p>
    <w:p>
      <w:pPr>
        <w:jc w:val="both"/>
        <w:ind w:right="20" w:firstLine="216"/>
        <w:spacing w:after="0" w:line="257" w:lineRule="auto"/>
        <w:rPr>
          <w:sz w:val="20"/>
          <w:szCs w:val="20"/>
          <w:color w:val="auto"/>
        </w:rPr>
      </w:pPr>
      <w:r>
        <w:rPr>
          <w:rFonts w:ascii="Times New Roman" w:cs="Times New Roman" w:eastAsia="Times New Roman" w:hAnsi="Times New Roman"/>
          <w:sz w:val="22"/>
          <w:szCs w:val="22"/>
          <w:color w:val="auto"/>
        </w:rPr>
        <w:t>NOW, THEREFORE, BE IT RESOLVED that, in consideration of the premises and mutual covenants contained herein and for other good and valuable consideration, the receipt and sufficiency of which are hereby acknowledged, the parties hereto agree as follows:</w:t>
      </w:r>
    </w:p>
    <w:p>
      <w:pPr>
        <w:spacing w:after="0" w:line="20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Section 2.04 [Verona Buy-Back Option] of the License Agreement</w:t>
      </w:r>
      <w:r>
        <w:rPr>
          <w:rFonts w:ascii="Times New Roman" w:cs="Times New Roman" w:eastAsia="Times New Roman" w:hAnsi="Times New Roman"/>
          <w:sz w:val="22"/>
          <w:szCs w:val="22"/>
          <w:color w:val="auto"/>
        </w:rPr>
        <w:t>. The first sentence of Section</w:t>
      </w:r>
    </w:p>
    <w:p>
      <w:pPr>
        <w:spacing w:after="0" w:line="27" w:lineRule="exact"/>
        <w:rPr>
          <w:rFonts w:ascii="Times New Roman" w:cs="Times New Roman" w:eastAsia="Times New Roman" w:hAnsi="Times New Roman"/>
          <w:sz w:val="22"/>
          <w:szCs w:val="22"/>
          <w:color w:val="auto"/>
        </w:rPr>
      </w:pPr>
    </w:p>
    <w:p>
      <w:pPr>
        <w:ind w:left="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2.04 of the License Agreement is hereby deleted and replaced with the following:</w:t>
      </w:r>
    </w:p>
    <w:p>
      <w:pPr>
        <w:spacing w:after="0" w:line="223" w:lineRule="exact"/>
        <w:rPr>
          <w:sz w:val="20"/>
          <w:szCs w:val="20"/>
          <w:color w:val="auto"/>
        </w:rPr>
      </w:pPr>
    </w:p>
    <w:p>
      <w:pPr>
        <w:ind w:left="980" w:right="480"/>
        <w:spacing w:after="0" w:line="243" w:lineRule="auto"/>
        <w:rPr>
          <w:sz w:val="20"/>
          <w:szCs w:val="20"/>
          <w:color w:val="auto"/>
        </w:rPr>
      </w:pPr>
      <w:r>
        <w:rPr>
          <w:rFonts w:ascii="Times New Roman" w:cs="Times New Roman" w:eastAsia="Times New Roman" w:hAnsi="Times New Roman"/>
          <w:sz w:val="22"/>
          <w:szCs w:val="22"/>
          <w:color w:val="auto"/>
        </w:rPr>
        <w:t>“At any time after the Effective Date until the latter of either (a) the beginning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quarter of 2025 (July 2025); or (b) three (3) months prior to the expected completed submission of the first New Drug Application for a Licensed Product in the Field in Mainland China pursuant to Mainland China clinical development timeline attached hereto as Schedule 2.05, if (i) a Third Party (“Global Partner”) is interested in partnering with Verona, either globally or in territory covering at least U.S. or Europe, for the Development and/or Commercialization of the Licensed Product (“Global Partnership”), or (ii) Verona undergoes a Change of Control (the acquiring or successor entity in such Change of Control, the “Acquiring Party”), Verona will have an exclusive option right (the “Buy-Back Option”) to buy back the license granted to Nuance pursuant to Section 2.01(a) (including any sublicenses granted by Nuance pursuant to Section 2.03) and all related assets including all preclinical and clinical data, Clinical Study files, Regulatory Documents and Regulatory Approvals relating to the Licensed Product, taking into account the progress made by Nuance in the Development of the Licensed Product.”</w:t>
      </w:r>
    </w:p>
    <w:p>
      <w:pPr>
        <w:spacing w:after="0" w:line="218" w:lineRule="exact"/>
        <w:rPr>
          <w:sz w:val="20"/>
          <w:szCs w:val="20"/>
          <w:color w:val="auto"/>
        </w:rPr>
      </w:pPr>
    </w:p>
    <w:p>
      <w:pPr>
        <w:ind w:left="340" w:right="440" w:firstLine="316"/>
        <w:spacing w:after="0" w:line="271" w:lineRule="auto"/>
        <w:tabs>
          <w:tab w:leader="none" w:pos="131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Section 8.02(a) [Development Milestone Payments] of the License Agreement</w:t>
      </w:r>
      <w:r>
        <w:rPr>
          <w:rFonts w:ascii="Times New Roman" w:cs="Times New Roman" w:eastAsia="Times New Roman" w:hAnsi="Times New Roman"/>
          <w:sz w:val="22"/>
          <w:szCs w:val="22"/>
          <w:color w:val="auto"/>
        </w:rPr>
        <w:t>. The Milestone Event table in Section 8.02(a) of the License Agreement is hereby deleted and replaced with the following:</w:t>
      </w:r>
    </w:p>
    <w:p>
      <w:pPr>
        <w:sectPr>
          <w:pgSz w:w="11900" w:h="16838" w:orient="portrait"/>
          <w:cols w:equalWidth="0" w:num="1">
            <w:col w:w="11240"/>
          </w:cols>
          <w:pgMar w:left="320" w:top="114"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8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Milestone Event</w:t>
            </w: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Milestone Payment</w:t>
            </w:r>
          </w:p>
        </w:tc>
      </w:tr>
      <w:tr>
        <w:trPr>
          <w:trHeight w:val="28"/>
        </w:trPr>
        <w:tc>
          <w:tcPr>
            <w:tcW w:w="86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98"/>
        </w:trPr>
        <w:tc>
          <w:tcPr>
            <w:tcW w:w="8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 Earlier of [***] or [***]</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95"/>
        </w:trPr>
        <w:tc>
          <w:tcPr>
            <w:tcW w:w="8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 [***]</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29"/>
        </w:trPr>
        <w:tc>
          <w:tcPr>
            <w:tcW w:w="86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80" w:right="40" w:hanging="324"/>
        <w:spacing w:after="0" w:line="257" w:lineRule="auto"/>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Schedule 2.05 [China Clinical Development Timeline] of the License Agreement</w:t>
      </w:r>
      <w:r>
        <w:rPr>
          <w:rFonts w:ascii="Times New Roman" w:cs="Times New Roman" w:eastAsia="Times New Roman" w:hAnsi="Times New Roman"/>
          <w:sz w:val="22"/>
          <w:szCs w:val="22"/>
          <w:color w:val="auto"/>
        </w:rPr>
        <w:t>. Schedule 2.05 of the License Agreement is hereby deleted in its entirety and replace by the updated Schedule 2.05 attached hereto as Exhibit A.</w:t>
      </w:r>
    </w:p>
    <w:p>
      <w:pPr>
        <w:spacing w:after="0" w:line="21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80" w:right="460" w:firstLine="324"/>
        <w:spacing w:after="0" w:line="271" w:lineRule="auto"/>
        <w:tabs>
          <w:tab w:leader="none" w:pos="19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contemplated by this Amendment, all of the terms and conditions of the License Agreement shall remain in full force and effect.</w:t>
      </w:r>
    </w:p>
    <w:p>
      <w:pPr>
        <w:spacing w:after="0" w:line="184" w:lineRule="exact"/>
        <w:rPr>
          <w:rFonts w:ascii="Times New Roman" w:cs="Times New Roman" w:eastAsia="Times New Roman" w:hAnsi="Times New Roman"/>
          <w:sz w:val="22"/>
          <w:szCs w:val="22"/>
          <w:color w:val="auto"/>
        </w:rPr>
      </w:pPr>
    </w:p>
    <w:p>
      <w:pPr>
        <w:ind w:left="980" w:right="240" w:firstLine="324"/>
        <w:spacing w:after="0" w:line="256" w:lineRule="auto"/>
        <w:tabs>
          <w:tab w:leader="none" w:pos="195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by electronic means (including .PDF) and in any number of counterparts, each of which when executed and delivered, shall constitute an original, but all of which together shall constitute one agreement binding on all parties, notwithstanding that all parties are not signatories to the same counterpart.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Amendment to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60"/>
          </w:cols>
          <w:pgMar w:left="320" w:top="1440" w:right="31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0"/>
        <w:spacing w:after="0"/>
        <w:tabs>
          <w:tab w:leader="none" w:pos="6000" w:val="left"/>
        </w:tabs>
        <w:rPr>
          <w:sz w:val="20"/>
          <w:szCs w:val="20"/>
          <w:color w:val="auto"/>
        </w:rPr>
      </w:pPr>
      <w:r>
        <w:rPr>
          <w:rFonts w:ascii="Times New Roman" w:cs="Times New Roman" w:eastAsia="Times New Roman" w:hAnsi="Times New Roman"/>
          <w:sz w:val="22"/>
          <w:szCs w:val="22"/>
          <w:b w:val="1"/>
          <w:bCs w:val="1"/>
          <w:color w:val="auto"/>
        </w:rPr>
        <w:t>VERONA PHARMA PLC:</w:t>
      </w:r>
      <w:r>
        <w:rPr>
          <w:sz w:val="20"/>
          <w:szCs w:val="20"/>
          <w:color w:val="auto"/>
        </w:rPr>
        <w:tab/>
      </w:r>
      <w:r>
        <w:rPr>
          <w:rFonts w:ascii="Times New Roman" w:cs="Times New Roman" w:eastAsia="Times New Roman" w:hAnsi="Times New Roman"/>
          <w:sz w:val="21"/>
          <w:szCs w:val="21"/>
          <w:b w:val="1"/>
          <w:bCs w:val="1"/>
          <w:color w:val="auto"/>
        </w:rPr>
        <w:t>NUANCE PHARMA (SHANGHAI) CO., LTD.: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 David Zaccardelli</w:t>
            </w: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By:</w:t>
            </w:r>
          </w:p>
        </w:tc>
        <w:tc>
          <w:tcPr>
            <w:tcW w:w="4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Mark Lotter</w:t>
            </w:r>
          </w:p>
        </w:tc>
      </w:tr>
      <w:tr>
        <w:trPr>
          <w:trHeight w:val="28"/>
        </w:trPr>
        <w:tc>
          <w:tcPr>
            <w:tcW w:w="100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546"/>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David Zaccardelli</w:t>
            </w: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Mark Lotter</w:t>
            </w:r>
          </w:p>
        </w:tc>
      </w:tr>
      <w:tr>
        <w:trPr>
          <w:trHeight w:val="28"/>
        </w:trPr>
        <w:tc>
          <w:tcPr>
            <w:tcW w:w="100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546"/>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President &amp; CEO</w:t>
            </w: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Mr MG Lotter</w:t>
            </w:r>
          </w:p>
        </w:tc>
      </w:tr>
      <w:tr>
        <w:trPr>
          <w:trHeight w:val="28"/>
        </w:trPr>
        <w:tc>
          <w:tcPr>
            <w:tcW w:w="100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545"/>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27-Nov-2024</w:t>
            </w: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Date:</w:t>
            </w:r>
          </w:p>
        </w:tc>
        <w:tc>
          <w:tcPr>
            <w:tcW w:w="4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3-Dec-2024</w:t>
            </w:r>
          </w:p>
        </w:tc>
      </w:tr>
      <w:tr>
        <w:trPr>
          <w:trHeight w:val="29"/>
        </w:trPr>
        <w:tc>
          <w:tcPr>
            <w:tcW w:w="100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545"/>
        </w:trPr>
        <w:tc>
          <w:tcPr>
            <w:tcW w:w="5020" w:type="dxa"/>
            <w:vAlign w:val="bottom"/>
            <w:gridSpan w:val="3"/>
          </w:tcPr>
          <w:p>
            <w:pPr>
              <w:ind w:left="780"/>
              <w:spacing w:after="0"/>
              <w:rPr>
                <w:sz w:val="20"/>
                <w:szCs w:val="20"/>
                <w:color w:val="auto"/>
              </w:rPr>
            </w:pPr>
            <w:r>
              <w:rPr>
                <w:rFonts w:ascii="Times New Roman" w:cs="Times New Roman" w:eastAsia="Times New Roman" w:hAnsi="Times New Roman"/>
                <w:sz w:val="22"/>
                <w:szCs w:val="22"/>
                <w:b w:val="1"/>
                <w:bCs w:val="1"/>
                <w:color w:val="auto"/>
              </w:rPr>
              <w:t>NUANCE PHARMA LIMITED:</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985"/>
        </w:trPr>
        <w:tc>
          <w:tcPr>
            <w:tcW w:w="1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By:</w:t>
            </w:r>
          </w:p>
        </w:tc>
        <w:tc>
          <w:tcPr>
            <w:tcW w:w="34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Mark Lotter</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
        </w:trPr>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545"/>
        </w:trPr>
        <w:tc>
          <w:tcPr>
            <w:tcW w:w="1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Name:</w:t>
            </w:r>
          </w:p>
        </w:tc>
        <w:tc>
          <w:tcPr>
            <w:tcW w:w="34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Mark Lotter</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8"/>
        </w:trPr>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545"/>
        </w:trPr>
        <w:tc>
          <w:tcPr>
            <w:tcW w:w="1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Title:</w:t>
            </w:r>
          </w:p>
        </w:tc>
        <w:tc>
          <w:tcPr>
            <w:tcW w:w="34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Mr MG Lotter</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
        </w:trPr>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545"/>
        </w:trPr>
        <w:tc>
          <w:tcPr>
            <w:tcW w:w="1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Date:</w:t>
            </w:r>
          </w:p>
        </w:tc>
        <w:tc>
          <w:tcPr>
            <w:tcW w:w="34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3-Dec-2024</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8"/>
        </w:trPr>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3</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0880"/>
          </w:cols>
          <w:pgMar w:left="320" w:top="1440" w:right="69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Schedule 2.05</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Mainland China Clinical Development Timeline</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4</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0139"/>
          </w:cols>
          <w:pgMar w:left="320" w:top="1440" w:right="1440" w:bottom="1440" w:gutter="0" w:footer="0" w:header="0"/>
        </w:sectPr>
      </w:pPr>
    </w:p>
    <w:bookmarkStart w:id="89" w:name="page90"/>
    <w:bookmarkEnd w:id="89"/>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360" w:hanging="190"/>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500" w:right="300" w:hanging="330"/>
        <w:spacing w:after="0" w:line="266" w:lineRule="auto"/>
        <w:tabs>
          <w:tab w:leader="none" w:pos="3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80" w:hanging="330"/>
        <w:spacing w:after="0" w:line="282" w:lineRule="auto"/>
        <w:tabs>
          <w:tab w:leader="none" w:pos="3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360" w:hanging="190"/>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500" w:right="300" w:hanging="330"/>
        <w:spacing w:after="0" w:line="266" w:lineRule="auto"/>
        <w:tabs>
          <w:tab w:leader="none" w:pos="3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80" w:hanging="330"/>
        <w:spacing w:after="0" w:line="282" w:lineRule="auto"/>
        <w:tabs>
          <w:tab w:leader="none" w:pos="3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74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74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04"/>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3"/>
    </w:lvl>
    <w:lvl w:ilvl="1">
      <w:lvlJc w:val="left"/>
      <w:lvlText w:val="%2."/>
      <w:numFmt w:val="lowerLetter"/>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5"/>
    </w:lvl>
    <w:lvl w:ilvl="1">
      <w:lvlJc w:val="left"/>
      <w:lvlText w:val="(%2)"/>
      <w:numFmt w:val="lowerLetter"/>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5"/>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3" Type="http://schemas.openxmlformats.org/officeDocument/2006/relationships/hyperlink" Target="https://www.sec.gov/Archives/edgar/data/1657312/000110465925066588/tm2520134d1_ex2-1.htm" TargetMode="External"/><Relationship Id="rId94" Type="http://schemas.openxmlformats.org/officeDocument/2006/relationships/hyperlink" Target="https://www.sec.gov/Archives/edgar/data/1657312/000110465920140541/tm2039594d1_ex1.htm" TargetMode="External"/><Relationship Id="rId95" Type="http://schemas.openxmlformats.org/officeDocument/2006/relationships/hyperlink" Target="https://www.sec.gov/Archives/edgar/data/1657312/000110465925066588/tm252013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2025-08-06T07:07:41Z</dcterms:created>
  <dcterms:modified xsi:type="dcterms:W3CDTF">2025-08-06T07:07:41Z</dcterms:modified>
</cp:coreProperties>
</file>