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854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854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Poll Claire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 MORE LONDON RIVERSIDE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SE1 2RE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Verona Pharma plc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VRNA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08/01/2023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80" w:right="420" w:hanging="249"/>
        <w:spacing w:after="0" w:line="182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18,608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2.679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1,968,783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12,944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2.593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1,955,839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774,256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3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jc w:val="center"/>
              <w:ind w:lef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20" w:firstLine="9"/>
        <w:spacing w:after="0" w:line="23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in the Form 4 were effected pursuant to a Rule 10b5-1 instruction entered into on May 14, 2021 solely with the intent to cover taxes in connection with the vesting of certain previously reported Restricted Share Units.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represents the sale price of the ADSs divided by eight (8).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Consists of (i) 1,471,672 Ordinary Shares underlying RSUs (which are represented by 183,959 ADSs); (ii) 484,160 Ordinary Shares underlying 60,520 ADSs and (iii) 7 Ordinary Shares.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Held by a family trust of which (a) the Reporting Person and spouse are trustees and (b) the Reporting Person and members of her immediate family are the sole beneficiaries of the trust.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Claire Poll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08/03/2023</w:t>
            </w:r>
          </w:p>
        </w:tc>
      </w:tr>
      <w:tr>
        <w:trPr>
          <w:trHeight w:val="23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36820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2023-08-03T19:35:03Z</dcterms:created>
  <dcterms:modified xsi:type="dcterms:W3CDTF">2023-08-03T19:35:03Z</dcterms:modified>
</cp:coreProperties>
</file>