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27" w:lineRule="exact"/>
        <w:rPr>
          <w:sz w:val="24"/>
          <w:szCs w:val="24"/>
          <w:color w:val="auto"/>
        </w:rPr>
      </w:pPr>
    </w:p>
    <w:p>
      <w:pPr>
        <w:jc w:val="center"/>
        <w:ind w:right="-520"/>
        <w:spacing w:after="0"/>
        <w:rPr>
          <w:sz w:val="20"/>
          <w:szCs w:val="20"/>
          <w:color w:val="auto"/>
        </w:rPr>
      </w:pPr>
      <w:r>
        <w:rPr>
          <w:rFonts w:ascii="Arial" w:cs="Arial" w:eastAsia="Arial" w:hAnsi="Arial"/>
          <w:sz w:val="24"/>
          <w:szCs w:val="24"/>
          <w:b w:val="1"/>
          <w:bCs w:val="1"/>
          <w:color w:val="auto"/>
        </w:rPr>
        <w:t>UNITED STATES</w:t>
      </w:r>
    </w:p>
    <w:p>
      <w:pPr>
        <w:spacing w:after="0" w:line="19" w:lineRule="exact"/>
        <w:rPr>
          <w:sz w:val="24"/>
          <w:szCs w:val="24"/>
          <w:color w:val="auto"/>
        </w:rPr>
      </w:pPr>
    </w:p>
    <w:p>
      <w:pPr>
        <w:jc w:val="center"/>
        <w:ind w:right="-580"/>
        <w:spacing w:after="0"/>
        <w:rPr>
          <w:sz w:val="20"/>
          <w:szCs w:val="20"/>
          <w:color w:val="auto"/>
        </w:rPr>
      </w:pPr>
      <w:r>
        <w:rPr>
          <w:rFonts w:ascii="Arial" w:cs="Arial" w:eastAsia="Arial" w:hAnsi="Arial"/>
          <w:sz w:val="23"/>
          <w:szCs w:val="23"/>
          <w:b w:val="1"/>
          <w:bCs w:val="1"/>
          <w:color w:val="auto"/>
        </w:rPr>
        <w:t>SECURITIES AND EXCHANGE COMMISSION</w:t>
      </w:r>
    </w:p>
    <w:p>
      <w:pPr>
        <w:spacing w:after="0" w:line="47" w:lineRule="exact"/>
        <w:rPr>
          <w:sz w:val="24"/>
          <w:szCs w:val="24"/>
          <w:color w:val="auto"/>
        </w:rPr>
      </w:pPr>
    </w:p>
    <w:p>
      <w:pPr>
        <w:ind w:left="428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2647315</wp:posOffset>
            </wp:positionH>
            <wp:positionV relativeFrom="paragraph">
              <wp:posOffset>113665</wp:posOffset>
            </wp:positionV>
            <wp:extent cx="1169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580"/>
        <w:spacing w:after="0"/>
        <w:rPr>
          <w:sz w:val="20"/>
          <w:szCs w:val="20"/>
          <w:color w:val="auto"/>
        </w:rPr>
      </w:pPr>
      <w:r>
        <w:rPr>
          <w:rFonts w:ascii="Arial" w:cs="Arial" w:eastAsia="Arial" w:hAnsi="Arial"/>
          <w:sz w:val="24"/>
          <w:szCs w:val="24"/>
          <w:b w:val="1"/>
          <w:bCs w:val="1"/>
          <w:color w:val="auto"/>
        </w:rPr>
        <w:t>SCHEDULE 14A</w:t>
      </w:r>
    </w:p>
    <w:p>
      <w:pPr>
        <w:spacing w:after="0" w:line="49" w:lineRule="exact"/>
        <w:rPr>
          <w:sz w:val="24"/>
          <w:szCs w:val="24"/>
          <w:color w:val="auto"/>
        </w:rPr>
      </w:pPr>
    </w:p>
    <w:p>
      <w:pPr>
        <w:ind w:left="4580"/>
        <w:spacing w:after="0"/>
        <w:rPr>
          <w:sz w:val="20"/>
          <w:szCs w:val="20"/>
          <w:color w:val="auto"/>
        </w:rPr>
      </w:pPr>
      <w:r>
        <w:rPr>
          <w:rFonts w:ascii="Arial" w:cs="Arial" w:eastAsia="Arial" w:hAnsi="Arial"/>
          <w:sz w:val="17"/>
          <w:szCs w:val="17"/>
          <w:b w:val="1"/>
          <w:bCs w:val="1"/>
          <w:color w:val="auto"/>
        </w:rPr>
        <w:t>(Rule 14a-101)</w:t>
      </w:r>
    </w:p>
    <w:p>
      <w:pPr>
        <w:spacing w:after="0" w:line="112" w:lineRule="exact"/>
        <w:rPr>
          <w:sz w:val="24"/>
          <w:szCs w:val="24"/>
          <w:color w:val="auto"/>
        </w:rPr>
      </w:pPr>
    </w:p>
    <w:p>
      <w:pPr>
        <w:ind w:left="3040"/>
        <w:spacing w:after="0"/>
        <w:rPr>
          <w:sz w:val="20"/>
          <w:szCs w:val="20"/>
          <w:color w:val="auto"/>
        </w:rPr>
      </w:pPr>
      <w:r>
        <w:rPr>
          <w:rFonts w:ascii="Arial" w:cs="Arial" w:eastAsia="Arial" w:hAnsi="Arial"/>
          <w:sz w:val="17"/>
          <w:szCs w:val="17"/>
          <w:b w:val="1"/>
          <w:bCs w:val="1"/>
          <w:color w:val="auto"/>
        </w:rPr>
        <w:t>INFORMATION REQUIRED IN PROXY STATEMENT</w:t>
      </w:r>
    </w:p>
    <w:p>
      <w:pPr>
        <w:spacing w:after="0" w:line="24" w:lineRule="exact"/>
        <w:rPr>
          <w:sz w:val="24"/>
          <w:szCs w:val="24"/>
          <w:color w:val="auto"/>
        </w:rPr>
      </w:pPr>
    </w:p>
    <w:p>
      <w:pPr>
        <w:ind w:left="3840"/>
        <w:spacing w:after="0"/>
        <w:rPr>
          <w:sz w:val="20"/>
          <w:szCs w:val="20"/>
          <w:color w:val="auto"/>
        </w:rPr>
      </w:pPr>
      <w:r>
        <w:rPr>
          <w:rFonts w:ascii="Arial" w:cs="Arial" w:eastAsia="Arial" w:hAnsi="Arial"/>
          <w:sz w:val="17"/>
          <w:szCs w:val="17"/>
          <w:b w:val="1"/>
          <w:bCs w:val="1"/>
          <w:color w:val="auto"/>
        </w:rPr>
        <w:t>SCHEDULE 14A INFORMATION</w:t>
      </w:r>
    </w:p>
    <w:p>
      <w:pPr>
        <w:sectPr>
          <w:pgSz w:w="11900" w:h="16838" w:orient="portrait"/>
          <w:cols w:equalWidth="0" w:num="1">
            <w:col w:w="9599"/>
          </w:cols>
          <w:pgMar w:left="860" w:top="234" w:right="1440" w:bottom="1440" w:gutter="0" w:footer="0" w:header="0"/>
        </w:sectPr>
      </w:pPr>
    </w:p>
    <w:p>
      <w:pPr>
        <w:spacing w:after="0" w:line="96" w:lineRule="exact"/>
        <w:rPr>
          <w:sz w:val="24"/>
          <w:szCs w:val="24"/>
          <w:color w:val="auto"/>
        </w:rPr>
      </w:pPr>
    </w:p>
    <w:p>
      <w:pPr>
        <w:ind w:left="3080" w:firstLine="291"/>
        <w:spacing w:after="0" w:line="392" w:lineRule="auto"/>
        <w:rPr>
          <w:sz w:val="20"/>
          <w:szCs w:val="20"/>
          <w:color w:val="auto"/>
        </w:rPr>
      </w:pPr>
      <w:r>
        <w:rPr>
          <w:rFonts w:ascii="Arial" w:cs="Arial" w:eastAsia="Arial" w:hAnsi="Arial"/>
          <w:sz w:val="14"/>
          <w:szCs w:val="14"/>
          <w:b w:val="1"/>
          <w:bCs w:val="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2647315</wp:posOffset>
            </wp:positionH>
            <wp:positionV relativeFrom="paragraph">
              <wp:posOffset>33655</wp:posOffset>
            </wp:positionV>
            <wp:extent cx="1169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325" w:lineRule="exact"/>
        <w:rPr>
          <w:sz w:val="24"/>
          <w:szCs w:val="24"/>
          <w:color w:val="auto"/>
        </w:rPr>
      </w:pPr>
    </w:p>
    <w:p>
      <w:pPr>
        <w:sectPr>
          <w:pgSz w:w="11900" w:h="16838" w:orient="portrait"/>
          <w:cols w:equalWidth="0" w:num="2">
            <w:col w:w="6760" w:space="280"/>
            <w:col w:w="2559"/>
          </w:cols>
          <w:pgMar w:left="860" w:top="234" w:right="1440" w:bottom="1440" w:gutter="0" w:footer="0" w:header="0"/>
          <w:type w:val="continuous"/>
        </w:sectPr>
      </w:pPr>
    </w:p>
    <w:p>
      <w:pPr>
        <w:spacing w:after="0" w:line="26" w:lineRule="exact"/>
        <w:rPr>
          <w:sz w:val="24"/>
          <w:szCs w:val="24"/>
          <w:color w:val="auto"/>
        </w:rPr>
      </w:pPr>
    </w:p>
    <w:p>
      <w:pPr>
        <w:ind w:left="460"/>
        <w:spacing w:after="0" w:line="196" w:lineRule="exact"/>
        <w:tabs>
          <w:tab w:leader="none" w:pos="222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50" w:lineRule="exact"/>
        <w:rPr>
          <w:sz w:val="24"/>
          <w:szCs w:val="24"/>
          <w:color w:val="auto"/>
        </w:rPr>
      </w:pPr>
    </w:p>
    <w:p>
      <w:pPr>
        <w:ind w:left="460"/>
        <w:spacing w:after="0" w:line="196" w:lineRule="exact"/>
        <w:tabs>
          <w:tab w:leader="none" w:pos="3540" w:val="left"/>
        </w:tabs>
        <w:rPr>
          <w:sz w:val="20"/>
          <w:szCs w:val="20"/>
          <w:color w:val="auto"/>
        </w:rPr>
      </w:pPr>
      <w:r>
        <w:rPr>
          <w:rFonts w:ascii="Arial" w:cs="Arial" w:eastAsia="Arial" w:hAnsi="Arial"/>
          <w:sz w:val="17"/>
          <w:szCs w:val="17"/>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69" w:lineRule="exact"/>
        <w:rPr>
          <w:sz w:val="24"/>
          <w:szCs w:val="24"/>
          <w:color w:val="auto"/>
        </w:rPr>
      </w:pPr>
    </w:p>
    <w:p>
      <w:pPr>
        <w:ind w:left="460"/>
        <w:spacing w:after="0"/>
        <w:rPr>
          <w:sz w:val="20"/>
          <w:szCs w:val="20"/>
          <w:color w:val="auto"/>
        </w:rPr>
      </w:pPr>
      <w:r>
        <w:rPr>
          <w:rFonts w:ascii="Arial" w:cs="Arial" w:eastAsia="Arial" w:hAnsi="Arial"/>
          <w:sz w:val="17"/>
          <w:szCs w:val="17"/>
          <w:color w:val="auto"/>
        </w:rPr>
        <w:t>Check the appropriate box:</w:t>
      </w:r>
    </w:p>
    <w:p>
      <w:pPr>
        <w:spacing w:after="0" w:line="150" w:lineRule="exact"/>
        <w:rPr>
          <w:sz w:val="24"/>
          <w:szCs w:val="24"/>
          <w:color w:val="auto"/>
        </w:rPr>
      </w:pPr>
    </w:p>
    <w:p>
      <w:pPr>
        <w:ind w:left="800" w:hanging="332"/>
        <w:spacing w:after="0"/>
        <w:tabs>
          <w:tab w:leader="none" w:pos="8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45" w:lineRule="exact"/>
        <w:rPr>
          <w:rFonts w:ascii="MS PGothic" w:cs="MS PGothic" w:eastAsia="MS PGothic" w:hAnsi="MS PGothic"/>
          <w:sz w:val="17"/>
          <w:szCs w:val="17"/>
          <w:color w:val="auto"/>
        </w:rPr>
      </w:pPr>
    </w:p>
    <w:p>
      <w:pPr>
        <w:ind w:left="800" w:hanging="332"/>
        <w:spacing w:after="0"/>
        <w:tabs>
          <w:tab w:leader="none" w:pos="8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41" w:lineRule="exact"/>
        <w:rPr>
          <w:sz w:val="24"/>
          <w:szCs w:val="24"/>
          <w:color w:val="auto"/>
        </w:rPr>
      </w:pPr>
    </w:p>
    <w:p>
      <w:pPr>
        <w:ind w:left="800" w:hanging="332"/>
        <w:spacing w:after="0"/>
        <w:tabs>
          <w:tab w:leader="none" w:pos="8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50" w:lineRule="exact"/>
        <w:rPr>
          <w:sz w:val="24"/>
          <w:szCs w:val="24"/>
          <w:color w:val="auto"/>
        </w:rPr>
      </w:pPr>
    </w:p>
    <w:p>
      <w:pPr>
        <w:ind w:left="800" w:hanging="332"/>
        <w:spacing w:after="0"/>
        <w:tabs>
          <w:tab w:leader="none" w:pos="8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49" w:lineRule="exact"/>
        <w:rPr>
          <w:rFonts w:ascii="MS PGothic" w:cs="MS PGothic" w:eastAsia="MS PGothic" w:hAnsi="MS PGothic"/>
          <w:sz w:val="17"/>
          <w:szCs w:val="17"/>
          <w:color w:val="auto"/>
        </w:rPr>
      </w:pPr>
    </w:p>
    <w:p>
      <w:pPr>
        <w:ind w:left="800" w:hanging="332"/>
        <w:spacing w:after="0"/>
        <w:tabs>
          <w:tab w:leader="none" w:pos="8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 240.14a-12</w:t>
      </w:r>
    </w:p>
    <w:p>
      <w:pPr>
        <w:spacing w:after="0" w:line="103" w:lineRule="exact"/>
        <w:rPr>
          <w:sz w:val="24"/>
          <w:szCs w:val="24"/>
          <w:color w:val="auto"/>
        </w:rPr>
      </w:pPr>
    </w:p>
    <w:p>
      <w:pPr>
        <w:jc w:val="center"/>
        <w:ind w:right="-580"/>
        <w:spacing w:after="0"/>
        <w:rPr>
          <w:sz w:val="20"/>
          <w:szCs w:val="20"/>
          <w:color w:val="auto"/>
        </w:rPr>
      </w:pPr>
      <w:r>
        <w:rPr>
          <w:rFonts w:ascii="Arial" w:cs="Arial" w:eastAsia="Arial" w:hAnsi="Arial"/>
          <w:sz w:val="24"/>
          <w:szCs w:val="24"/>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wp:posOffset>
            </wp:positionH>
            <wp:positionV relativeFrom="paragraph">
              <wp:posOffset>17145</wp:posOffset>
            </wp:positionV>
            <wp:extent cx="58559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5970" cy="8255"/>
                    </a:xfrm>
                    <a:prstGeom prst="rect">
                      <a:avLst/>
                    </a:prstGeom>
                    <a:noFill/>
                  </pic:spPr>
                </pic:pic>
              </a:graphicData>
            </a:graphic>
          </wp:anchor>
        </w:drawing>
      </w:r>
    </w:p>
    <w:p>
      <w:pPr>
        <w:spacing w:after="0" w:line="80" w:lineRule="exact"/>
        <w:rPr>
          <w:sz w:val="24"/>
          <w:szCs w:val="24"/>
          <w:color w:val="auto"/>
        </w:rPr>
      </w:pPr>
    </w:p>
    <w:p>
      <w:pPr>
        <w:ind w:left="3420"/>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wp:posOffset>
            </wp:positionH>
            <wp:positionV relativeFrom="paragraph">
              <wp:posOffset>259715</wp:posOffset>
            </wp:positionV>
            <wp:extent cx="58559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597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258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76" w:lineRule="exact"/>
        <w:rPr>
          <w:sz w:val="24"/>
          <w:szCs w:val="24"/>
          <w:color w:val="auto"/>
        </w:rPr>
      </w:pPr>
    </w:p>
    <w:p>
      <w:pPr>
        <w:ind w:left="460"/>
        <w:spacing w:after="0"/>
        <w:rPr>
          <w:sz w:val="20"/>
          <w:szCs w:val="20"/>
          <w:color w:val="auto"/>
        </w:rPr>
      </w:pPr>
      <w:r>
        <w:rPr>
          <w:rFonts w:ascii="Arial" w:cs="Arial" w:eastAsia="Arial" w:hAnsi="Arial"/>
          <w:sz w:val="17"/>
          <w:szCs w:val="17"/>
          <w:color w:val="auto"/>
        </w:rPr>
        <w:t>Payment of Filing Fee (Check all boxes that apply):</w:t>
      </w:r>
    </w:p>
    <w:p>
      <w:pPr>
        <w:spacing w:after="0" w:line="150" w:lineRule="exact"/>
        <w:rPr>
          <w:sz w:val="24"/>
          <w:szCs w:val="24"/>
          <w:color w:val="auto"/>
        </w:rPr>
      </w:pPr>
    </w:p>
    <w:p>
      <w:pPr>
        <w:ind w:left="800" w:hanging="332"/>
        <w:spacing w:after="0"/>
        <w:tabs>
          <w:tab w:leader="none" w:pos="80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37" w:lineRule="exact"/>
        <w:rPr>
          <w:sz w:val="24"/>
          <w:szCs w:val="24"/>
          <w:color w:val="auto"/>
        </w:rPr>
      </w:pPr>
    </w:p>
    <w:p>
      <w:pPr>
        <w:ind w:left="800" w:hanging="332"/>
        <w:spacing w:after="0"/>
        <w:tabs>
          <w:tab w:leader="none" w:pos="8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49" w:lineRule="exact"/>
        <w:rPr>
          <w:rFonts w:ascii="MS PGothic" w:cs="MS PGothic" w:eastAsia="MS PGothic" w:hAnsi="MS PGothic"/>
          <w:sz w:val="17"/>
          <w:szCs w:val="17"/>
          <w:color w:val="auto"/>
        </w:rPr>
      </w:pPr>
    </w:p>
    <w:p>
      <w:pPr>
        <w:ind w:left="800" w:hanging="332"/>
        <w:spacing w:after="0"/>
        <w:tabs>
          <w:tab w:leader="none" w:pos="8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2388235</wp:posOffset>
            </wp:positionV>
            <wp:extent cx="646620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234"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0"/>
        <w:spacing w:after="0"/>
        <w:rPr>
          <w:sz w:val="20"/>
          <w:szCs w:val="20"/>
          <w:color w:val="auto"/>
        </w:rPr>
      </w:pPr>
      <w:r>
        <w:rPr>
          <w:rFonts w:ascii="Arial" w:cs="Arial" w:eastAsia="Arial" w:hAnsi="Arial"/>
          <w:sz w:val="27"/>
          <w:szCs w:val="27"/>
          <w:b w:val="1"/>
          <w:bCs w:val="1"/>
          <w:color w:val="auto"/>
        </w:rPr>
        <w:t>Verona Pharma plc</w:t>
      </w:r>
    </w:p>
    <w:p>
      <w:pPr>
        <w:spacing w:after="0" w:line="200" w:lineRule="exact"/>
        <w:rPr>
          <w:sz w:val="20"/>
          <w:szCs w:val="20"/>
          <w:color w:val="auto"/>
        </w:rPr>
      </w:pPr>
    </w:p>
    <w:p>
      <w:pPr>
        <w:spacing w:after="0" w:line="297" w:lineRule="exact"/>
        <w:rPr>
          <w:sz w:val="20"/>
          <w:szCs w:val="20"/>
          <w:color w:val="auto"/>
        </w:rPr>
      </w:pPr>
    </w:p>
    <w:p>
      <w:pPr>
        <w:ind w:left="1200"/>
        <w:spacing w:after="0"/>
        <w:rPr>
          <w:sz w:val="20"/>
          <w:szCs w:val="20"/>
          <w:color w:val="auto"/>
        </w:rPr>
      </w:pPr>
      <w:r>
        <w:rPr>
          <w:rFonts w:ascii="Arial" w:cs="Arial" w:eastAsia="Arial" w:hAnsi="Arial"/>
          <w:sz w:val="50"/>
          <w:szCs w:val="50"/>
          <w:color w:val="auto"/>
        </w:rPr>
        <w:t>NOTICE &amp; PROXY STATEMENT</w:t>
      </w:r>
    </w:p>
    <w:p>
      <w:pPr>
        <w:spacing w:after="0" w:line="123" w:lineRule="exact"/>
        <w:rPr>
          <w:sz w:val="20"/>
          <w:szCs w:val="20"/>
          <w:color w:val="auto"/>
        </w:rPr>
      </w:pPr>
    </w:p>
    <w:p>
      <w:pPr>
        <w:ind w:left="1200"/>
        <w:spacing w:after="0"/>
        <w:rPr>
          <w:sz w:val="20"/>
          <w:szCs w:val="20"/>
          <w:color w:val="auto"/>
        </w:rPr>
      </w:pPr>
      <w:r>
        <w:rPr>
          <w:rFonts w:ascii="Arial" w:cs="Arial" w:eastAsia="Arial" w:hAnsi="Arial"/>
          <w:sz w:val="43"/>
          <w:szCs w:val="43"/>
          <w:color w:val="auto"/>
        </w:rPr>
        <w:t>Annual General Meeting</w:t>
      </w:r>
    </w:p>
    <w:p>
      <w:pPr>
        <w:spacing w:after="0" w:line="4" w:lineRule="exact"/>
        <w:rPr>
          <w:sz w:val="20"/>
          <w:szCs w:val="20"/>
          <w:color w:val="auto"/>
        </w:rPr>
      </w:pPr>
    </w:p>
    <w:p>
      <w:pPr>
        <w:ind w:left="1200"/>
        <w:spacing w:after="0"/>
        <w:rPr>
          <w:sz w:val="20"/>
          <w:szCs w:val="20"/>
          <w:color w:val="auto"/>
        </w:rPr>
      </w:pPr>
      <w:r>
        <w:rPr>
          <w:rFonts w:ascii="Arial" w:cs="Arial" w:eastAsia="Arial" w:hAnsi="Arial"/>
          <w:sz w:val="43"/>
          <w:szCs w:val="43"/>
          <w:color w:val="auto"/>
        </w:rPr>
        <w:t>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April 27, 2022</w:t>
      </w:r>
    </w:p>
    <w:p>
      <w:pPr>
        <w:spacing w:after="0" w:line="141"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2:00 p.m. (British Summer Time)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VERONA PHARMA PLC</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ONE CENTRAL SQUARE</w:t>
      </w:r>
    </w:p>
    <w:p>
      <w:pPr>
        <w:ind w:left="1200"/>
        <w:spacing w:after="0"/>
        <w:rPr>
          <w:sz w:val="20"/>
          <w:szCs w:val="20"/>
          <w:color w:val="auto"/>
        </w:rPr>
      </w:pPr>
      <w:r>
        <w:rPr>
          <w:rFonts w:ascii="Arial" w:cs="Arial" w:eastAsia="Arial" w:hAnsi="Arial"/>
          <w:sz w:val="20"/>
          <w:szCs w:val="20"/>
          <w:b w:val="1"/>
          <w:bCs w:val="1"/>
          <w:color w:val="auto"/>
        </w:rPr>
        <w:t>CARDIFF, CF10 1FS</w:t>
      </w:r>
    </w:p>
    <w:p>
      <w:pPr>
        <w:ind w:left="1200"/>
        <w:spacing w:after="0"/>
        <w:rPr>
          <w:sz w:val="20"/>
          <w:szCs w:val="20"/>
          <w:color w:val="auto"/>
        </w:rPr>
      </w:pPr>
      <w:r>
        <w:rPr>
          <w:rFonts w:ascii="Arial" w:cs="Arial" w:eastAsia="Arial" w:hAnsi="Arial"/>
          <w:sz w:val="20"/>
          <w:szCs w:val="20"/>
          <w:b w:val="1"/>
          <w:bCs w:val="1"/>
          <w:color w:val="auto"/>
        </w:rPr>
        <w:t>WALES,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558165</wp:posOffset>
            </wp:positionV>
            <wp:extent cx="646620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4101465</wp:posOffset>
            </wp:positionH>
            <wp:positionV relativeFrom="paragraph">
              <wp:posOffset>463550</wp:posOffset>
            </wp:positionV>
            <wp:extent cx="1600200"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02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60"/>
        <w:spacing w:after="0"/>
        <w:rPr>
          <w:sz w:val="20"/>
          <w:szCs w:val="20"/>
          <w:color w:val="auto"/>
        </w:rPr>
      </w:pPr>
      <w:r>
        <w:rPr>
          <w:rFonts w:ascii="Arial" w:cs="Arial" w:eastAsia="Arial" w:hAnsi="Arial"/>
          <w:sz w:val="17"/>
          <w:szCs w:val="17"/>
          <w:b w:val="1"/>
          <w:bCs w:val="1"/>
          <w:color w:val="auto"/>
        </w:rPr>
        <w:t>VERONA PHARMA PLC</w:t>
      </w:r>
    </w:p>
    <w:p>
      <w:pPr>
        <w:spacing w:after="0" w:line="214"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Registered office: One Central Square, Cardiff, CF10 1FS, Wales, U.K.</w:t>
      </w:r>
    </w:p>
    <w:p>
      <w:pPr>
        <w:spacing w:after="0" w:line="14"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Incorporated in England and Wales with registered no. 5375156</w:t>
      </w:r>
    </w:p>
    <w:p>
      <w:pPr>
        <w:spacing w:after="0" w:line="110" w:lineRule="exact"/>
        <w:rPr>
          <w:sz w:val="20"/>
          <w:szCs w:val="20"/>
          <w:color w:val="auto"/>
        </w:rPr>
      </w:pPr>
    </w:p>
    <w:p>
      <w:pPr>
        <w:jc w:val="right"/>
        <w:ind w:right="639"/>
        <w:spacing w:after="0"/>
        <w:rPr>
          <w:sz w:val="20"/>
          <w:szCs w:val="20"/>
          <w:color w:val="auto"/>
        </w:rPr>
      </w:pPr>
      <w:r>
        <w:rPr>
          <w:rFonts w:ascii="Arial" w:cs="Arial" w:eastAsia="Arial" w:hAnsi="Arial"/>
          <w:sz w:val="17"/>
          <w:szCs w:val="17"/>
          <w:color w:val="auto"/>
        </w:rPr>
        <w:t>March 22, 2022</w:t>
      </w:r>
    </w:p>
    <w:p>
      <w:pPr>
        <w:spacing w:after="0" w:line="15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Dear Shareholder:</w:t>
      </w:r>
    </w:p>
    <w:p>
      <w:pPr>
        <w:spacing w:after="0" w:line="210"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2022 Annual General Meeting of Verona Pharma plc (“AGM”)</w:t>
      </w:r>
    </w:p>
    <w:p>
      <w:pPr>
        <w:spacing w:after="0" w:line="141" w:lineRule="exact"/>
        <w:rPr>
          <w:sz w:val="20"/>
          <w:szCs w:val="20"/>
          <w:color w:val="auto"/>
        </w:rPr>
      </w:pPr>
    </w:p>
    <w:p>
      <w:pPr>
        <w:ind w:left="1200" w:right="719" w:firstLine="341"/>
        <w:spacing w:after="0"/>
        <w:rPr>
          <w:sz w:val="20"/>
          <w:szCs w:val="20"/>
          <w:color w:val="auto"/>
        </w:rPr>
      </w:pPr>
      <w:r>
        <w:rPr>
          <w:rFonts w:ascii="Arial" w:cs="Arial" w:eastAsia="Arial" w:hAnsi="Arial"/>
          <w:sz w:val="17"/>
          <w:szCs w:val="17"/>
          <w:color w:val="auto"/>
        </w:rPr>
        <w:t>This letter, the notice of AGM set out in this document (“Notice”) and associated materials for the AGM are being sent to you because, as of March 15, 2022 (being the latest practicable date before the circulation of this document), you are registered as a holder of voting ordinary shares in the register of members of Verona Pharma plc (the “Company”). However, this letter, the Notice and associated materials will also be available to holders of American Depositary Shares (“ADSs”) and contain information relevant to holders of ADSs.</w:t>
      </w:r>
    </w:p>
    <w:p>
      <w:pPr>
        <w:spacing w:after="0" w:line="119" w:lineRule="exact"/>
        <w:rPr>
          <w:sz w:val="20"/>
          <w:szCs w:val="20"/>
          <w:color w:val="auto"/>
        </w:rPr>
      </w:pPr>
    </w:p>
    <w:p>
      <w:pPr>
        <w:ind w:left="1200" w:right="739" w:firstLine="341"/>
        <w:spacing w:after="0" w:line="271" w:lineRule="auto"/>
        <w:rPr>
          <w:sz w:val="20"/>
          <w:szCs w:val="20"/>
          <w:color w:val="auto"/>
        </w:rPr>
      </w:pPr>
      <w:r>
        <w:rPr>
          <w:rFonts w:ascii="Arial" w:cs="Arial" w:eastAsia="Arial" w:hAnsi="Arial"/>
          <w:sz w:val="16"/>
          <w:szCs w:val="16"/>
          <w:color w:val="auto"/>
        </w:rPr>
        <w:t>I confirm that our AGM will be held on Wednesday, April 27, 2022 at 2:00 p.m. British Summer Time at the offices of Shakespeare Martineau at 60 Gracechurch Street, London, EC3V 0HR, United Kingdom. The Notice is set out in this document and it contains the resolutions to be proposed at the AGM.</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Action to be taken by holders of ordinary shares in the Company</w:t>
      </w:r>
    </w:p>
    <w:p>
      <w:pPr>
        <w:spacing w:after="0" w:line="154"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If you are a holder of ADSs, please ignore this section and refer instead to the section below</w:t>
      </w:r>
    </w:p>
    <w:p>
      <w:pPr>
        <w:spacing w:after="0" w:line="1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i w:val="1"/>
          <w:iCs w:val="1"/>
          <w:color w:val="auto"/>
        </w:rPr>
        <w:t>Holders of American Depositary Shares</w:t>
      </w:r>
      <w:r>
        <w:rPr>
          <w:rFonts w:ascii="Arial" w:cs="Arial" w:eastAsia="Arial" w:hAnsi="Arial"/>
          <w:sz w:val="17"/>
          <w:szCs w:val="17"/>
          <w:color w:val="auto"/>
        </w:rPr>
        <w:t>”.</w:t>
      </w:r>
    </w:p>
    <w:p>
      <w:pPr>
        <w:spacing w:after="0" w:line="110" w:lineRule="exact"/>
        <w:rPr>
          <w:sz w:val="20"/>
          <w:szCs w:val="20"/>
          <w:color w:val="auto"/>
        </w:rPr>
      </w:pPr>
    </w:p>
    <w:p>
      <w:pPr>
        <w:ind w:left="1200" w:right="639" w:firstLine="341"/>
        <w:spacing w:after="0" w:line="241" w:lineRule="auto"/>
        <w:rPr>
          <w:sz w:val="20"/>
          <w:szCs w:val="20"/>
          <w:color w:val="auto"/>
        </w:rPr>
      </w:pPr>
      <w:r>
        <w:rPr>
          <w:rFonts w:ascii="Arial" w:cs="Arial" w:eastAsia="Arial" w:hAnsi="Arial"/>
          <w:sz w:val="16"/>
          <w:szCs w:val="16"/>
          <w:color w:val="auto"/>
        </w:rPr>
        <w:t>Shareholders are entitled to appoint a proxy to exercise all or any of their rights to attend and to speak and vote on their behalf at the AGM. A proxy need not be a shareholder of the Company. A shareholder may appoint more than one proxy in relation to the AGM provided that each proxy is appointed to exercise the rights attached to a different share or shares held by that shareholder. Should you wish to appoint more than one proxy please return the form of proxy and attach to it a schedule detailing the names of the proxies you wish to appoint, the number of shares each proxy will represent and the way in which you wish them to vote on the resolutions that are to be proposed. To be valid, the form of proxy and the power of attorney or other authority (if any) under which it is signed or a certified copy of such power or authority must be lodged at the office of the Company Secretary, Verona Pharma plc, 6</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Floor, 60 Gracechurch Street, London EC3V 0HR by hand or by post, or by email to ben.harber@shma.co.uk, so as to be received by </w:t>
      </w:r>
      <w:r>
        <w:rPr>
          <w:rFonts w:ascii="Arial" w:cs="Arial" w:eastAsia="Arial" w:hAnsi="Arial"/>
          <w:sz w:val="16"/>
          <w:szCs w:val="16"/>
          <w:b w:val="1"/>
          <w:bCs w:val="1"/>
          <w:color w:val="auto"/>
        </w:rPr>
        <w:t>no later than</w:t>
      </w:r>
    </w:p>
    <w:p>
      <w:pPr>
        <w:spacing w:after="0" w:line="6" w:lineRule="exact"/>
        <w:rPr>
          <w:sz w:val="20"/>
          <w:szCs w:val="20"/>
          <w:color w:val="auto"/>
        </w:rPr>
      </w:pPr>
    </w:p>
    <w:p>
      <w:pPr>
        <w:ind w:left="1200" w:right="679"/>
        <w:spacing w:after="0" w:line="239" w:lineRule="auto"/>
        <w:rPr>
          <w:sz w:val="20"/>
          <w:szCs w:val="20"/>
          <w:color w:val="auto"/>
        </w:rPr>
      </w:pPr>
      <w:r>
        <w:rPr>
          <w:rFonts w:ascii="Arial" w:cs="Arial" w:eastAsia="Arial" w:hAnsi="Arial"/>
          <w:sz w:val="17"/>
          <w:szCs w:val="17"/>
          <w:b w:val="1"/>
          <w:bCs w:val="1"/>
          <w:color w:val="auto"/>
        </w:rPr>
        <w:t xml:space="preserve">2:00 p.m. British Summer Time (9:00 a.m. Eastern Time) on April 25, 2022, </w:t>
      </w:r>
      <w:r>
        <w:rPr>
          <w:rFonts w:ascii="Arial" w:cs="Arial" w:eastAsia="Arial" w:hAnsi="Arial"/>
          <w:sz w:val="17"/>
          <w:szCs w:val="17"/>
          <w:color w:val="auto"/>
        </w:rPr>
        <w:t>or if the AGM is adjourned, not</w:t>
      </w:r>
      <w:r>
        <w:rPr>
          <w:rFonts w:ascii="Arial" w:cs="Arial" w:eastAsia="Arial" w:hAnsi="Arial"/>
          <w:sz w:val="17"/>
          <w:szCs w:val="17"/>
          <w:b w:val="1"/>
          <w:bCs w:val="1"/>
          <w:color w:val="auto"/>
        </w:rPr>
        <w:t xml:space="preserve"> </w:t>
      </w:r>
      <w:r>
        <w:rPr>
          <w:rFonts w:ascii="Arial" w:cs="Arial" w:eastAsia="Arial" w:hAnsi="Arial"/>
          <w:sz w:val="17"/>
          <w:szCs w:val="17"/>
          <w:color w:val="auto"/>
        </w:rPr>
        <w:t>later than 48 hours before the time fixed for the holding of the adjourned meeting (excluding any day that is not a working day).</w:t>
      </w:r>
    </w:p>
    <w:p>
      <w:pPr>
        <w:spacing w:after="0" w:line="118" w:lineRule="exact"/>
        <w:rPr>
          <w:sz w:val="20"/>
          <w:szCs w:val="20"/>
          <w:color w:val="auto"/>
        </w:rPr>
      </w:pPr>
    </w:p>
    <w:p>
      <w:pPr>
        <w:ind w:left="1200" w:right="859" w:firstLine="341"/>
        <w:spacing w:after="0" w:line="264" w:lineRule="auto"/>
        <w:rPr>
          <w:sz w:val="20"/>
          <w:szCs w:val="20"/>
          <w:color w:val="auto"/>
        </w:rPr>
      </w:pPr>
      <w:r>
        <w:rPr>
          <w:rFonts w:ascii="Arial" w:cs="Arial" w:eastAsia="Arial" w:hAnsi="Arial"/>
          <w:sz w:val="16"/>
          <w:szCs w:val="16"/>
          <w:color w:val="auto"/>
        </w:rPr>
        <w:t>In the case of a shareholder which is a corporation, the form of proxy must be executed under its common seal or executed on its behalf by a duly authorized officer or attorney for the company. Any corporation which is a shareholder may also appoint one or more representatives who may exercise on its behalf all of its powers as a shareholder provided they do not do so in relation to the same shares.</w:t>
      </w:r>
    </w:p>
    <w:p>
      <w:pPr>
        <w:spacing w:after="0" w:line="99" w:lineRule="exact"/>
        <w:rPr>
          <w:sz w:val="20"/>
          <w:szCs w:val="20"/>
          <w:color w:val="auto"/>
        </w:rPr>
      </w:pPr>
    </w:p>
    <w:p>
      <w:pPr>
        <w:ind w:left="1200" w:right="879" w:firstLine="341"/>
        <w:spacing w:after="0" w:line="248" w:lineRule="auto"/>
        <w:rPr>
          <w:sz w:val="20"/>
          <w:szCs w:val="20"/>
          <w:color w:val="auto"/>
        </w:rPr>
      </w:pPr>
      <w:r>
        <w:rPr>
          <w:rFonts w:ascii="Arial" w:cs="Arial" w:eastAsia="Arial" w:hAnsi="Arial"/>
          <w:sz w:val="17"/>
          <w:szCs w:val="17"/>
          <w:color w:val="auto"/>
        </w:rPr>
        <w:t>The completion and return of a form of proxy will not preclude you from attending in person at the AGM and voting should you wish to do so, but if you appoint a proxy and attend the AGM in person, the proxy appointment will be terminated.</w:t>
      </w:r>
    </w:p>
    <w:p>
      <w:pPr>
        <w:spacing w:after="0" w:line="98" w:lineRule="exact"/>
        <w:rPr>
          <w:sz w:val="20"/>
          <w:szCs w:val="20"/>
          <w:color w:val="auto"/>
        </w:rPr>
      </w:pPr>
    </w:p>
    <w:p>
      <w:pPr>
        <w:jc w:val="both"/>
        <w:ind w:left="1200" w:right="799" w:firstLine="341"/>
        <w:spacing w:after="0" w:line="271" w:lineRule="auto"/>
        <w:rPr>
          <w:sz w:val="20"/>
          <w:szCs w:val="20"/>
          <w:color w:val="auto"/>
        </w:rPr>
      </w:pPr>
      <w:r>
        <w:rPr>
          <w:rFonts w:ascii="Arial" w:cs="Arial" w:eastAsia="Arial" w:hAnsi="Arial"/>
          <w:sz w:val="16"/>
          <w:szCs w:val="16"/>
          <w:color w:val="auto"/>
        </w:rPr>
        <w:t>To change your proxy instructions, simply submit a new form of proxy as set out above. Note that the cut- off times for receipt of proxy appointments (see above) also apply in relation to amended instructions; any amended proxy instructions received after the relevant cut-off time will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541655</wp:posOffset>
            </wp:positionV>
            <wp:extent cx="646620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right="719" w:firstLine="341"/>
        <w:spacing w:after="0" w:line="280" w:lineRule="auto"/>
        <w:rPr>
          <w:sz w:val="20"/>
          <w:szCs w:val="20"/>
          <w:color w:val="auto"/>
        </w:rPr>
      </w:pPr>
      <w:r>
        <w:rPr>
          <w:rFonts w:ascii="Arial" w:cs="Arial" w:eastAsia="Arial" w:hAnsi="Arial"/>
          <w:sz w:val="16"/>
          <w:szCs w:val="16"/>
          <w:color w:val="auto"/>
        </w:rPr>
        <w:t>Please contact the Company Secretary (as noted above) to obtain a new form of proxy. If you submit more than one valid proxy appointment, the appointment validly received last before the latest time for receipt of forms of proxy will take precedence. If the Company is unable to determine which form of proxy was last validly received, none of them shall be treated as valid in respect of that ordinary share.</w:t>
      </w:r>
    </w:p>
    <w:p>
      <w:pPr>
        <w:spacing w:after="0" w:line="88" w:lineRule="exact"/>
        <w:rPr>
          <w:sz w:val="20"/>
          <w:szCs w:val="20"/>
          <w:color w:val="auto"/>
        </w:rPr>
      </w:pPr>
    </w:p>
    <w:p>
      <w:pPr>
        <w:ind w:left="1200" w:right="639" w:firstLine="341"/>
        <w:spacing w:after="0" w:line="235" w:lineRule="auto"/>
        <w:rPr>
          <w:sz w:val="20"/>
          <w:szCs w:val="20"/>
          <w:color w:val="auto"/>
        </w:rPr>
      </w:pPr>
      <w:r>
        <w:rPr>
          <w:rFonts w:ascii="Arial" w:cs="Arial" w:eastAsia="Arial" w:hAnsi="Arial"/>
          <w:sz w:val="17"/>
          <w:szCs w:val="17"/>
          <w:color w:val="auto"/>
        </w:rPr>
        <w:t>Further, you may terminate the appointment under the form of proxy prior to the commencement of the AGM (or any adjournment of the AGM). To be valid, the notice of termination of the authority of the person appointed to act as proxy must be deposited at the offices of the Company Secretary, Verona Pharma plc, 6</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60 Gracechurch Street, London EC3V 0HR, no less than 48 hours before the time fixed for the holding of the AGM or any adjournment thereof (as the case may be).</w:t>
      </w:r>
    </w:p>
    <w:p>
      <w:pPr>
        <w:spacing w:after="0" w:line="130" w:lineRule="exact"/>
        <w:rPr>
          <w:sz w:val="20"/>
          <w:szCs w:val="20"/>
          <w:color w:val="auto"/>
        </w:rPr>
      </w:pPr>
    </w:p>
    <w:p>
      <w:pPr>
        <w:ind w:left="1200" w:right="759" w:firstLine="341"/>
        <w:spacing w:after="0" w:line="273" w:lineRule="auto"/>
        <w:rPr>
          <w:sz w:val="20"/>
          <w:szCs w:val="20"/>
          <w:color w:val="auto"/>
        </w:rPr>
      </w:pPr>
      <w:r>
        <w:rPr>
          <w:rFonts w:ascii="Arial" w:cs="Arial" w:eastAsia="Arial" w:hAnsi="Arial"/>
          <w:sz w:val="16"/>
          <w:szCs w:val="16"/>
          <w:color w:val="auto"/>
        </w:rPr>
        <w:t>In order for your form of proxy to remain valid, you must continue to be registered as a holder of ordinary shares in the Company’s register of members as of 2:00 p.m. British Summer Time (9:00 a.m. Eastern Time) on April 25, 2022. Therefore, if you sell or transfer your ordinary shares in the Company on or prior to April 25, 2022,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the Company Secretary to request a new form of proxy for its use.</w:t>
      </w:r>
    </w:p>
    <w:p>
      <w:pPr>
        <w:spacing w:after="0" w:line="108" w:lineRule="exact"/>
        <w:rPr>
          <w:sz w:val="20"/>
          <w:szCs w:val="20"/>
          <w:color w:val="auto"/>
        </w:rPr>
      </w:pPr>
    </w:p>
    <w:p>
      <w:pPr>
        <w:ind w:left="1200" w:right="679" w:firstLine="341"/>
        <w:spacing w:after="0" w:line="256" w:lineRule="auto"/>
        <w:rPr>
          <w:sz w:val="20"/>
          <w:szCs w:val="20"/>
          <w:color w:val="auto"/>
        </w:rPr>
      </w:pPr>
      <w:r>
        <w:rPr>
          <w:rFonts w:ascii="Arial" w:cs="Arial" w:eastAsia="Arial" w:hAnsi="Arial"/>
          <w:sz w:val="17"/>
          <w:szCs w:val="17"/>
          <w:color w:val="auto"/>
        </w:rPr>
        <w:t>Should you elect to convert your holding of ordinary shares in the capital of the Company into an interest in the capital of the Company represented by ADSs before the AGM, you will cease to be a holder of ordinary shares in your own name and will not be entitled to vote at the AGM as an ordinary shareholder. You will also not be able to use the form of proxy that has been sent to you. However, you may be able to exercise your vote as a holder of an interest in the capital of the Company represented by ADSs — please refer to the next section — “</w:t>
      </w:r>
      <w:r>
        <w:rPr>
          <w:rFonts w:ascii="Arial" w:cs="Arial" w:eastAsia="Arial" w:hAnsi="Arial"/>
          <w:sz w:val="17"/>
          <w:szCs w:val="17"/>
          <w:i w:val="1"/>
          <w:iCs w:val="1"/>
          <w:color w:val="auto"/>
        </w:rPr>
        <w:t>Holders of American Depositary Shares.</w:t>
      </w:r>
      <w:r>
        <w:rPr>
          <w:rFonts w:ascii="Arial" w:cs="Arial" w:eastAsia="Arial" w:hAnsi="Arial"/>
          <w:sz w:val="17"/>
          <w:szCs w:val="17"/>
          <w:color w:val="auto"/>
        </w:rPr>
        <w:t>”</w:t>
      </w:r>
    </w:p>
    <w:p>
      <w:pPr>
        <w:spacing w:after="0" w:line="178"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Holders of American Depositary Shares</w:t>
      </w:r>
    </w:p>
    <w:p>
      <w:pPr>
        <w:spacing w:after="0" w:line="141" w:lineRule="exact"/>
        <w:rPr>
          <w:sz w:val="20"/>
          <w:szCs w:val="20"/>
          <w:color w:val="auto"/>
        </w:rPr>
      </w:pPr>
    </w:p>
    <w:p>
      <w:pPr>
        <w:ind w:left="1200" w:right="799" w:firstLine="341"/>
        <w:spacing w:after="0" w:line="287" w:lineRule="auto"/>
        <w:rPr>
          <w:sz w:val="20"/>
          <w:szCs w:val="20"/>
          <w:color w:val="auto"/>
        </w:rPr>
      </w:pPr>
      <w:r>
        <w:rPr>
          <w:rFonts w:ascii="Arial" w:cs="Arial" w:eastAsia="Arial" w:hAnsi="Arial"/>
          <w:sz w:val="16"/>
          <w:szCs w:val="16"/>
          <w:color w:val="auto"/>
        </w:rPr>
        <w:t xml:space="preserve">In order to exercise your vote as a holder of an interest in the capital of the Company represented by ADSs, you or your bank, broker or nominee must be registered as a holder of ADSs in the ADS register </w:t>
      </w:r>
      <w:r>
        <w:rPr>
          <w:rFonts w:ascii="Arial" w:cs="Arial" w:eastAsia="Arial" w:hAnsi="Arial"/>
          <w:sz w:val="16"/>
          <w:szCs w:val="16"/>
          <w:b w:val="1"/>
          <w:bCs w:val="1"/>
          <w:color w:val="auto"/>
        </w:rPr>
        <w:t>as</w:t>
      </w:r>
      <w:r>
        <w:rPr>
          <w:rFonts w:ascii="Arial" w:cs="Arial" w:eastAsia="Arial" w:hAnsi="Arial"/>
          <w:sz w:val="16"/>
          <w:szCs w:val="16"/>
          <w:color w:val="auto"/>
        </w:rPr>
        <w:t xml:space="preserve"> </w:t>
      </w:r>
      <w:r>
        <w:rPr>
          <w:rFonts w:ascii="Arial" w:cs="Arial" w:eastAsia="Arial" w:hAnsi="Arial"/>
          <w:sz w:val="16"/>
          <w:szCs w:val="16"/>
          <w:b w:val="1"/>
          <w:bCs w:val="1"/>
          <w:color w:val="auto"/>
        </w:rPr>
        <w:t>of 5:00 p.m. Eastern Time on Tuesday, March 15, 2022 (the “ADS Record Date”)</w:t>
      </w:r>
      <w:r>
        <w:rPr>
          <w:rFonts w:ascii="Arial" w:cs="Arial" w:eastAsia="Arial" w:hAnsi="Arial"/>
          <w:sz w:val="16"/>
          <w:szCs w:val="16"/>
          <w:color w:val="auto"/>
        </w:rPr>
        <w:t>.</w:t>
      </w:r>
    </w:p>
    <w:p>
      <w:pPr>
        <w:spacing w:after="0" w:line="95" w:lineRule="exact"/>
        <w:rPr>
          <w:sz w:val="20"/>
          <w:szCs w:val="20"/>
          <w:color w:val="auto"/>
        </w:rPr>
      </w:pPr>
    </w:p>
    <w:p>
      <w:pPr>
        <w:ind w:left="1200" w:right="719" w:firstLine="341"/>
        <w:spacing w:after="0" w:line="287" w:lineRule="auto"/>
        <w:rPr>
          <w:sz w:val="20"/>
          <w:szCs w:val="20"/>
          <w:color w:val="auto"/>
        </w:rPr>
      </w:pPr>
      <w:r>
        <w:rPr>
          <w:rFonts w:ascii="Arial" w:cs="Arial" w:eastAsia="Arial" w:hAnsi="Arial"/>
          <w:sz w:val="16"/>
          <w:szCs w:val="16"/>
          <w:color w:val="auto"/>
        </w:rPr>
        <w:t>If you hold ADSs through a bank, broker or nominee as of 5:00 p.m. Eastern Time on the ADS Record Date, the AGM documentation, including the ADS voting instructions, will be sent to your broker who should forward the materials to you. Please reach out to your broker to provide your voting instructions.</w:t>
      </w:r>
    </w:p>
    <w:p>
      <w:pPr>
        <w:spacing w:after="0" w:line="9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Please note that ADS voting instructions submitted by ADS holders must be received by Citibank, N.A.</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no later than 10:00 a.m. Eastern Time on Thursday, April 21, 2022</w:t>
      </w:r>
      <w:r>
        <w:rPr>
          <w:rFonts w:ascii="Arial" w:cs="Arial" w:eastAsia="Arial" w:hAnsi="Arial"/>
          <w:sz w:val="17"/>
          <w:szCs w:val="17"/>
          <w:color w:val="auto"/>
        </w:rPr>
        <w:t>.</w:t>
      </w:r>
    </w:p>
    <w:p>
      <w:pPr>
        <w:spacing w:after="0" w:line="199"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Contact for ADS holders</w:t>
      </w:r>
    </w:p>
    <w:p>
      <w:pPr>
        <w:spacing w:after="0" w:line="141" w:lineRule="exact"/>
        <w:rPr>
          <w:sz w:val="20"/>
          <w:szCs w:val="20"/>
          <w:color w:val="auto"/>
        </w:rPr>
      </w:pPr>
    </w:p>
    <w:p>
      <w:pPr>
        <w:ind w:left="1200" w:right="719" w:firstLine="341"/>
        <w:spacing w:after="0" w:line="259" w:lineRule="auto"/>
        <w:rPr>
          <w:sz w:val="20"/>
          <w:szCs w:val="20"/>
          <w:color w:val="auto"/>
        </w:rPr>
      </w:pPr>
      <w:r>
        <w:rPr>
          <w:rFonts w:ascii="Arial" w:cs="Arial" w:eastAsia="Arial" w:hAnsi="Arial"/>
          <w:sz w:val="17"/>
          <w:szCs w:val="17"/>
          <w:color w:val="auto"/>
        </w:rPr>
        <w:t>If you have queries about how you can deliver voting instructions, please contact Citibank, N.A. — ADR Shareholder Services at tel: +1-877-248-4237 (toll free within the United States) or +1-781-575-4555 (for international callers) or by email: citibank@shareholders-online.com or at Citibank Shareholder Services, P.O. Box 43077, Providence, RI 02940-3077.</w:t>
      </w:r>
    </w:p>
    <w:p>
      <w:pPr>
        <w:spacing w:after="0" w:line="175"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Contact at Verona Pharma</w:t>
      </w:r>
    </w:p>
    <w:p>
      <w:pPr>
        <w:spacing w:after="0" w:line="154"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If at any point you require guidance, please contact Claire Poll, General Counsel, on email:</w:t>
      </w:r>
    </w:p>
    <w:p>
      <w:pPr>
        <w:spacing w:after="0" w:line="2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claire.poll@veronapharma.com.</w:t>
      </w:r>
    </w:p>
    <w:p>
      <w:pPr>
        <w:spacing w:after="0" w:line="199"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Recommendation</w:t>
      </w:r>
    </w:p>
    <w:p>
      <w:pPr>
        <w:spacing w:after="0" w:line="154" w:lineRule="exact"/>
        <w:rPr>
          <w:sz w:val="20"/>
          <w:szCs w:val="20"/>
          <w:color w:val="auto"/>
        </w:rPr>
      </w:pPr>
    </w:p>
    <w:p>
      <w:pPr>
        <w:ind w:left="1200" w:right="699" w:firstLine="341"/>
        <w:spacing w:after="0" w:line="257" w:lineRule="auto"/>
        <w:rPr>
          <w:sz w:val="20"/>
          <w:szCs w:val="20"/>
          <w:color w:val="auto"/>
        </w:rPr>
      </w:pPr>
      <w:r>
        <w:rPr>
          <w:rFonts w:ascii="Arial" w:cs="Arial" w:eastAsia="Arial" w:hAnsi="Arial"/>
          <w:sz w:val="17"/>
          <w:szCs w:val="17"/>
          <w:color w:val="auto"/>
        </w:rPr>
        <w:t>You will find an explanatory note in relation to each of the resolutions in the attached proxy statement. The Directors consider that each resolution is in the best interests of the Company and its shareholders as a whole and is likely to promote the success of the Company. Accordingly, the Directors unanimously recommend that Shareholders vote in favor of the resolutions to be proposed at the AGM, as they intend to do in respect of their own beneficial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548640</wp:posOffset>
            </wp:positionV>
            <wp:extent cx="646620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Thank you for your ongoing support of Verona Pharma plc.</w:t>
      </w:r>
    </w:p>
    <w:p>
      <w:pPr>
        <w:spacing w:after="0" w:line="149"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127635</wp:posOffset>
            </wp:positionV>
            <wp:extent cx="1120775" cy="641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20775" cy="64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540"/>
        <w:spacing w:after="0"/>
        <w:rPr>
          <w:sz w:val="20"/>
          <w:szCs w:val="20"/>
          <w:color w:val="auto"/>
        </w:rPr>
      </w:pPr>
      <w:r>
        <w:rPr>
          <w:rFonts w:ascii="Arial" w:cs="Arial" w:eastAsia="Arial" w:hAnsi="Arial"/>
          <w:sz w:val="17"/>
          <w:szCs w:val="17"/>
          <w:b w:val="1"/>
          <w:bCs w:val="1"/>
          <w:color w:val="auto"/>
        </w:rPr>
        <w:t>David Ebsworth, Ph.D.</w:t>
      </w:r>
    </w:p>
    <w:p>
      <w:pPr>
        <w:spacing w:after="0" w:line="52" w:lineRule="exact"/>
        <w:rPr>
          <w:sz w:val="20"/>
          <w:szCs w:val="20"/>
          <w:color w:val="auto"/>
        </w:rPr>
      </w:pPr>
    </w:p>
    <w:p>
      <w:pPr>
        <w:ind w:left="1540"/>
        <w:spacing w:after="0"/>
        <w:rPr>
          <w:sz w:val="20"/>
          <w:szCs w:val="20"/>
          <w:color w:val="auto"/>
        </w:rPr>
      </w:pPr>
      <w:r>
        <w:rPr>
          <w:rFonts w:ascii="Arial" w:cs="Arial" w:eastAsia="Arial" w:hAnsi="Arial"/>
          <w:sz w:val="17"/>
          <w:szCs w:val="17"/>
          <w:i w:val="1"/>
          <w:iCs w:val="1"/>
          <w:color w:val="auto"/>
        </w:rPr>
        <w:t>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6157595</wp:posOffset>
            </wp:positionV>
            <wp:extent cx="646620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5" w:name="page6"/>
    <w:bookmarkEnd w:id="5"/>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690880</wp:posOffset>
            </wp:positionV>
            <wp:extent cx="1600200" cy="617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002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VERONA PHARMA PLC</w:t>
      </w:r>
    </w:p>
    <w:p>
      <w:pPr>
        <w:spacing w:after="0" w:line="214"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Registered office: One Central Square, Cardiff, CF10 1FS, Wales, U.K.</w:t>
      </w:r>
    </w:p>
    <w:p>
      <w:pPr>
        <w:spacing w:after="0" w:line="14"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Incorporated in England and Wales with registered no. 5375156</w:t>
      </w:r>
    </w:p>
    <w:p>
      <w:pPr>
        <w:spacing w:after="0" w:line="183" w:lineRule="exact"/>
        <w:rPr>
          <w:sz w:val="20"/>
          <w:szCs w:val="20"/>
          <w:color w:val="auto"/>
        </w:rPr>
      </w:pPr>
    </w:p>
    <w:p>
      <w:pPr>
        <w:jc w:val="center"/>
        <w:ind w:right="-540"/>
        <w:spacing w:after="0"/>
        <w:rPr>
          <w:sz w:val="20"/>
          <w:szCs w:val="20"/>
          <w:color w:val="auto"/>
        </w:rPr>
      </w:pPr>
      <w:r>
        <w:rPr>
          <w:rFonts w:ascii="Arial" w:cs="Arial" w:eastAsia="Arial" w:hAnsi="Arial"/>
          <w:sz w:val="17"/>
          <w:szCs w:val="17"/>
          <w:b w:val="1"/>
          <w:bCs w:val="1"/>
          <w:color w:val="auto"/>
        </w:rPr>
        <w:t>NOTICE OF 2022 ANNUAL GENERAL MEETING OF SHAREHOLDERS</w:t>
      </w:r>
    </w:p>
    <w:p>
      <w:pPr>
        <w:spacing w:after="0" w:line="14"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TO BE HELD ON WEDNESDAY, APRIL 27, 2022</w:t>
      </w:r>
    </w:p>
    <w:p>
      <w:pPr>
        <w:spacing w:after="0" w:line="119" w:lineRule="exact"/>
        <w:rPr>
          <w:sz w:val="20"/>
          <w:szCs w:val="20"/>
          <w:color w:val="auto"/>
        </w:rPr>
      </w:pPr>
    </w:p>
    <w:p>
      <w:pPr>
        <w:ind w:left="1200" w:right="739" w:firstLine="341"/>
        <w:spacing w:after="0" w:line="261" w:lineRule="auto"/>
        <w:rPr>
          <w:sz w:val="20"/>
          <w:szCs w:val="20"/>
          <w:color w:val="auto"/>
        </w:rPr>
      </w:pPr>
      <w:r>
        <w:rPr>
          <w:rFonts w:ascii="Arial" w:cs="Arial" w:eastAsia="Arial" w:hAnsi="Arial"/>
          <w:sz w:val="16"/>
          <w:szCs w:val="16"/>
          <w:b w:val="1"/>
          <w:bCs w:val="1"/>
          <w:color w:val="auto"/>
        </w:rPr>
        <w:t xml:space="preserve">NOTICE IS HEREBY GIVEN </w:t>
      </w:r>
      <w:r>
        <w:rPr>
          <w:rFonts w:ascii="Arial" w:cs="Arial" w:eastAsia="Arial" w:hAnsi="Arial"/>
          <w:sz w:val="16"/>
          <w:szCs w:val="16"/>
          <w:color w:val="auto"/>
        </w:rPr>
        <w:t>that an Annual General Meeting (“AGM”) of Verona Pharma plc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will be held on Wednesday, April 27, 2022 at 2:00 p.m. British Summer Time at the offices of Shakespeare Martineau LLP at 6</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Floor, 60 Gracechurch Street, London, EC3V 0HR, United Kingdom.</w:t>
      </w:r>
    </w:p>
    <w:p>
      <w:pPr>
        <w:spacing w:after="0" w:line="2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At the AGM, the following business shall be transacted:</w:t>
      </w:r>
    </w:p>
    <w:p>
      <w:pPr>
        <w:spacing w:after="0" w:line="210"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Ordinary resolutions</w:t>
      </w:r>
    </w:p>
    <w:p>
      <w:pPr>
        <w:spacing w:after="0" w:line="218"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Re-election of Directors</w:t>
      </w:r>
    </w:p>
    <w:p>
      <w:pPr>
        <w:spacing w:after="0" w:line="150" w:lineRule="exact"/>
        <w:rPr>
          <w:sz w:val="20"/>
          <w:szCs w:val="20"/>
          <w:color w:val="auto"/>
        </w:rPr>
      </w:pPr>
    </w:p>
    <w:p>
      <w:pPr>
        <w:ind w:left="1880" w:right="919" w:hanging="343"/>
        <w:spacing w:after="0" w:line="308" w:lineRule="auto"/>
        <w:tabs>
          <w:tab w:leader="none" w:pos="1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re-elect, as a Director of the Company, Dr. Kenneth Cunningham, who retires in accordance with Article 26.2 of the Company’s Articles of Association and offers himself for re-election.</w:t>
      </w:r>
    </w:p>
    <w:p>
      <w:pPr>
        <w:spacing w:after="0" w:line="77" w:lineRule="exact"/>
        <w:rPr>
          <w:rFonts w:ascii="Arial" w:cs="Arial" w:eastAsia="Arial" w:hAnsi="Arial"/>
          <w:sz w:val="16"/>
          <w:szCs w:val="16"/>
          <w:color w:val="auto"/>
        </w:rPr>
      </w:pPr>
    </w:p>
    <w:p>
      <w:pPr>
        <w:ind w:left="1880" w:right="1239" w:hanging="343"/>
        <w:spacing w:after="0" w:line="308" w:lineRule="auto"/>
        <w:tabs>
          <w:tab w:leader="none" w:pos="1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re-elect, as a Director of the Company, Mr. Rishi Gupta, who retires in accordance with Article 26.2 of the Company’s Articles of Association and offers himself for re-election.</w:t>
      </w:r>
    </w:p>
    <w:p>
      <w:pPr>
        <w:spacing w:after="0" w:line="64" w:lineRule="exact"/>
        <w:rPr>
          <w:rFonts w:ascii="Arial" w:cs="Arial" w:eastAsia="Arial" w:hAnsi="Arial"/>
          <w:sz w:val="16"/>
          <w:szCs w:val="16"/>
          <w:color w:val="auto"/>
        </w:rPr>
      </w:pPr>
    </w:p>
    <w:p>
      <w:pPr>
        <w:ind w:left="1880" w:right="1239" w:hanging="343"/>
        <w:spacing w:after="0" w:line="308" w:lineRule="auto"/>
        <w:tabs>
          <w:tab w:leader="none" w:pos="1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re-elect, as a Director of the Company, Mr. Vikas Sinha, who retires in accordance with Article 26.2 of the Company’s Articles of Association and offers himself for re-election.</w:t>
      </w:r>
    </w:p>
    <w:p>
      <w:pPr>
        <w:spacing w:after="0" w:line="77" w:lineRule="exact"/>
        <w:rPr>
          <w:rFonts w:ascii="Arial" w:cs="Arial" w:eastAsia="Arial" w:hAnsi="Arial"/>
          <w:sz w:val="16"/>
          <w:szCs w:val="16"/>
          <w:color w:val="auto"/>
        </w:rPr>
      </w:pPr>
    </w:p>
    <w:p>
      <w:pPr>
        <w:ind w:left="1880" w:right="1179" w:hanging="343"/>
        <w:spacing w:after="0" w:line="308" w:lineRule="auto"/>
        <w:tabs>
          <w:tab w:leader="none" w:pos="1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re-elect, as a Director of the Company, Mr. James Brady, who retires in accordance with Article 21.2 of the Company’s Articles of Association and offers himself for re-election.</w:t>
      </w:r>
    </w:p>
    <w:p>
      <w:pPr>
        <w:spacing w:after="0" w:line="142"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U.K. statutory Annual Report</w:t>
      </w:r>
    </w:p>
    <w:p>
      <w:pPr>
        <w:spacing w:after="0" w:line="150" w:lineRule="exact"/>
        <w:rPr>
          <w:sz w:val="20"/>
          <w:szCs w:val="20"/>
          <w:color w:val="auto"/>
        </w:rPr>
      </w:pPr>
    </w:p>
    <w:p>
      <w:pPr>
        <w:ind w:left="1880" w:right="819" w:hanging="343"/>
        <w:spacing w:after="0" w:line="308" w:lineRule="auto"/>
        <w:tabs>
          <w:tab w:leader="none" w:pos="1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receive and adopt the U.K. statutory annual accounts and Directors’ report for the year ended December 31, 2021 and the report of the auditors thereon (the “2021 U.K. Annual Report”).</w:t>
      </w:r>
    </w:p>
    <w:p>
      <w:pPr>
        <w:spacing w:after="0" w:line="142"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U.K. statutory Remuneration Report and Policy</w:t>
      </w:r>
    </w:p>
    <w:p>
      <w:pPr>
        <w:spacing w:after="0" w:line="137" w:lineRule="exact"/>
        <w:rPr>
          <w:sz w:val="20"/>
          <w:szCs w:val="20"/>
          <w:color w:val="auto"/>
        </w:rPr>
      </w:pPr>
    </w:p>
    <w:p>
      <w:pPr>
        <w:ind w:left="1880" w:right="879" w:hanging="343"/>
        <w:spacing w:after="0" w:line="263" w:lineRule="auto"/>
        <w:tabs>
          <w:tab w:leader="none" w:pos="1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receive and approve, as a non-binding advisory resolution, the U.K. statutory Directors’ Remuneration Report for the year ended December 31, 2021, as set out on pages 27 to 46 of the 2021 U.K. Annual Report.</w:t>
      </w:r>
    </w:p>
    <w:p>
      <w:pPr>
        <w:spacing w:after="0" w:line="176"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Appointment and remuneration of auditor</w:t>
      </w:r>
    </w:p>
    <w:p>
      <w:pPr>
        <w:spacing w:after="0" w:line="150" w:lineRule="exact"/>
        <w:rPr>
          <w:sz w:val="20"/>
          <w:szCs w:val="20"/>
          <w:color w:val="auto"/>
        </w:rPr>
      </w:pPr>
    </w:p>
    <w:p>
      <w:pPr>
        <w:ind w:left="1880" w:right="959" w:hanging="343"/>
        <w:spacing w:after="0" w:line="276" w:lineRule="auto"/>
        <w:tabs>
          <w:tab w:leader="none" w:pos="1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re-appoint PricewaterhouseCoopers LLP as the Company’s auditors, to hold office until the conclusion of the next annual general meeting of shareholders.</w:t>
      </w:r>
    </w:p>
    <w:p>
      <w:pPr>
        <w:spacing w:after="0" w:line="100" w:lineRule="exact"/>
        <w:rPr>
          <w:rFonts w:ascii="Arial" w:cs="Arial" w:eastAsia="Arial" w:hAnsi="Arial"/>
          <w:sz w:val="17"/>
          <w:szCs w:val="17"/>
          <w:color w:val="auto"/>
        </w:rPr>
      </w:pPr>
    </w:p>
    <w:p>
      <w:pPr>
        <w:ind w:left="1880" w:right="839" w:hanging="343"/>
        <w:spacing w:after="0" w:line="276" w:lineRule="auto"/>
        <w:tabs>
          <w:tab w:leader="none" w:pos="1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authorize the Audit and Risk Committee to determine the auditors’ remuneration for the year ending December 31, 2022.</w:t>
      </w:r>
    </w:p>
    <w:p>
      <w:pPr>
        <w:spacing w:after="0" w:line="164"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Authority to allot shares</w:t>
      </w:r>
    </w:p>
    <w:p>
      <w:pPr>
        <w:spacing w:after="0" w:line="137" w:lineRule="exact"/>
        <w:rPr>
          <w:sz w:val="20"/>
          <w:szCs w:val="20"/>
          <w:color w:val="auto"/>
        </w:rPr>
      </w:pPr>
    </w:p>
    <w:p>
      <w:pPr>
        <w:jc w:val="both"/>
        <w:ind w:left="1880" w:right="899" w:hanging="343"/>
        <w:spacing w:after="0" w:line="263" w:lineRule="auto"/>
        <w:tabs>
          <w:tab w:leader="none" w:pos="1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authorize the Directors generally and unconditionally for the purposes of Section 551 of the U.K. Companies Act 2006 (the “Companies Act”) to exercise all the powers of the Company to 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553720</wp:posOffset>
            </wp:positionV>
            <wp:extent cx="646620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6" w:name="page7"/>
    <w:bookmarkEnd w:id="6"/>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880" w:right="719"/>
        <w:spacing w:after="0" w:line="259" w:lineRule="auto"/>
        <w:rPr>
          <w:sz w:val="20"/>
          <w:szCs w:val="20"/>
          <w:color w:val="auto"/>
        </w:rPr>
      </w:pPr>
      <w:r>
        <w:rPr>
          <w:rFonts w:ascii="Arial" w:cs="Arial" w:eastAsia="Arial" w:hAnsi="Arial"/>
          <w:sz w:val="17"/>
          <w:szCs w:val="17"/>
          <w:color w:val="auto"/>
        </w:rPr>
        <w:t>shares in the Company or grant rights to subscribe for or to convert any security into shares in the Company (“Rights”) up to an aggregate nominal amount of £24,702,912 to such persons at such times and upon such conditions as the directors may determine (subject to the Company’s articles of association).</w:t>
      </w:r>
    </w:p>
    <w:p>
      <w:pPr>
        <w:spacing w:after="0" w:line="103" w:lineRule="exact"/>
        <w:rPr>
          <w:sz w:val="20"/>
          <w:szCs w:val="20"/>
          <w:color w:val="auto"/>
        </w:rPr>
      </w:pPr>
    </w:p>
    <w:p>
      <w:pPr>
        <w:ind w:left="1200" w:right="639" w:firstLine="341"/>
        <w:spacing w:after="0" w:line="256" w:lineRule="auto"/>
        <w:rPr>
          <w:sz w:val="20"/>
          <w:szCs w:val="20"/>
          <w:color w:val="auto"/>
        </w:rPr>
      </w:pPr>
      <w:r>
        <w:rPr>
          <w:rFonts w:ascii="Arial" w:cs="Arial" w:eastAsia="Arial" w:hAnsi="Arial"/>
          <w:sz w:val="17"/>
          <w:szCs w:val="17"/>
          <w:color w:val="auto"/>
        </w:rPr>
        <w:t>This authority shall replace any existing authorities to the extent not utilized at the date this resolution is passed and shall, unless previously renewed, revoked or varied by the Company in general meeting, expire on June 1, 2023, provided that the Company may, at any time before such expiry, make an offer or enter into an agreement which would or might require shares to be allotted or Rights to be granted after such expiry and the Directors may allot such shares or grant Rights pursuant to any such offer or agreement as if the authority conferred hereby had not expired.</w:t>
      </w:r>
    </w:p>
    <w:p>
      <w:pPr>
        <w:spacing w:after="0" w:line="178"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Special resolution</w:t>
      </w:r>
    </w:p>
    <w:p>
      <w:pPr>
        <w:spacing w:after="0" w:line="218"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Disapplication of pre-emption rights</w:t>
      </w:r>
    </w:p>
    <w:p>
      <w:pPr>
        <w:spacing w:after="0" w:line="150" w:lineRule="exact"/>
        <w:rPr>
          <w:sz w:val="20"/>
          <w:szCs w:val="20"/>
          <w:color w:val="auto"/>
        </w:rPr>
      </w:pPr>
    </w:p>
    <w:p>
      <w:pPr>
        <w:ind w:left="1880" w:right="639" w:hanging="343"/>
        <w:spacing w:after="0" w:line="253" w:lineRule="auto"/>
        <w:tabs>
          <w:tab w:leader="none" w:pos="1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Subject to and conditional upon the passing of resolution 9 above, to authorize the Directors pursuant to Section 570 and 573 of the Companies Act to allot equity securities (as defined in Section 560 of the Companies Act) for cash pursuant to the authority conferred by resolution 9 above and/or to sell ordinary shares held by the Company as treasury shares for cash, as if Section 561(1) of the Companies Act did not apply to any such allotment or sale, provided that this power shall be limited to the allotment of equity securities or sale of treasury shares up to an aggregate nominal amount of £24,702,912, shall replace any existing disapplication of Section 561 of the Companies Act to the extent not utilized at the date this resolution is passed and shall expire on June 1, 2023 unless previously renewed, varied or revoked by the Company in general meeting, provided that the Company may, before such expiry, make an offer or agreement which would or might require shares in the Company or rights to be allotted or granted or treasury shares to be sold after this authority expires and that the Directors may allot shares in the Company or grant rights or sell treasury shares pursuant to such an offer or agreement as if the authority conferred by this resolution had not expired.</w:t>
      </w:r>
    </w:p>
    <w:p>
      <w:pPr>
        <w:sectPr>
          <w:pgSz w:w="11900" w:h="16838" w:orient="portrait"/>
          <w:cols w:equalWidth="0" w:num="1">
            <w:col w:w="9599"/>
          </w:cols>
          <w:pgMar w:left="860" w:top="131" w:right="1440" w:bottom="1440" w:gutter="0" w:footer="0" w:header="0"/>
        </w:sectPr>
      </w:pPr>
    </w:p>
    <w:p>
      <w:pPr>
        <w:spacing w:after="0" w:line="143"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By order of the Board:</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Registered Office:</w:t>
      </w:r>
    </w:p>
    <w:p>
      <w:pPr>
        <w:spacing w:after="0" w:line="200" w:lineRule="exact"/>
        <w:rPr>
          <w:sz w:val="20"/>
          <w:szCs w:val="20"/>
          <w:color w:val="auto"/>
        </w:rPr>
      </w:pPr>
    </w:p>
    <w:p>
      <w:pPr>
        <w:sectPr>
          <w:pgSz w:w="11900" w:h="16838" w:orient="portrait"/>
          <w:cols w:equalWidth="0" w:num="2">
            <w:col w:w="4460" w:space="720"/>
            <w:col w:w="4419"/>
          </w:cols>
          <w:pgMar w:left="860" w:top="131" w:right="1440" w:bottom="1440" w:gutter="0" w:footer="0" w:header="0"/>
          <w:type w:val="continuous"/>
        </w:sectPr>
      </w:pPr>
    </w:p>
    <w:p>
      <w:pPr>
        <w:spacing w:after="0" w:line="52"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Ben Harber</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3019"/>
        <w:spacing w:after="0"/>
        <w:rPr>
          <w:sz w:val="20"/>
          <w:szCs w:val="20"/>
          <w:color w:val="auto"/>
        </w:rPr>
      </w:pPr>
      <w:r>
        <w:rPr>
          <w:rFonts w:ascii="Arial" w:cs="Arial" w:eastAsia="Arial" w:hAnsi="Arial"/>
          <w:sz w:val="15"/>
          <w:szCs w:val="15"/>
          <w:color w:val="auto"/>
        </w:rPr>
        <w:t>One Central Square</w:t>
      </w:r>
    </w:p>
    <w:p>
      <w:pPr>
        <w:spacing w:after="0" w:line="70" w:lineRule="exact"/>
        <w:rPr>
          <w:sz w:val="20"/>
          <w:szCs w:val="20"/>
          <w:color w:val="auto"/>
        </w:rPr>
      </w:pPr>
    </w:p>
    <w:p>
      <w:pPr>
        <w:sectPr>
          <w:pgSz w:w="11900" w:h="16838" w:orient="portrait"/>
          <w:cols w:equalWidth="0" w:num="2">
            <w:col w:w="4460" w:space="720"/>
            <w:col w:w="4419"/>
          </w:cols>
          <w:pgMar w:left="860" w:top="131" w:right="1440" w:bottom="1440" w:gutter="0" w:footer="0" w:header="0"/>
          <w:type w:val="continuous"/>
        </w:sectPr>
      </w:pPr>
    </w:p>
    <w:p>
      <w:pPr>
        <w:ind w:left="1540"/>
        <w:spacing w:after="0"/>
        <w:rPr>
          <w:sz w:val="20"/>
          <w:szCs w:val="20"/>
          <w:color w:val="auto"/>
        </w:rPr>
      </w:pPr>
      <w:r>
        <w:rPr>
          <w:rFonts w:ascii="Arial" w:cs="Arial" w:eastAsia="Arial" w:hAnsi="Arial"/>
          <w:sz w:val="15"/>
          <w:szCs w:val="15"/>
          <w:i w:val="1"/>
          <w:iCs w:val="1"/>
          <w:color w:val="auto"/>
        </w:rPr>
        <w:t>Company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Cardiff, CF10 1FS, Wales,</w:t>
      </w:r>
    </w:p>
    <w:p>
      <w:pPr>
        <w:spacing w:after="0" w:line="59" w:lineRule="exact"/>
        <w:rPr>
          <w:sz w:val="20"/>
          <w:szCs w:val="20"/>
          <w:color w:val="auto"/>
        </w:rPr>
      </w:pPr>
    </w:p>
    <w:p>
      <w:pPr>
        <w:sectPr>
          <w:pgSz w:w="11900" w:h="16838" w:orient="portrait"/>
          <w:cols w:equalWidth="0" w:num="2">
            <w:col w:w="4460" w:space="720"/>
            <w:col w:w="4419"/>
          </w:cols>
          <w:pgMar w:left="860" w:top="131" w:right="1440" w:bottom="1440" w:gutter="0" w:footer="0" w:header="0"/>
          <w:type w:val="continuous"/>
        </w:sectPr>
      </w:pPr>
    </w:p>
    <w:p>
      <w:pPr>
        <w:ind w:left="1540"/>
        <w:spacing w:after="0"/>
        <w:rPr>
          <w:sz w:val="20"/>
          <w:szCs w:val="20"/>
          <w:color w:val="auto"/>
        </w:rPr>
      </w:pPr>
      <w:r>
        <w:rPr>
          <w:rFonts w:ascii="Arial" w:cs="Arial" w:eastAsia="Arial" w:hAnsi="Arial"/>
          <w:sz w:val="16"/>
          <w:szCs w:val="16"/>
          <w:color w:val="auto"/>
        </w:rPr>
        <w:t>March 22,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U.K.</w:t>
      </w:r>
    </w:p>
    <w:p>
      <w:pPr>
        <w:spacing w:after="0" w:line="200" w:lineRule="exact"/>
        <w:rPr>
          <w:sz w:val="20"/>
          <w:szCs w:val="20"/>
          <w:color w:val="auto"/>
        </w:rPr>
      </w:pPr>
    </w:p>
    <w:p>
      <w:pPr>
        <w:sectPr>
          <w:pgSz w:w="11900" w:h="16838" w:orient="portrait"/>
          <w:cols w:equalWidth="0" w:num="2">
            <w:col w:w="4460" w:space="720"/>
            <w:col w:w="4419"/>
          </w:cols>
          <w:pgMar w:left="860" w:top="131" w:right="1440" w:bottom="1440" w:gutter="0" w:footer="0" w:header="0"/>
          <w:type w:val="continuous"/>
        </w:sectPr>
      </w:pPr>
    </w:p>
    <w:p>
      <w:pPr>
        <w:spacing w:after="0" w:line="10"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Notes:</w:t>
      </w:r>
    </w:p>
    <w:p>
      <w:pPr>
        <w:sectPr>
          <w:pgSz w:w="11900" w:h="16838" w:orient="portrait"/>
          <w:cols w:equalWidth="0" w:num="1">
            <w:col w:w="9599"/>
          </w:cols>
          <w:pgMar w:left="860" w:top="131" w:right="1440" w:bottom="1440" w:gutter="0" w:footer="0" w:header="0"/>
          <w:type w:val="continuous"/>
        </w:sectPr>
      </w:pPr>
    </w:p>
    <w:p>
      <w:pPr>
        <w:spacing w:after="0" w:line="184" w:lineRule="exact"/>
        <w:rPr>
          <w:sz w:val="20"/>
          <w:szCs w:val="20"/>
          <w:color w:val="auto"/>
        </w:rPr>
      </w:pPr>
    </w:p>
    <w:p>
      <w:pPr>
        <w:ind w:left="1540" w:hanging="344"/>
        <w:spacing w:after="0"/>
        <w:tabs>
          <w:tab w:leader="none" w:pos="154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Resolutions and voting</w:t>
      </w:r>
    </w:p>
    <w:p>
      <w:pPr>
        <w:spacing w:after="0" w:line="153" w:lineRule="exact"/>
        <w:rPr>
          <w:rFonts w:ascii="Arial" w:cs="Arial" w:eastAsia="Arial" w:hAnsi="Arial"/>
          <w:sz w:val="17"/>
          <w:szCs w:val="17"/>
          <w:b w:val="1"/>
          <w:bCs w:val="1"/>
          <w:color w:val="auto"/>
        </w:rPr>
      </w:pPr>
    </w:p>
    <w:p>
      <w:pPr>
        <w:jc w:val="both"/>
        <w:ind w:left="1540" w:right="759"/>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The proposed resolutions will be put to vote on a poll. This results in a more accurate reflection of the views of Shareholders ensuring that votes by proxy will be fully-counted. On a poll, each Shareholder has one vote for every share held.</w:t>
      </w:r>
    </w:p>
    <w:p>
      <w:pPr>
        <w:spacing w:after="0" w:line="99" w:lineRule="exact"/>
        <w:rPr>
          <w:rFonts w:ascii="Arial" w:cs="Arial" w:eastAsia="Arial" w:hAnsi="Arial"/>
          <w:sz w:val="17"/>
          <w:szCs w:val="17"/>
          <w:b w:val="1"/>
          <w:bCs w:val="1"/>
          <w:color w:val="auto"/>
        </w:rPr>
      </w:pPr>
    </w:p>
    <w:p>
      <w:pPr>
        <w:ind w:left="1540" w:right="659"/>
        <w:spacing w:after="0" w:line="256" w:lineRule="auto"/>
        <w:rPr>
          <w:rFonts w:ascii="Arial" w:cs="Arial" w:eastAsia="Arial" w:hAnsi="Arial"/>
          <w:sz w:val="17"/>
          <w:szCs w:val="17"/>
          <w:b w:val="1"/>
          <w:bCs w:val="1"/>
          <w:color w:val="auto"/>
        </w:rPr>
      </w:pPr>
      <w:r>
        <w:rPr>
          <w:rFonts w:ascii="Arial" w:cs="Arial" w:eastAsia="Arial" w:hAnsi="Arial"/>
          <w:sz w:val="17"/>
          <w:szCs w:val="17"/>
          <w:color w:val="auto"/>
        </w:rPr>
        <w:t>Resolutions 1 to 9 are proposed as ordinary resolutions. On a poll, an ordinary resolution is passed if it is approved by holders representing a simple majority of the total voting rights of shareholders present (in person or by proxy) who (being entitled to vote) vote on the resolution. Resolution 10 is proposed as a special resolution. On a poll, a special resolution is passed if it is approved by holders representing not less than 75% of the total voting rights of shareholders present (in person or by proxy) who (being entitled to vote) vote on the resolution.</w:t>
      </w:r>
    </w:p>
    <w:p>
      <w:pPr>
        <w:spacing w:after="0" w:line="117" w:lineRule="exact"/>
        <w:rPr>
          <w:rFonts w:ascii="Arial" w:cs="Arial" w:eastAsia="Arial" w:hAnsi="Arial"/>
          <w:sz w:val="17"/>
          <w:szCs w:val="17"/>
          <w:b w:val="1"/>
          <w:bCs w:val="1"/>
          <w:color w:val="auto"/>
        </w:rPr>
      </w:pPr>
    </w:p>
    <w:p>
      <w:pPr>
        <w:ind w:left="1540" w:right="799"/>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The results of the voting and any other information required by the U.K. Companies Act 2006 will be made available on our website (https://www.veronapharma.com) as soon as reasonably practicable following the AGM and for the required period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545465</wp:posOffset>
            </wp:positionV>
            <wp:extent cx="646620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540" w:hanging="344"/>
        <w:spacing w:after="0"/>
        <w:tabs>
          <w:tab w:leader="none" w:pos="154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Appointment of proxies</w:t>
      </w:r>
    </w:p>
    <w:p>
      <w:pPr>
        <w:spacing w:after="0" w:line="141" w:lineRule="exact"/>
        <w:rPr>
          <w:rFonts w:ascii="Arial" w:cs="Arial" w:eastAsia="Arial" w:hAnsi="Arial"/>
          <w:sz w:val="17"/>
          <w:szCs w:val="17"/>
          <w:b w:val="1"/>
          <w:bCs w:val="1"/>
          <w:color w:val="auto"/>
        </w:rPr>
      </w:pPr>
    </w:p>
    <w:p>
      <w:pPr>
        <w:ind w:left="1540" w:right="659"/>
        <w:spacing w:after="0" w:line="286" w:lineRule="auto"/>
        <w:rPr>
          <w:rFonts w:ascii="Arial" w:cs="Arial" w:eastAsia="Arial" w:hAnsi="Arial"/>
          <w:sz w:val="17"/>
          <w:szCs w:val="17"/>
          <w:b w:val="1"/>
          <w:bCs w:val="1"/>
          <w:color w:val="auto"/>
        </w:rPr>
      </w:pPr>
      <w:r>
        <w:rPr>
          <w:rFonts w:ascii="Arial" w:cs="Arial" w:eastAsia="Arial" w:hAnsi="Arial"/>
          <w:sz w:val="15"/>
          <w:szCs w:val="15"/>
          <w:color w:val="auto"/>
        </w:rPr>
        <w:t xml:space="preserve">Members are entitled to appoint a proxy to exercise all or any of their rights to attend and to speak and vote on their behalf at the AGM. A proxy need not be a shareholder of the Company. A shareholder may appoint more than one proxy in relation to the AGM provided that each proxy is appointed to exercise the rights attached to a different share or shares held by that shareholder. Should you wish to appoint more than one proxy please return the form of proxy and attach to it a schedule detailing the names of the proxies you wish to appoint, the number of shares each proxy will represent and the way in which you wish them to vote on the resolutions that are to be proposed. </w:t>
      </w:r>
      <w:r>
        <w:rPr>
          <w:rFonts w:ascii="Arial" w:cs="Arial" w:eastAsia="Arial" w:hAnsi="Arial"/>
          <w:sz w:val="15"/>
          <w:szCs w:val="15"/>
          <w:b w:val="1"/>
          <w:bCs w:val="1"/>
          <w:color w:val="auto"/>
        </w:rPr>
        <w:t>To be valid, the form of proxy</w:t>
      </w:r>
      <w:r>
        <w:rPr>
          <w:rFonts w:ascii="Arial" w:cs="Arial" w:eastAsia="Arial" w:hAnsi="Arial"/>
          <w:sz w:val="15"/>
          <w:szCs w:val="15"/>
          <w:color w:val="auto"/>
        </w:rPr>
        <w:t xml:space="preserve"> </w:t>
      </w:r>
      <w:r>
        <w:rPr>
          <w:rFonts w:ascii="Arial" w:cs="Arial" w:eastAsia="Arial" w:hAnsi="Arial"/>
          <w:sz w:val="15"/>
          <w:szCs w:val="15"/>
          <w:b w:val="1"/>
          <w:bCs w:val="1"/>
          <w:color w:val="auto"/>
        </w:rPr>
        <w:t>and the power of attorney or other authority (if any) under which it is signed or a certified copy of such power or authority must be lodged at the office of the Company Secretary, Verona Pharma plc,</w:t>
      </w:r>
    </w:p>
    <w:p>
      <w:pPr>
        <w:spacing w:after="0" w:line="3" w:lineRule="exact"/>
        <w:rPr>
          <w:rFonts w:ascii="Arial" w:cs="Arial" w:eastAsia="Arial" w:hAnsi="Arial"/>
          <w:sz w:val="17"/>
          <w:szCs w:val="17"/>
          <w:b w:val="1"/>
          <w:bCs w:val="1"/>
          <w:color w:val="auto"/>
        </w:rPr>
      </w:pPr>
    </w:p>
    <w:p>
      <w:pPr>
        <w:ind w:left="1540" w:right="639"/>
        <w:spacing w:after="0" w:line="228" w:lineRule="auto"/>
        <w:rPr>
          <w:rFonts w:ascii="Arial" w:cs="Arial" w:eastAsia="Arial" w:hAnsi="Arial"/>
          <w:sz w:val="17"/>
          <w:szCs w:val="17"/>
          <w:b w:val="1"/>
          <w:bCs w:val="1"/>
          <w:color w:val="auto"/>
        </w:rPr>
      </w:pPr>
      <w:r>
        <w:rPr>
          <w:rFonts w:ascii="Arial" w:cs="Arial" w:eastAsia="Arial" w:hAnsi="Arial"/>
          <w:sz w:val="17"/>
          <w:szCs w:val="17"/>
          <w:b w:val="1"/>
          <w:bCs w:val="1"/>
          <w:color w:val="auto"/>
        </w:rPr>
        <w:t>c/o Shakespeare Martineau LLP, 6</w:t>
      </w:r>
      <w:r>
        <w:rPr>
          <w:rFonts w:ascii="Arial" w:cs="Arial" w:eastAsia="Arial" w:hAnsi="Arial"/>
          <w:sz w:val="25"/>
          <w:szCs w:val="25"/>
          <w:b w:val="1"/>
          <w:bCs w:val="1"/>
          <w:color w:val="auto"/>
          <w:vertAlign w:val="superscript"/>
        </w:rPr>
        <w:t>th</w:t>
      </w:r>
      <w:r>
        <w:rPr>
          <w:rFonts w:ascii="Arial" w:cs="Arial" w:eastAsia="Arial" w:hAnsi="Arial"/>
          <w:sz w:val="17"/>
          <w:szCs w:val="17"/>
          <w:b w:val="1"/>
          <w:bCs w:val="1"/>
          <w:color w:val="auto"/>
        </w:rPr>
        <w:t xml:space="preserve"> Floor, 60 Gracechurch Street, London EC3V 0HR BY HAND or BY POST, or BY EMAIL to ben.harber@shma.co.uk, so as to be received not less than 48 hours before the time fixed for the holding of the AGM or any adjournment thereof (as the case may be), excluding any part of a day which is not a working day.</w:t>
      </w:r>
    </w:p>
    <w:p>
      <w:pPr>
        <w:spacing w:after="0" w:line="130" w:lineRule="exact"/>
        <w:rPr>
          <w:rFonts w:ascii="Arial" w:cs="Arial" w:eastAsia="Arial" w:hAnsi="Arial"/>
          <w:sz w:val="17"/>
          <w:szCs w:val="17"/>
          <w:b w:val="1"/>
          <w:bCs w:val="1"/>
          <w:color w:val="auto"/>
        </w:rPr>
      </w:pPr>
    </w:p>
    <w:p>
      <w:pPr>
        <w:ind w:left="1540" w:right="679"/>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The completion and return of a form of proxy will not preclude a member from attending in person at the AGM and voting should they wish to do so, but if a member appoints a proxy and attends the AGM in person, the proxy appointment will be terminated.</w:t>
      </w:r>
    </w:p>
    <w:p>
      <w:pPr>
        <w:spacing w:after="0" w:line="112" w:lineRule="exact"/>
        <w:rPr>
          <w:rFonts w:ascii="Arial" w:cs="Arial" w:eastAsia="Arial" w:hAnsi="Arial"/>
          <w:sz w:val="17"/>
          <w:szCs w:val="17"/>
          <w:b w:val="1"/>
          <w:bCs w:val="1"/>
          <w:color w:val="auto"/>
        </w:rPr>
      </w:pPr>
    </w:p>
    <w:p>
      <w:pPr>
        <w:ind w:left="1540" w:right="759"/>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The attached proxy statement explains proxy voting and the matters to be voted on in more detail. Please read the proxy statement carefully. For specific information regarding the voting of your ordinary shares, please refer to the proxy statement under the section entitled “</w:t>
      </w:r>
      <w:r>
        <w:rPr>
          <w:rFonts w:ascii="Arial" w:cs="Arial" w:eastAsia="Arial" w:hAnsi="Arial"/>
          <w:sz w:val="17"/>
          <w:szCs w:val="17"/>
          <w:i w:val="1"/>
          <w:iCs w:val="1"/>
          <w:color w:val="auto"/>
        </w:rPr>
        <w:t>Questions and Answers</w:t>
      </w:r>
      <w:r>
        <w:rPr>
          <w:rFonts w:ascii="Arial" w:cs="Arial" w:eastAsia="Arial" w:hAnsi="Arial"/>
          <w:sz w:val="17"/>
          <w:szCs w:val="17"/>
          <w:color w:val="auto"/>
        </w:rPr>
        <w:t xml:space="preserve"> </w:t>
      </w:r>
      <w:r>
        <w:rPr>
          <w:rFonts w:ascii="Arial" w:cs="Arial" w:eastAsia="Arial" w:hAnsi="Arial"/>
          <w:sz w:val="17"/>
          <w:szCs w:val="17"/>
          <w:i w:val="1"/>
          <w:iCs w:val="1"/>
          <w:color w:val="auto"/>
        </w:rPr>
        <w:t>About the Annual General Meeting</w:t>
      </w:r>
      <w:r>
        <w:rPr>
          <w:rFonts w:ascii="Arial" w:cs="Arial" w:eastAsia="Arial" w:hAnsi="Arial"/>
          <w:sz w:val="17"/>
          <w:szCs w:val="17"/>
          <w:color w:val="auto"/>
        </w:rPr>
        <w:t>.”</w:t>
      </w:r>
    </w:p>
    <w:p>
      <w:pPr>
        <w:spacing w:after="0" w:line="102" w:lineRule="exact"/>
        <w:rPr>
          <w:rFonts w:ascii="Arial" w:cs="Arial" w:eastAsia="Arial" w:hAnsi="Arial"/>
          <w:sz w:val="17"/>
          <w:szCs w:val="17"/>
          <w:b w:val="1"/>
          <w:bCs w:val="1"/>
          <w:color w:val="auto"/>
        </w:rPr>
      </w:pPr>
    </w:p>
    <w:p>
      <w:pPr>
        <w:ind w:left="1540" w:right="659"/>
        <w:spacing w:after="0" w:line="280" w:lineRule="auto"/>
        <w:rPr>
          <w:rFonts w:ascii="Arial" w:cs="Arial" w:eastAsia="Arial" w:hAnsi="Arial"/>
          <w:sz w:val="17"/>
          <w:szCs w:val="17"/>
          <w:b w:val="1"/>
          <w:bCs w:val="1"/>
          <w:color w:val="auto"/>
        </w:rPr>
      </w:pPr>
      <w:r>
        <w:rPr>
          <w:rFonts w:ascii="Arial" w:cs="Arial" w:eastAsia="Arial" w:hAnsi="Arial"/>
          <w:sz w:val="16"/>
          <w:szCs w:val="16"/>
          <w:color w:val="auto"/>
        </w:rPr>
        <w:t>In the case of a member that is a corporation, the form of proxy must be executed under its common seal or executed on its behalf by a duly authorized officer or attorney for the company. Any corporation which is a member may also appoint one or more representatives who may exercise on its behalf all of its powers as a member provided they do not do so in relation to the same shares.</w:t>
      </w:r>
    </w:p>
    <w:p>
      <w:pPr>
        <w:spacing w:after="0" w:line="100" w:lineRule="exact"/>
        <w:rPr>
          <w:rFonts w:ascii="Arial" w:cs="Arial" w:eastAsia="Arial" w:hAnsi="Arial"/>
          <w:sz w:val="17"/>
          <w:szCs w:val="17"/>
          <w:b w:val="1"/>
          <w:bCs w:val="1"/>
          <w:color w:val="auto"/>
        </w:rPr>
      </w:pPr>
    </w:p>
    <w:p>
      <w:pPr>
        <w:ind w:left="1540" w:right="759"/>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To change your proxy instructions, simply submit a new form of proxy as set out above. Note that the cut-off times for receipt of proxy appointments (see above) also apply in relation to amended instructions; any amended proxy instructions received after the relevant cut-off time will be disregarded. Please contact the Company Secretary (as noted above) to obtain a new form of proxy. If you submit more than one valid proxy appointment, the appointment validly received last before the latest time for receipt of forms of proxy will take precedence. If the Company is unable to determine which form of proxy was last validly received, none of them shall be treated as valid in respect of that Ordinary Share.</w:t>
      </w:r>
    </w:p>
    <w:p>
      <w:pPr>
        <w:spacing w:after="0" w:line="122" w:lineRule="exact"/>
        <w:rPr>
          <w:rFonts w:ascii="Arial" w:cs="Arial" w:eastAsia="Arial" w:hAnsi="Arial"/>
          <w:sz w:val="17"/>
          <w:szCs w:val="17"/>
          <w:b w:val="1"/>
          <w:bCs w:val="1"/>
          <w:color w:val="auto"/>
        </w:rPr>
      </w:pPr>
    </w:p>
    <w:p>
      <w:pPr>
        <w:ind w:left="1540" w:right="639"/>
        <w:spacing w:after="0" w:line="237" w:lineRule="auto"/>
        <w:rPr>
          <w:rFonts w:ascii="Arial" w:cs="Arial" w:eastAsia="Arial" w:hAnsi="Arial"/>
          <w:sz w:val="17"/>
          <w:szCs w:val="17"/>
          <w:b w:val="1"/>
          <w:bCs w:val="1"/>
          <w:color w:val="auto"/>
        </w:rPr>
      </w:pPr>
      <w:r>
        <w:rPr>
          <w:rFonts w:ascii="Arial" w:cs="Arial" w:eastAsia="Arial" w:hAnsi="Arial"/>
          <w:sz w:val="17"/>
          <w:szCs w:val="17"/>
          <w:color w:val="auto"/>
        </w:rPr>
        <w:t>Further, the appointment under the form of proxy may be terminated by the member prior to the commencement of the AGM (or any adjournment of the AGM). To be valid, the notice of termination of the authority of the person appointed to act as proxy must be deposited at the offices of the Company Secretary, Verona Pharma plc, c/o Shakespeare Martineau LLP, 6</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60 Gracechurch Street, London EC3V 0HR, no less than 48 hours before the time fixed for the holding of the AGM or any adjournment thereof (as the case may be).</w:t>
      </w:r>
    </w:p>
    <w:p>
      <w:pPr>
        <w:spacing w:after="0" w:line="128" w:lineRule="exact"/>
        <w:rPr>
          <w:rFonts w:ascii="Arial" w:cs="Arial" w:eastAsia="Arial" w:hAnsi="Arial"/>
          <w:sz w:val="17"/>
          <w:szCs w:val="17"/>
          <w:b w:val="1"/>
          <w:bCs w:val="1"/>
          <w:color w:val="auto"/>
        </w:rPr>
      </w:pPr>
    </w:p>
    <w:p>
      <w:pPr>
        <w:ind w:left="1540" w:hanging="344"/>
        <w:spacing w:after="0"/>
        <w:tabs>
          <w:tab w:leader="none" w:pos="154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Appointment of proxy by joint members</w:t>
      </w:r>
    </w:p>
    <w:p>
      <w:pPr>
        <w:spacing w:after="0" w:line="141" w:lineRule="exact"/>
        <w:rPr>
          <w:rFonts w:ascii="Arial" w:cs="Arial" w:eastAsia="Arial" w:hAnsi="Arial"/>
          <w:sz w:val="17"/>
          <w:szCs w:val="17"/>
          <w:b w:val="1"/>
          <w:bCs w:val="1"/>
          <w:color w:val="auto"/>
        </w:rPr>
      </w:pPr>
    </w:p>
    <w:p>
      <w:pPr>
        <w:ind w:left="1540" w:right="759"/>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111" w:lineRule="exact"/>
        <w:rPr>
          <w:rFonts w:ascii="Arial" w:cs="Arial" w:eastAsia="Arial" w:hAnsi="Arial"/>
          <w:sz w:val="17"/>
          <w:szCs w:val="17"/>
          <w:b w:val="1"/>
          <w:bCs w:val="1"/>
          <w:color w:val="auto"/>
        </w:rPr>
      </w:pPr>
    </w:p>
    <w:p>
      <w:pPr>
        <w:ind w:left="1540" w:hanging="344"/>
        <w:spacing w:after="0"/>
        <w:tabs>
          <w:tab w:leader="none" w:pos="154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Issued shares and total voting rights</w:t>
      </w:r>
    </w:p>
    <w:p>
      <w:pPr>
        <w:spacing w:after="0" w:line="153" w:lineRule="exact"/>
        <w:rPr>
          <w:rFonts w:ascii="Arial" w:cs="Arial" w:eastAsia="Arial" w:hAnsi="Arial"/>
          <w:sz w:val="17"/>
          <w:szCs w:val="17"/>
          <w:b w:val="1"/>
          <w:bCs w:val="1"/>
          <w:color w:val="auto"/>
        </w:rPr>
      </w:pPr>
    </w:p>
    <w:p>
      <w:pPr>
        <w:ind w:left="1540" w:right="679"/>
        <w:spacing w:after="0" w:line="280" w:lineRule="auto"/>
        <w:rPr>
          <w:rFonts w:ascii="Arial" w:cs="Arial" w:eastAsia="Arial" w:hAnsi="Arial"/>
          <w:sz w:val="17"/>
          <w:szCs w:val="17"/>
          <w:b w:val="1"/>
          <w:bCs w:val="1"/>
          <w:color w:val="auto"/>
        </w:rPr>
      </w:pPr>
      <w:r>
        <w:rPr>
          <w:rFonts w:ascii="Arial" w:cs="Arial" w:eastAsia="Arial" w:hAnsi="Arial"/>
          <w:sz w:val="16"/>
          <w:szCs w:val="16"/>
          <w:color w:val="auto"/>
        </w:rPr>
        <w:t>As at the close of business on March 15, 2022 (being the latest practicable date prior to publication of this document), the Company’s issued ordinary share capital comprised 445,969,350 voting ordinary shares. Each voting ordinary share carries the right to one vote and therefore the total number of voting rights at the close of business on March 15, 2022 is 445,969,350.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538480</wp:posOffset>
            </wp:positionV>
            <wp:extent cx="646620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0" w:right="819"/>
        <w:spacing w:after="0" w:line="297" w:lineRule="auto"/>
        <w:rPr>
          <w:sz w:val="20"/>
          <w:szCs w:val="20"/>
          <w:color w:val="auto"/>
        </w:rPr>
      </w:pPr>
      <w:r>
        <w:rPr>
          <w:rFonts w:ascii="Arial" w:cs="Arial" w:eastAsia="Arial" w:hAnsi="Arial"/>
          <w:sz w:val="15"/>
          <w:szCs w:val="15"/>
          <w:b w:val="1"/>
          <w:bCs w:val="1"/>
          <w:color w:val="auto"/>
        </w:rPr>
        <w:t>In accordance with the terms of the deposit agreement by and among the Company, Citibank, N.A. as depositary and holders and beneficial owners of ADSs issued thereunder dated as of May 2, 2017, holders of ADSs as of 5:00 p.m. Eastern Time on March 15, 2022, the ADS Record Date, who do not provide the depositary bank with voting instructions on or before 10:00 a.m. Eastern Time on April 21, 2022, the ADS Voting Cut-Off Time, will be deemed to have instructed the depositary bank to give a discretionary proxy to a person designated by the Company to vote the underlying ordinary shares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6900545</wp:posOffset>
            </wp:positionV>
            <wp:extent cx="646620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TABLE OF CONTENTS</w:t>
      </w:r>
    </w:p>
    <w:p>
      <w:pPr>
        <w:spacing w:after="0" w:line="184" w:lineRule="exact"/>
        <w:rPr>
          <w:sz w:val="20"/>
          <w:szCs w:val="20"/>
          <w:color w:val="auto"/>
        </w:rPr>
      </w:pPr>
    </w:p>
    <w:tbl>
      <w:tblPr>
        <w:tblLayout w:type="fixed"/>
        <w:tblInd w:w="1200" w:type="dxa"/>
        <w:tblCellMar>
          <w:top w:w="0" w:type="dxa"/>
          <w:left w:w="0" w:type="dxa"/>
          <w:bottom w:w="0" w:type="dxa"/>
          <w:right w:w="0" w:type="dxa"/>
        </w:tblCellMar>
      </w:tblPr>
      <w:tr>
        <w:trPr>
          <w:trHeight w:val="175"/>
        </w:trPr>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00" w:type="dxa"/>
            <w:vAlign w:val="bottom"/>
            <w:gridSpan w:val="4"/>
          </w:tcPr>
          <w:p>
            <w:pPr>
              <w:ind w:left="20"/>
              <w:spacing w:after="0"/>
              <w:rPr>
                <w:sz w:val="20"/>
                <w:szCs w:val="20"/>
                <w:color w:val="auto"/>
              </w:rPr>
            </w:pPr>
            <w:r>
              <w:rPr>
                <w:rFonts w:ascii="Arial" w:cs="Arial" w:eastAsia="Arial" w:hAnsi="Arial"/>
                <w:sz w:val="14"/>
                <w:szCs w:val="14"/>
                <w:b w:val="1"/>
                <w:bCs w:val="1"/>
                <w:color w:val="auto"/>
                <w:w w:val="77"/>
              </w:rPr>
              <w:t>Page</w:t>
            </w:r>
          </w:p>
        </w:tc>
      </w:tr>
      <w:tr>
        <w:trPr>
          <w:trHeight w:val="24"/>
        </w:trPr>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23"/>
        </w:trPr>
        <w:tc>
          <w:tcPr>
            <w:tcW w:w="1200" w:type="dxa"/>
            <w:vAlign w:val="bottom"/>
            <w:tcBorders>
              <w:bottom w:val="single" w:sz="8" w:color="0000EE"/>
              <w:right w:val="single" w:sz="8" w:color="CCEEFF"/>
            </w:tcBorders>
            <w:gridSpan w:val="3"/>
            <w:shd w:val="clear" w:color="auto" w:fill="CCEEFF"/>
          </w:tcPr>
          <w:p>
            <w:pPr>
              <w:spacing w:after="0"/>
              <w:rPr>
                <w:rFonts w:ascii="Arial" w:cs="Arial" w:eastAsia="Arial" w:hAnsi="Arial"/>
                <w:sz w:val="17"/>
                <w:szCs w:val="17"/>
                <w:color w:val="0000EE"/>
                <w:w w:val="92"/>
              </w:rPr>
            </w:pPr>
            <w:hyperlink w:anchor="page11">
              <w:r>
                <w:rPr>
                  <w:rFonts w:ascii="Arial" w:cs="Arial" w:eastAsia="Arial" w:hAnsi="Arial"/>
                  <w:sz w:val="17"/>
                  <w:szCs w:val="17"/>
                  <w:color w:val="0000EE"/>
                  <w:w w:val="92"/>
                </w:rPr>
                <w:t>Proxy Statement</w:t>
              </w:r>
            </w:hyperlink>
          </w:p>
        </w:tc>
        <w:tc>
          <w:tcPr>
            <w:tcW w:w="6280" w:type="dxa"/>
            <w:vAlign w:val="bottom"/>
            <w:tcBorders>
              <w:bottom w:val="single" w:sz="8" w:color="CCEEFF"/>
            </w:tcBorders>
            <w:gridSpan w:val="18"/>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7"/>
                <w:szCs w:val="17"/>
                <w:color w:val="0000EE"/>
                <w:w w:val="84"/>
              </w:rPr>
            </w:pPr>
            <w:hyperlink w:anchor="page11">
              <w:r>
                <w:rPr>
                  <w:rFonts w:ascii="Arial" w:cs="Arial" w:eastAsia="Arial" w:hAnsi="Arial"/>
                  <w:sz w:val="17"/>
                  <w:szCs w:val="17"/>
                  <w:color w:val="0000EE"/>
                  <w:w w:val="84"/>
                </w:rPr>
                <w:t>1</w:t>
              </w:r>
            </w:hyperlink>
          </w:p>
        </w:tc>
        <w:tc>
          <w:tcPr>
            <w:tcW w:w="40" w:type="dxa"/>
            <w:vAlign w:val="bottom"/>
            <w:tcBorders>
              <w:bottom w:val="single" w:sz="8" w:color="CCEEFF"/>
            </w:tcBorders>
            <w:shd w:val="clear" w:color="auto" w:fill="CCEEFF"/>
          </w:tcPr>
          <w:p>
            <w:pPr>
              <w:spacing w:after="0"/>
              <w:rPr>
                <w:sz w:val="19"/>
                <w:szCs w:val="19"/>
                <w:color w:val="auto"/>
              </w:rPr>
            </w:pPr>
          </w:p>
        </w:tc>
      </w:tr>
      <w:tr>
        <w:trPr>
          <w:trHeight w:val="223"/>
        </w:trPr>
        <w:tc>
          <w:tcPr>
            <w:tcW w:w="7480" w:type="dxa"/>
            <w:vAlign w:val="bottom"/>
            <w:gridSpan w:val="21"/>
          </w:tcPr>
          <w:p>
            <w:pPr>
              <w:spacing w:after="0"/>
              <w:rPr>
                <w:rFonts w:ascii="Arial" w:cs="Arial" w:eastAsia="Arial" w:hAnsi="Arial"/>
                <w:sz w:val="17"/>
                <w:szCs w:val="17"/>
                <w:color w:val="0000EE"/>
              </w:rPr>
            </w:pPr>
            <w:hyperlink w:anchor="page12">
              <w:r>
                <w:rPr>
                  <w:rFonts w:ascii="Arial" w:cs="Arial" w:eastAsia="Arial" w:hAnsi="Arial"/>
                  <w:sz w:val="17"/>
                  <w:szCs w:val="17"/>
                  <w:color w:val="0000EE"/>
                </w:rPr>
                <w:t>Questions and Answers About the Annual General Meeting</w:t>
              </w:r>
            </w:hyperlink>
          </w:p>
        </w:tc>
        <w:tc>
          <w:tcPr>
            <w:tcW w:w="260" w:type="dxa"/>
            <w:vAlign w:val="bottom"/>
            <w:gridSpan w:val="3"/>
          </w:tcPr>
          <w:p>
            <w:pPr>
              <w:jc w:val="right"/>
              <w:spacing w:after="0"/>
              <w:rPr>
                <w:rFonts w:ascii="Arial" w:cs="Arial" w:eastAsia="Arial" w:hAnsi="Arial"/>
                <w:sz w:val="17"/>
                <w:szCs w:val="17"/>
                <w:color w:val="0000EE"/>
              </w:rPr>
            </w:pPr>
            <w:hyperlink w:anchor="page12">
              <w:r>
                <w:rPr>
                  <w:rFonts w:ascii="Arial" w:cs="Arial" w:eastAsia="Arial" w:hAnsi="Arial"/>
                  <w:sz w:val="17"/>
                  <w:szCs w:val="17"/>
                  <w:color w:val="0000EE"/>
                </w:rPr>
                <w:t>2</w:t>
              </w:r>
            </w:hyperlink>
          </w:p>
        </w:tc>
        <w:tc>
          <w:tcPr>
            <w:tcW w:w="40" w:type="dxa"/>
            <w:vAlign w:val="bottom"/>
          </w:tcPr>
          <w:p>
            <w:pPr>
              <w:spacing w:after="0"/>
              <w:rPr>
                <w:sz w:val="19"/>
                <w:szCs w:val="19"/>
                <w:color w:val="auto"/>
              </w:rPr>
            </w:pPr>
          </w:p>
        </w:tc>
      </w:tr>
      <w:tr>
        <w:trPr>
          <w:trHeight w:val="223"/>
        </w:trPr>
        <w:tc>
          <w:tcPr>
            <w:tcW w:w="4240" w:type="dxa"/>
            <w:vAlign w:val="bottom"/>
            <w:tcBorders>
              <w:top w:val="single" w:sz="8" w:color="0000EE"/>
            </w:tcBorders>
            <w:gridSpan w:val="17"/>
            <w:shd w:val="clear" w:color="auto" w:fill="CCEEFF"/>
          </w:tcPr>
          <w:p>
            <w:pPr>
              <w:spacing w:after="0"/>
              <w:rPr>
                <w:rFonts w:ascii="Arial" w:cs="Arial" w:eastAsia="Arial" w:hAnsi="Arial"/>
                <w:sz w:val="17"/>
                <w:szCs w:val="17"/>
                <w:color w:val="0000EE"/>
              </w:rPr>
            </w:pPr>
            <w:hyperlink w:anchor="page17">
              <w:r>
                <w:rPr>
                  <w:rFonts w:ascii="Arial" w:cs="Arial" w:eastAsia="Arial" w:hAnsi="Arial"/>
                  <w:sz w:val="17"/>
                  <w:szCs w:val="17"/>
                  <w:color w:val="0000EE"/>
                </w:rPr>
                <w:t>Proposals to be Voted On</w:t>
              </w:r>
            </w:hyperlink>
          </w:p>
        </w:tc>
        <w:tc>
          <w:tcPr>
            <w:tcW w:w="3240" w:type="dxa"/>
            <w:vAlign w:val="bottom"/>
            <w:gridSpan w:val="4"/>
            <w:shd w:val="clear" w:color="auto" w:fill="CCEEFF"/>
          </w:tcPr>
          <w:p>
            <w:pPr>
              <w:spacing w:after="0"/>
              <w:rPr>
                <w:sz w:val="19"/>
                <w:szCs w:val="19"/>
                <w:color w:val="auto"/>
              </w:rPr>
            </w:pPr>
          </w:p>
        </w:tc>
        <w:tc>
          <w:tcPr>
            <w:tcW w:w="160" w:type="dxa"/>
            <w:vAlign w:val="bottom"/>
            <w:gridSpan w:val="2"/>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jc w:val="right"/>
              <w:spacing w:after="0"/>
              <w:rPr>
                <w:rFonts w:ascii="Arial" w:cs="Arial" w:eastAsia="Arial" w:hAnsi="Arial"/>
                <w:sz w:val="17"/>
                <w:szCs w:val="17"/>
                <w:color w:val="0000EE"/>
                <w:w w:val="84"/>
              </w:rPr>
            </w:pPr>
            <w:hyperlink w:anchor="page17">
              <w:r>
                <w:rPr>
                  <w:rFonts w:ascii="Arial" w:cs="Arial" w:eastAsia="Arial" w:hAnsi="Arial"/>
                  <w:sz w:val="17"/>
                  <w:szCs w:val="17"/>
                  <w:color w:val="0000EE"/>
                  <w:w w:val="84"/>
                </w:rPr>
                <w:t>7</w:t>
              </w:r>
            </w:hyperlink>
          </w:p>
        </w:tc>
        <w:tc>
          <w:tcPr>
            <w:tcW w:w="40" w:type="dxa"/>
            <w:vAlign w:val="bottom"/>
            <w:shd w:val="clear" w:color="auto" w:fill="CCEEFF"/>
          </w:tcPr>
          <w:p>
            <w:pPr>
              <w:spacing w:after="0"/>
              <w:rPr>
                <w:sz w:val="19"/>
                <w:szCs w:val="19"/>
                <w:color w:val="auto"/>
              </w:rPr>
            </w:pPr>
          </w:p>
        </w:tc>
      </w:tr>
      <w:tr>
        <w:trPr>
          <w:trHeight w:val="223"/>
        </w:trPr>
        <w:tc>
          <w:tcPr>
            <w:tcW w:w="160" w:type="dxa"/>
            <w:vAlign w:val="bottom"/>
            <w:tcBorders>
              <w:top w:val="single" w:sz="8" w:color="0000EE"/>
            </w:tcBorders>
          </w:tcPr>
          <w:p>
            <w:pPr>
              <w:spacing w:after="0"/>
              <w:rPr>
                <w:sz w:val="19"/>
                <w:szCs w:val="19"/>
                <w:color w:val="auto"/>
              </w:rPr>
            </w:pPr>
          </w:p>
        </w:tc>
        <w:tc>
          <w:tcPr>
            <w:tcW w:w="104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92"/>
              </w:rPr>
            </w:pPr>
            <w:hyperlink w:anchor="page17">
              <w:r>
                <w:rPr>
                  <w:rFonts w:ascii="Arial" w:cs="Arial" w:eastAsia="Arial" w:hAnsi="Arial"/>
                  <w:sz w:val="17"/>
                  <w:szCs w:val="17"/>
                  <w:color w:val="0000EE"/>
                  <w:w w:val="92"/>
                </w:rPr>
                <w:t>PROPOSAL 1</w:t>
              </w:r>
            </w:hyperlink>
          </w:p>
        </w:tc>
        <w:tc>
          <w:tcPr>
            <w:tcW w:w="600" w:type="dxa"/>
            <w:vAlign w:val="bottom"/>
            <w:tcBorders>
              <w:top w:val="single" w:sz="8" w:color="0000EE"/>
            </w:tcBorders>
            <w:gridSpan w:val="3"/>
          </w:tcPr>
          <w:p>
            <w:pPr>
              <w:spacing w:after="0"/>
              <w:rPr>
                <w:sz w:val="19"/>
                <w:szCs w:val="19"/>
                <w:color w:val="auto"/>
              </w:rPr>
            </w:pPr>
          </w:p>
        </w:tc>
        <w:tc>
          <w:tcPr>
            <w:tcW w:w="5680" w:type="dxa"/>
            <w:vAlign w:val="bottom"/>
            <w:tcBorders>
              <w:top w:val="single" w:sz="8" w:color="CCEEFF"/>
            </w:tcBorders>
            <w:gridSpan w:val="15"/>
          </w:tcPr>
          <w:p>
            <w:pPr>
              <w:spacing w:after="0"/>
              <w:rPr>
                <w:sz w:val="19"/>
                <w:szCs w:val="19"/>
                <w:color w:val="auto"/>
              </w:rPr>
            </w:pPr>
          </w:p>
        </w:tc>
        <w:tc>
          <w:tcPr>
            <w:tcW w:w="16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7"/>
                <w:szCs w:val="17"/>
                <w:color w:val="0000EE"/>
                <w:w w:val="84"/>
              </w:rPr>
            </w:pPr>
            <w:hyperlink w:anchor="page17">
              <w:r>
                <w:rPr>
                  <w:rFonts w:ascii="Arial" w:cs="Arial" w:eastAsia="Arial" w:hAnsi="Arial"/>
                  <w:sz w:val="17"/>
                  <w:szCs w:val="17"/>
                  <w:color w:val="0000EE"/>
                  <w:w w:val="84"/>
                </w:rPr>
                <w:t>7</w:t>
              </w:r>
            </w:hyperlink>
          </w:p>
        </w:tc>
        <w:tc>
          <w:tcPr>
            <w:tcW w:w="40" w:type="dxa"/>
            <w:vAlign w:val="bottom"/>
            <w:tcBorders>
              <w:top w:val="single" w:sz="8" w:color="CCEEFF"/>
            </w:tcBorders>
          </w:tcPr>
          <w:p>
            <w:pPr>
              <w:spacing w:after="0"/>
              <w:rPr>
                <w:sz w:val="19"/>
                <w:szCs w:val="19"/>
                <w:color w:val="auto"/>
              </w:rPr>
            </w:pP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0000EE"/>
              <w:right w:val="single" w:sz="8" w:color="CCEEFF"/>
            </w:tcBorders>
            <w:gridSpan w:val="2"/>
            <w:shd w:val="clear" w:color="auto" w:fill="CCEEFF"/>
          </w:tcPr>
          <w:p>
            <w:pPr>
              <w:spacing w:after="0"/>
              <w:rPr>
                <w:rFonts w:ascii="Arial" w:cs="Arial" w:eastAsia="Arial" w:hAnsi="Arial"/>
                <w:sz w:val="17"/>
                <w:szCs w:val="17"/>
                <w:color w:val="0000EE"/>
                <w:w w:val="92"/>
              </w:rPr>
            </w:pPr>
            <w:hyperlink w:anchor="page17">
              <w:r>
                <w:rPr>
                  <w:rFonts w:ascii="Arial" w:cs="Arial" w:eastAsia="Arial" w:hAnsi="Arial"/>
                  <w:sz w:val="17"/>
                  <w:szCs w:val="17"/>
                  <w:color w:val="0000EE"/>
                  <w:w w:val="92"/>
                </w:rPr>
                <w:t>PROPOSAL 2</w:t>
              </w:r>
            </w:hyperlink>
          </w:p>
        </w:tc>
        <w:tc>
          <w:tcPr>
            <w:tcW w:w="6280" w:type="dxa"/>
            <w:vAlign w:val="bottom"/>
            <w:tcBorders>
              <w:bottom w:val="single" w:sz="8" w:color="CCEEFF"/>
            </w:tcBorders>
            <w:gridSpan w:val="18"/>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7"/>
                <w:szCs w:val="17"/>
                <w:color w:val="0000EE"/>
                <w:w w:val="84"/>
              </w:rPr>
            </w:pPr>
            <w:hyperlink w:anchor="page17">
              <w:r>
                <w:rPr>
                  <w:rFonts w:ascii="Arial" w:cs="Arial" w:eastAsia="Arial" w:hAnsi="Arial"/>
                  <w:sz w:val="17"/>
                  <w:szCs w:val="17"/>
                  <w:color w:val="0000EE"/>
                  <w:w w:val="84"/>
                </w:rPr>
                <w:t>7</w:t>
              </w:r>
            </w:hyperlink>
          </w:p>
        </w:tc>
        <w:tc>
          <w:tcPr>
            <w:tcW w:w="40" w:type="dxa"/>
            <w:vAlign w:val="bottom"/>
            <w:tcBorders>
              <w:bottom w:val="single" w:sz="8" w:color="CCEEFF"/>
            </w:tcBorders>
            <w:shd w:val="clear" w:color="auto" w:fill="CCEEFF"/>
          </w:tcPr>
          <w:p>
            <w:pPr>
              <w:spacing w:after="0"/>
              <w:rPr>
                <w:sz w:val="19"/>
                <w:szCs w:val="19"/>
                <w:color w:val="auto"/>
              </w:rPr>
            </w:pPr>
          </w:p>
        </w:tc>
      </w:tr>
      <w:tr>
        <w:trPr>
          <w:trHeight w:val="236"/>
        </w:trPr>
        <w:tc>
          <w:tcPr>
            <w:tcW w:w="160" w:type="dxa"/>
            <w:vAlign w:val="bottom"/>
          </w:tcPr>
          <w:p>
            <w:pPr>
              <w:spacing w:after="0"/>
              <w:rPr>
                <w:sz w:val="20"/>
                <w:szCs w:val="20"/>
                <w:color w:val="auto"/>
              </w:rPr>
            </w:pPr>
          </w:p>
        </w:tc>
        <w:tc>
          <w:tcPr>
            <w:tcW w:w="1040" w:type="dxa"/>
            <w:vAlign w:val="bottom"/>
            <w:tcBorders>
              <w:bottom w:val="single" w:sz="8" w:color="0000EE"/>
            </w:tcBorders>
            <w:gridSpan w:val="2"/>
          </w:tcPr>
          <w:p>
            <w:pPr>
              <w:spacing w:after="0"/>
              <w:rPr>
                <w:rFonts w:ascii="Arial" w:cs="Arial" w:eastAsia="Arial" w:hAnsi="Arial"/>
                <w:sz w:val="17"/>
                <w:szCs w:val="17"/>
                <w:color w:val="0000EE"/>
                <w:w w:val="92"/>
              </w:rPr>
            </w:pPr>
            <w:hyperlink w:anchor="page18">
              <w:r>
                <w:rPr>
                  <w:rFonts w:ascii="Arial" w:cs="Arial" w:eastAsia="Arial" w:hAnsi="Arial"/>
                  <w:sz w:val="17"/>
                  <w:szCs w:val="17"/>
                  <w:color w:val="0000EE"/>
                  <w:w w:val="92"/>
                </w:rPr>
                <w:t>PROPOSAL 3</w:t>
              </w:r>
            </w:hyperlink>
          </w:p>
        </w:tc>
        <w:tc>
          <w:tcPr>
            <w:tcW w:w="6280" w:type="dxa"/>
            <w:vAlign w:val="bottom"/>
            <w:gridSpan w:val="18"/>
          </w:tcPr>
          <w:p>
            <w:pPr>
              <w:spacing w:after="0"/>
              <w:rPr>
                <w:sz w:val="20"/>
                <w:szCs w:val="20"/>
                <w:color w:val="auto"/>
              </w:rPr>
            </w:pPr>
          </w:p>
        </w:tc>
        <w:tc>
          <w:tcPr>
            <w:tcW w:w="160" w:type="dxa"/>
            <w:vAlign w:val="bottom"/>
            <w:gridSpan w:val="2"/>
          </w:tcPr>
          <w:p>
            <w:pPr>
              <w:spacing w:after="0"/>
              <w:rPr>
                <w:sz w:val="20"/>
                <w:szCs w:val="20"/>
                <w:color w:val="auto"/>
              </w:rPr>
            </w:pPr>
          </w:p>
        </w:tc>
        <w:tc>
          <w:tcPr>
            <w:tcW w:w="100" w:type="dxa"/>
            <w:vAlign w:val="bottom"/>
            <w:tcBorders>
              <w:bottom w:val="single" w:sz="8" w:color="0000EE"/>
            </w:tcBorders>
          </w:tcPr>
          <w:p>
            <w:pPr>
              <w:jc w:val="right"/>
              <w:spacing w:after="0"/>
              <w:rPr>
                <w:rFonts w:ascii="Arial" w:cs="Arial" w:eastAsia="Arial" w:hAnsi="Arial"/>
                <w:sz w:val="17"/>
                <w:szCs w:val="17"/>
                <w:color w:val="0000EE"/>
                <w:w w:val="84"/>
              </w:rPr>
            </w:pPr>
            <w:hyperlink w:anchor="page18">
              <w:r>
                <w:rPr>
                  <w:rFonts w:ascii="Arial" w:cs="Arial" w:eastAsia="Arial" w:hAnsi="Arial"/>
                  <w:sz w:val="17"/>
                  <w:szCs w:val="17"/>
                  <w:color w:val="0000EE"/>
                  <w:w w:val="84"/>
                </w:rPr>
                <w:t>8</w:t>
              </w:r>
            </w:hyperlink>
          </w:p>
        </w:tc>
        <w:tc>
          <w:tcPr>
            <w:tcW w:w="40" w:type="dxa"/>
            <w:vAlign w:val="bottom"/>
          </w:tcPr>
          <w:p>
            <w:pPr>
              <w:spacing w:after="0"/>
              <w:rPr>
                <w:sz w:val="20"/>
                <w:szCs w:val="20"/>
                <w:color w:val="auto"/>
              </w:rPr>
            </w:pPr>
          </w:p>
        </w:tc>
      </w:tr>
      <w:tr>
        <w:trPr>
          <w:trHeight w:val="236"/>
        </w:trPr>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0000EE"/>
              <w:right w:val="single" w:sz="8" w:color="CCEEFF"/>
            </w:tcBorders>
            <w:gridSpan w:val="2"/>
            <w:shd w:val="clear" w:color="auto" w:fill="CCEEFF"/>
          </w:tcPr>
          <w:p>
            <w:pPr>
              <w:spacing w:after="0"/>
              <w:rPr>
                <w:rFonts w:ascii="Arial" w:cs="Arial" w:eastAsia="Arial" w:hAnsi="Arial"/>
                <w:sz w:val="17"/>
                <w:szCs w:val="17"/>
                <w:color w:val="0000EE"/>
                <w:w w:val="92"/>
              </w:rPr>
            </w:pPr>
            <w:hyperlink w:anchor="page18">
              <w:r>
                <w:rPr>
                  <w:rFonts w:ascii="Arial" w:cs="Arial" w:eastAsia="Arial" w:hAnsi="Arial"/>
                  <w:sz w:val="17"/>
                  <w:szCs w:val="17"/>
                  <w:color w:val="0000EE"/>
                  <w:w w:val="92"/>
                </w:rPr>
                <w:t>PROPOSAL 4</w:t>
              </w:r>
            </w:hyperlink>
          </w:p>
        </w:tc>
        <w:tc>
          <w:tcPr>
            <w:tcW w:w="6280" w:type="dxa"/>
            <w:vAlign w:val="bottom"/>
            <w:tcBorders>
              <w:bottom w:val="single" w:sz="8" w:color="CCEEFF"/>
            </w:tcBorders>
            <w:gridSpan w:val="18"/>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7"/>
                <w:szCs w:val="17"/>
                <w:color w:val="0000EE"/>
                <w:w w:val="84"/>
              </w:rPr>
            </w:pPr>
            <w:hyperlink w:anchor="page18">
              <w:r>
                <w:rPr>
                  <w:rFonts w:ascii="Arial" w:cs="Arial" w:eastAsia="Arial" w:hAnsi="Arial"/>
                  <w:sz w:val="17"/>
                  <w:szCs w:val="17"/>
                  <w:color w:val="0000EE"/>
                  <w:w w:val="84"/>
                </w:rPr>
                <w:t>8</w:t>
              </w:r>
            </w:hyperlink>
          </w:p>
        </w:tc>
        <w:tc>
          <w:tcPr>
            <w:tcW w:w="40" w:type="dxa"/>
            <w:vAlign w:val="bottom"/>
            <w:tcBorders>
              <w:bottom w:val="single" w:sz="8" w:color="CCEEFF"/>
            </w:tcBorders>
            <w:shd w:val="clear" w:color="auto" w:fill="CCEEFF"/>
          </w:tcPr>
          <w:p>
            <w:pPr>
              <w:spacing w:after="0"/>
              <w:rPr>
                <w:sz w:val="20"/>
                <w:szCs w:val="20"/>
                <w:color w:val="auto"/>
              </w:rPr>
            </w:pPr>
          </w:p>
        </w:tc>
      </w:tr>
      <w:tr>
        <w:trPr>
          <w:trHeight w:val="236"/>
        </w:trPr>
        <w:tc>
          <w:tcPr>
            <w:tcW w:w="160" w:type="dxa"/>
            <w:vAlign w:val="bottom"/>
          </w:tcPr>
          <w:p>
            <w:pPr>
              <w:spacing w:after="0"/>
              <w:rPr>
                <w:sz w:val="20"/>
                <w:szCs w:val="20"/>
                <w:color w:val="auto"/>
              </w:rPr>
            </w:pPr>
          </w:p>
        </w:tc>
        <w:tc>
          <w:tcPr>
            <w:tcW w:w="7320" w:type="dxa"/>
            <w:vAlign w:val="bottom"/>
            <w:gridSpan w:val="20"/>
          </w:tcPr>
          <w:p>
            <w:pPr>
              <w:spacing w:after="0"/>
              <w:rPr>
                <w:rFonts w:ascii="Arial" w:cs="Arial" w:eastAsia="Arial" w:hAnsi="Arial"/>
                <w:sz w:val="17"/>
                <w:szCs w:val="17"/>
                <w:color w:val="0000EE"/>
              </w:rPr>
            </w:pPr>
            <w:hyperlink w:anchor="page19">
              <w:r>
                <w:rPr>
                  <w:rFonts w:ascii="Arial" w:cs="Arial" w:eastAsia="Arial" w:hAnsi="Arial"/>
                  <w:sz w:val="17"/>
                  <w:szCs w:val="17"/>
                  <w:color w:val="0000EE"/>
                </w:rPr>
                <w:t>Our Board of Directors</w:t>
              </w:r>
            </w:hyperlink>
          </w:p>
        </w:tc>
        <w:tc>
          <w:tcPr>
            <w:tcW w:w="260" w:type="dxa"/>
            <w:vAlign w:val="bottom"/>
            <w:gridSpan w:val="3"/>
          </w:tcPr>
          <w:p>
            <w:pPr>
              <w:jc w:val="right"/>
              <w:spacing w:after="0"/>
              <w:rPr>
                <w:rFonts w:ascii="Arial" w:cs="Arial" w:eastAsia="Arial" w:hAnsi="Arial"/>
                <w:sz w:val="17"/>
                <w:szCs w:val="17"/>
                <w:color w:val="0000EE"/>
              </w:rPr>
            </w:pPr>
            <w:hyperlink w:anchor="page19">
              <w:r>
                <w:rPr>
                  <w:rFonts w:ascii="Arial" w:cs="Arial" w:eastAsia="Arial" w:hAnsi="Arial"/>
                  <w:sz w:val="17"/>
                  <w:szCs w:val="17"/>
                  <w:color w:val="0000EE"/>
                </w:rPr>
                <w:t>9</w:t>
              </w:r>
            </w:hyperlink>
          </w:p>
        </w:tc>
        <w:tc>
          <w:tcPr>
            <w:tcW w:w="40" w:type="dxa"/>
            <w:vAlign w:val="bottom"/>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60" w:type="dxa"/>
            <w:vAlign w:val="bottom"/>
            <w:shd w:val="clear" w:color="auto" w:fill="CCEEFF"/>
          </w:tcPr>
          <w:p>
            <w:pPr>
              <w:spacing w:after="0"/>
              <w:rPr>
                <w:sz w:val="20"/>
                <w:szCs w:val="20"/>
                <w:color w:val="auto"/>
              </w:rPr>
            </w:pPr>
          </w:p>
        </w:tc>
        <w:tc>
          <w:tcPr>
            <w:tcW w:w="1640" w:type="dxa"/>
            <w:vAlign w:val="bottom"/>
            <w:gridSpan w:val="5"/>
            <w:shd w:val="clear" w:color="auto" w:fill="CCEEFF"/>
          </w:tcPr>
          <w:p>
            <w:pPr>
              <w:spacing w:after="0"/>
              <w:rPr>
                <w:rFonts w:ascii="Arial" w:cs="Arial" w:eastAsia="Arial" w:hAnsi="Arial"/>
                <w:sz w:val="17"/>
                <w:szCs w:val="17"/>
                <w:color w:val="0000EE"/>
                <w:w w:val="96"/>
              </w:rPr>
            </w:pPr>
            <w:hyperlink w:anchor="page22">
              <w:r>
                <w:rPr>
                  <w:rFonts w:ascii="Arial" w:cs="Arial" w:eastAsia="Arial" w:hAnsi="Arial"/>
                  <w:sz w:val="17"/>
                  <w:szCs w:val="17"/>
                  <w:color w:val="0000EE"/>
                  <w:w w:val="96"/>
                </w:rPr>
                <w:t>Board Diversity Matrix</w:t>
              </w:r>
            </w:hyperlink>
          </w:p>
        </w:tc>
        <w:tc>
          <w:tcPr>
            <w:tcW w:w="5680" w:type="dxa"/>
            <w:vAlign w:val="bottom"/>
            <w:tcBorders>
              <w:left w:val="single" w:sz="8" w:color="CCEEFF"/>
            </w:tcBorders>
            <w:gridSpan w:val="15"/>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rFonts w:ascii="Arial" w:cs="Arial" w:eastAsia="Arial" w:hAnsi="Arial"/>
                <w:sz w:val="17"/>
                <w:szCs w:val="17"/>
                <w:color w:val="0000EE"/>
              </w:rPr>
            </w:pPr>
            <w:hyperlink w:anchor="page22">
              <w:r>
                <w:rPr>
                  <w:rFonts w:ascii="Arial" w:cs="Arial" w:eastAsia="Arial" w:hAnsi="Arial"/>
                  <w:sz w:val="17"/>
                  <w:szCs w:val="17"/>
                  <w:color w:val="0000EE"/>
                </w:rPr>
                <w:t>12</w:t>
              </w:r>
            </w:hyperlink>
          </w:p>
        </w:tc>
        <w:tc>
          <w:tcPr>
            <w:tcW w:w="40" w:type="dxa"/>
            <w:vAlign w:val="bottom"/>
            <w:shd w:val="clear" w:color="auto" w:fill="CCEEFF"/>
          </w:tcPr>
          <w:p>
            <w:pPr>
              <w:spacing w:after="0"/>
              <w:rPr>
                <w:sz w:val="20"/>
                <w:szCs w:val="20"/>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040" w:type="dxa"/>
            <w:vAlign w:val="bottom"/>
            <w:gridSpan w:val="2"/>
          </w:tcPr>
          <w:p>
            <w:pPr>
              <w:spacing w:after="0"/>
              <w:rPr>
                <w:rFonts w:ascii="Arial" w:cs="Arial" w:eastAsia="Arial" w:hAnsi="Arial"/>
                <w:sz w:val="17"/>
                <w:szCs w:val="17"/>
                <w:color w:val="0000EE"/>
                <w:w w:val="92"/>
              </w:rPr>
            </w:pPr>
            <w:hyperlink w:anchor="page22">
              <w:r>
                <w:rPr>
                  <w:rFonts w:ascii="Arial" w:cs="Arial" w:eastAsia="Arial" w:hAnsi="Arial"/>
                  <w:sz w:val="17"/>
                  <w:szCs w:val="17"/>
                  <w:color w:val="0000EE"/>
                  <w:w w:val="92"/>
                </w:rPr>
                <w:t>PROPOSAL 5</w:t>
              </w:r>
            </w:hyperlink>
          </w:p>
        </w:tc>
        <w:tc>
          <w:tcPr>
            <w:tcW w:w="600" w:type="dxa"/>
            <w:vAlign w:val="bottom"/>
            <w:gridSpan w:val="3"/>
          </w:tcPr>
          <w:p>
            <w:pPr>
              <w:spacing w:after="0"/>
              <w:rPr>
                <w:sz w:val="20"/>
                <w:szCs w:val="20"/>
                <w:color w:val="auto"/>
              </w:rPr>
            </w:pPr>
          </w:p>
        </w:tc>
        <w:tc>
          <w:tcPr>
            <w:tcW w:w="5680" w:type="dxa"/>
            <w:vAlign w:val="bottom"/>
            <w:gridSpan w:val="15"/>
          </w:tcPr>
          <w:p>
            <w:pPr>
              <w:spacing w:after="0"/>
              <w:rPr>
                <w:sz w:val="20"/>
                <w:szCs w:val="20"/>
                <w:color w:val="auto"/>
              </w:rPr>
            </w:pPr>
          </w:p>
        </w:tc>
        <w:tc>
          <w:tcPr>
            <w:tcW w:w="260" w:type="dxa"/>
            <w:vAlign w:val="bottom"/>
            <w:gridSpan w:val="3"/>
          </w:tcPr>
          <w:p>
            <w:pPr>
              <w:jc w:val="right"/>
              <w:spacing w:after="0"/>
              <w:rPr>
                <w:rFonts w:ascii="Arial" w:cs="Arial" w:eastAsia="Arial" w:hAnsi="Arial"/>
                <w:sz w:val="17"/>
                <w:szCs w:val="17"/>
                <w:color w:val="0000EE"/>
              </w:rPr>
            </w:pPr>
            <w:hyperlink w:anchor="page22">
              <w:r>
                <w:rPr>
                  <w:rFonts w:ascii="Arial" w:cs="Arial" w:eastAsia="Arial" w:hAnsi="Arial"/>
                  <w:sz w:val="17"/>
                  <w:szCs w:val="17"/>
                  <w:color w:val="0000EE"/>
                </w:rPr>
                <w:t>12</w:t>
              </w:r>
            </w:hyperlink>
          </w:p>
        </w:tc>
        <w:tc>
          <w:tcPr>
            <w:tcW w:w="40" w:type="dxa"/>
            <w:vAlign w:val="bottom"/>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spacing w:after="0"/>
              <w:rPr>
                <w:rFonts w:ascii="Arial" w:cs="Arial" w:eastAsia="Arial" w:hAnsi="Arial"/>
                <w:sz w:val="17"/>
                <w:szCs w:val="17"/>
                <w:color w:val="0000EE"/>
                <w:w w:val="92"/>
              </w:rPr>
            </w:pPr>
            <w:hyperlink w:anchor="page23">
              <w:r>
                <w:rPr>
                  <w:rFonts w:ascii="Arial" w:cs="Arial" w:eastAsia="Arial" w:hAnsi="Arial"/>
                  <w:sz w:val="17"/>
                  <w:szCs w:val="17"/>
                  <w:color w:val="0000EE"/>
                  <w:w w:val="92"/>
                </w:rPr>
                <w:t>PROPOSAL 6</w:t>
              </w:r>
            </w:hyperlink>
          </w:p>
        </w:tc>
        <w:tc>
          <w:tcPr>
            <w:tcW w:w="6280" w:type="dxa"/>
            <w:vAlign w:val="bottom"/>
            <w:gridSpan w:val="18"/>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rFonts w:ascii="Arial" w:cs="Arial" w:eastAsia="Arial" w:hAnsi="Arial"/>
                <w:sz w:val="17"/>
                <w:szCs w:val="17"/>
                <w:color w:val="0000EE"/>
              </w:rPr>
            </w:pPr>
            <w:hyperlink w:anchor="page23">
              <w:r>
                <w:rPr>
                  <w:rFonts w:ascii="Arial" w:cs="Arial" w:eastAsia="Arial" w:hAnsi="Arial"/>
                  <w:sz w:val="17"/>
                  <w:szCs w:val="17"/>
                  <w:color w:val="0000EE"/>
                </w:rPr>
                <w:t>13</w:t>
              </w:r>
            </w:hyperlink>
          </w:p>
        </w:tc>
        <w:tc>
          <w:tcPr>
            <w:tcW w:w="40" w:type="dxa"/>
            <w:vAlign w:val="bottom"/>
            <w:shd w:val="clear" w:color="auto" w:fill="CCEEFF"/>
          </w:tcPr>
          <w:p>
            <w:pPr>
              <w:spacing w:after="0"/>
              <w:rPr>
                <w:sz w:val="20"/>
                <w:szCs w:val="20"/>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040" w:type="dxa"/>
            <w:vAlign w:val="bottom"/>
            <w:gridSpan w:val="2"/>
          </w:tcPr>
          <w:p>
            <w:pPr>
              <w:spacing w:after="0"/>
              <w:rPr>
                <w:rFonts w:ascii="Arial" w:cs="Arial" w:eastAsia="Arial" w:hAnsi="Arial"/>
                <w:sz w:val="17"/>
                <w:szCs w:val="17"/>
                <w:color w:val="0000EE"/>
                <w:w w:val="92"/>
              </w:rPr>
            </w:pPr>
            <w:hyperlink w:anchor="page23">
              <w:r>
                <w:rPr>
                  <w:rFonts w:ascii="Arial" w:cs="Arial" w:eastAsia="Arial" w:hAnsi="Arial"/>
                  <w:sz w:val="17"/>
                  <w:szCs w:val="17"/>
                  <w:color w:val="0000EE"/>
                  <w:w w:val="92"/>
                </w:rPr>
                <w:t>PROPOSAL 7</w:t>
              </w:r>
            </w:hyperlink>
          </w:p>
        </w:tc>
        <w:tc>
          <w:tcPr>
            <w:tcW w:w="6280" w:type="dxa"/>
            <w:vAlign w:val="bottom"/>
            <w:gridSpan w:val="18"/>
          </w:tcPr>
          <w:p>
            <w:pPr>
              <w:spacing w:after="0"/>
              <w:rPr>
                <w:sz w:val="20"/>
                <w:szCs w:val="20"/>
                <w:color w:val="auto"/>
              </w:rPr>
            </w:pPr>
          </w:p>
        </w:tc>
        <w:tc>
          <w:tcPr>
            <w:tcW w:w="260" w:type="dxa"/>
            <w:vAlign w:val="bottom"/>
            <w:gridSpan w:val="3"/>
          </w:tcPr>
          <w:p>
            <w:pPr>
              <w:jc w:val="right"/>
              <w:spacing w:after="0"/>
              <w:rPr>
                <w:rFonts w:ascii="Arial" w:cs="Arial" w:eastAsia="Arial" w:hAnsi="Arial"/>
                <w:sz w:val="17"/>
                <w:szCs w:val="17"/>
                <w:color w:val="0000EE"/>
              </w:rPr>
            </w:pPr>
            <w:hyperlink w:anchor="page23">
              <w:r>
                <w:rPr>
                  <w:rFonts w:ascii="Arial" w:cs="Arial" w:eastAsia="Arial" w:hAnsi="Arial"/>
                  <w:sz w:val="17"/>
                  <w:szCs w:val="17"/>
                  <w:color w:val="0000EE"/>
                </w:rPr>
                <w:t>13</w:t>
              </w:r>
            </w:hyperlink>
          </w:p>
        </w:tc>
        <w:tc>
          <w:tcPr>
            <w:tcW w:w="40" w:type="dxa"/>
            <w:vAlign w:val="bottom"/>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spacing w:after="0"/>
              <w:rPr>
                <w:rFonts w:ascii="Arial" w:cs="Arial" w:eastAsia="Arial" w:hAnsi="Arial"/>
                <w:sz w:val="17"/>
                <w:szCs w:val="17"/>
                <w:color w:val="0000EE"/>
                <w:w w:val="92"/>
              </w:rPr>
            </w:pPr>
            <w:hyperlink w:anchor="page25">
              <w:r>
                <w:rPr>
                  <w:rFonts w:ascii="Arial" w:cs="Arial" w:eastAsia="Arial" w:hAnsi="Arial"/>
                  <w:sz w:val="17"/>
                  <w:szCs w:val="17"/>
                  <w:color w:val="0000EE"/>
                  <w:w w:val="92"/>
                </w:rPr>
                <w:t>PROPOSAL 8</w:t>
              </w:r>
            </w:hyperlink>
          </w:p>
        </w:tc>
        <w:tc>
          <w:tcPr>
            <w:tcW w:w="6280" w:type="dxa"/>
            <w:vAlign w:val="bottom"/>
            <w:gridSpan w:val="18"/>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rFonts w:ascii="Arial" w:cs="Arial" w:eastAsia="Arial" w:hAnsi="Arial"/>
                <w:sz w:val="17"/>
                <w:szCs w:val="17"/>
                <w:color w:val="0000EE"/>
              </w:rPr>
            </w:pPr>
            <w:hyperlink w:anchor="page25">
              <w:r>
                <w:rPr>
                  <w:rFonts w:ascii="Arial" w:cs="Arial" w:eastAsia="Arial" w:hAnsi="Arial"/>
                  <w:sz w:val="17"/>
                  <w:szCs w:val="17"/>
                  <w:color w:val="0000EE"/>
                </w:rPr>
                <w:t>15</w:t>
              </w:r>
            </w:hyperlink>
          </w:p>
        </w:tc>
        <w:tc>
          <w:tcPr>
            <w:tcW w:w="40" w:type="dxa"/>
            <w:vAlign w:val="bottom"/>
            <w:shd w:val="clear" w:color="auto" w:fill="CCEEFF"/>
          </w:tcPr>
          <w:p>
            <w:pPr>
              <w:spacing w:after="0"/>
              <w:rPr>
                <w:sz w:val="20"/>
                <w:szCs w:val="20"/>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040" w:type="dxa"/>
            <w:vAlign w:val="bottom"/>
            <w:gridSpan w:val="2"/>
          </w:tcPr>
          <w:p>
            <w:pPr>
              <w:spacing w:after="0"/>
              <w:rPr>
                <w:rFonts w:ascii="Arial" w:cs="Arial" w:eastAsia="Arial" w:hAnsi="Arial"/>
                <w:sz w:val="17"/>
                <w:szCs w:val="17"/>
                <w:color w:val="0000EE"/>
                <w:w w:val="92"/>
              </w:rPr>
            </w:pPr>
            <w:hyperlink w:anchor="page26">
              <w:r>
                <w:rPr>
                  <w:rFonts w:ascii="Arial" w:cs="Arial" w:eastAsia="Arial" w:hAnsi="Arial"/>
                  <w:sz w:val="17"/>
                  <w:szCs w:val="17"/>
                  <w:color w:val="0000EE"/>
                  <w:w w:val="92"/>
                </w:rPr>
                <w:t>PROPOSAL 9</w:t>
              </w:r>
            </w:hyperlink>
          </w:p>
        </w:tc>
        <w:tc>
          <w:tcPr>
            <w:tcW w:w="6280" w:type="dxa"/>
            <w:vAlign w:val="bottom"/>
            <w:gridSpan w:val="18"/>
          </w:tcPr>
          <w:p>
            <w:pPr>
              <w:spacing w:after="0"/>
              <w:rPr>
                <w:sz w:val="20"/>
                <w:szCs w:val="20"/>
                <w:color w:val="auto"/>
              </w:rPr>
            </w:pPr>
          </w:p>
        </w:tc>
        <w:tc>
          <w:tcPr>
            <w:tcW w:w="260" w:type="dxa"/>
            <w:vAlign w:val="bottom"/>
            <w:gridSpan w:val="3"/>
          </w:tcPr>
          <w:p>
            <w:pPr>
              <w:jc w:val="right"/>
              <w:spacing w:after="0"/>
              <w:rPr>
                <w:rFonts w:ascii="Arial" w:cs="Arial" w:eastAsia="Arial" w:hAnsi="Arial"/>
                <w:sz w:val="17"/>
                <w:szCs w:val="17"/>
                <w:color w:val="0000EE"/>
              </w:rPr>
            </w:pPr>
            <w:hyperlink w:anchor="page26">
              <w:r>
                <w:rPr>
                  <w:rFonts w:ascii="Arial" w:cs="Arial" w:eastAsia="Arial" w:hAnsi="Arial"/>
                  <w:sz w:val="17"/>
                  <w:szCs w:val="17"/>
                  <w:color w:val="0000EE"/>
                </w:rPr>
                <w:t>16</w:t>
              </w:r>
            </w:hyperlink>
          </w:p>
        </w:tc>
        <w:tc>
          <w:tcPr>
            <w:tcW w:w="40" w:type="dxa"/>
            <w:vAlign w:val="bottom"/>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60" w:type="dxa"/>
            <w:vAlign w:val="bottom"/>
            <w:shd w:val="clear" w:color="auto" w:fill="CCEEFF"/>
          </w:tcPr>
          <w:p>
            <w:pPr>
              <w:spacing w:after="0"/>
              <w:rPr>
                <w:sz w:val="20"/>
                <w:szCs w:val="20"/>
                <w:color w:val="auto"/>
              </w:rPr>
            </w:pPr>
          </w:p>
        </w:tc>
        <w:tc>
          <w:tcPr>
            <w:tcW w:w="7320" w:type="dxa"/>
            <w:vAlign w:val="bottom"/>
            <w:gridSpan w:val="20"/>
            <w:shd w:val="clear" w:color="auto" w:fill="CCEEFF"/>
          </w:tcPr>
          <w:p>
            <w:pPr>
              <w:spacing w:after="0"/>
              <w:rPr>
                <w:rFonts w:ascii="Arial" w:cs="Arial" w:eastAsia="Arial" w:hAnsi="Arial"/>
                <w:sz w:val="17"/>
                <w:szCs w:val="17"/>
                <w:color w:val="0000EE"/>
              </w:rPr>
            </w:pPr>
            <w:hyperlink w:anchor="page26">
              <w:r>
                <w:rPr>
                  <w:rFonts w:ascii="Arial" w:cs="Arial" w:eastAsia="Arial" w:hAnsi="Arial"/>
                  <w:sz w:val="17"/>
                  <w:szCs w:val="17"/>
                  <w:color w:val="0000EE"/>
                </w:rPr>
                <w:t>PROPOSAL 10</w:t>
              </w:r>
            </w:hyperlink>
          </w:p>
        </w:tc>
        <w:tc>
          <w:tcPr>
            <w:tcW w:w="260" w:type="dxa"/>
            <w:vAlign w:val="bottom"/>
            <w:gridSpan w:val="3"/>
            <w:shd w:val="clear" w:color="auto" w:fill="CCEEFF"/>
          </w:tcPr>
          <w:p>
            <w:pPr>
              <w:jc w:val="right"/>
              <w:spacing w:after="0"/>
              <w:rPr>
                <w:rFonts w:ascii="Arial" w:cs="Arial" w:eastAsia="Arial" w:hAnsi="Arial"/>
                <w:sz w:val="17"/>
                <w:szCs w:val="17"/>
                <w:color w:val="0000EE"/>
              </w:rPr>
            </w:pPr>
            <w:hyperlink w:anchor="page26">
              <w:r>
                <w:rPr>
                  <w:rFonts w:ascii="Arial" w:cs="Arial" w:eastAsia="Arial" w:hAnsi="Arial"/>
                  <w:sz w:val="17"/>
                  <w:szCs w:val="17"/>
                  <w:color w:val="0000EE"/>
                </w:rPr>
                <w:t>16</w:t>
              </w:r>
            </w:hyperlink>
          </w:p>
        </w:tc>
        <w:tc>
          <w:tcPr>
            <w:tcW w:w="40" w:type="dxa"/>
            <w:vAlign w:val="bottom"/>
            <w:shd w:val="clear" w:color="auto" w:fill="CCEEFF"/>
          </w:tcPr>
          <w:p>
            <w:pPr>
              <w:spacing w:after="0"/>
              <w:rPr>
                <w:sz w:val="20"/>
                <w:szCs w:val="20"/>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1340" w:type="dxa"/>
            <w:vAlign w:val="bottom"/>
            <w:gridSpan w:val="4"/>
          </w:tcPr>
          <w:p>
            <w:pPr>
              <w:spacing w:after="0"/>
              <w:rPr>
                <w:rFonts w:ascii="Arial" w:cs="Arial" w:eastAsia="Arial" w:hAnsi="Arial"/>
                <w:sz w:val="17"/>
                <w:szCs w:val="17"/>
                <w:color w:val="0000EE"/>
                <w:w w:val="94"/>
              </w:rPr>
            </w:pPr>
            <w:hyperlink w:anchor="page28">
              <w:r>
                <w:rPr>
                  <w:rFonts w:ascii="Arial" w:cs="Arial" w:eastAsia="Arial" w:hAnsi="Arial"/>
                  <w:sz w:val="17"/>
                  <w:szCs w:val="17"/>
                  <w:color w:val="0000EE"/>
                  <w:w w:val="94"/>
                </w:rPr>
                <w:t>Executive Officers</w:t>
              </w:r>
            </w:hyperlink>
          </w:p>
        </w:tc>
        <w:tc>
          <w:tcPr>
            <w:tcW w:w="6140" w:type="dxa"/>
            <w:vAlign w:val="bottom"/>
            <w:gridSpan w:val="17"/>
          </w:tcPr>
          <w:p>
            <w:pPr>
              <w:spacing w:after="0"/>
              <w:rPr>
                <w:sz w:val="20"/>
                <w:szCs w:val="20"/>
                <w:color w:val="auto"/>
              </w:rPr>
            </w:pPr>
          </w:p>
        </w:tc>
        <w:tc>
          <w:tcPr>
            <w:tcW w:w="260" w:type="dxa"/>
            <w:vAlign w:val="bottom"/>
            <w:gridSpan w:val="3"/>
          </w:tcPr>
          <w:p>
            <w:pPr>
              <w:jc w:val="right"/>
              <w:spacing w:after="0"/>
              <w:rPr>
                <w:rFonts w:ascii="Arial" w:cs="Arial" w:eastAsia="Arial" w:hAnsi="Arial"/>
                <w:sz w:val="17"/>
                <w:szCs w:val="17"/>
                <w:color w:val="0000EE"/>
              </w:rPr>
            </w:pPr>
            <w:hyperlink w:anchor="page28">
              <w:r>
                <w:rPr>
                  <w:rFonts w:ascii="Arial" w:cs="Arial" w:eastAsia="Arial" w:hAnsi="Arial"/>
                  <w:sz w:val="17"/>
                  <w:szCs w:val="17"/>
                  <w:color w:val="0000EE"/>
                </w:rPr>
                <w:t>18</w:t>
              </w:r>
            </w:hyperlink>
          </w:p>
        </w:tc>
        <w:tc>
          <w:tcPr>
            <w:tcW w:w="40" w:type="dxa"/>
            <w:vAlign w:val="bottom"/>
          </w:tcPr>
          <w:p>
            <w:pPr>
              <w:spacing w:after="0"/>
              <w:rPr>
                <w:sz w:val="20"/>
                <w:szCs w:val="20"/>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660" w:type="dxa"/>
            <w:vAlign w:val="bottom"/>
            <w:tcBorders>
              <w:right w:val="single" w:sz="8" w:color="CCEEFF"/>
            </w:tcBorders>
            <w:gridSpan w:val="5"/>
            <w:shd w:val="clear" w:color="auto" w:fill="CCEEFF"/>
          </w:tcPr>
          <w:p>
            <w:pPr>
              <w:spacing w:after="0"/>
              <w:rPr>
                <w:rFonts w:ascii="Arial" w:cs="Arial" w:eastAsia="Arial" w:hAnsi="Arial"/>
                <w:sz w:val="17"/>
                <w:szCs w:val="17"/>
                <w:color w:val="0000EE"/>
                <w:w w:val="93"/>
              </w:rPr>
            </w:pPr>
            <w:hyperlink w:anchor="page28">
              <w:r>
                <w:rPr>
                  <w:rFonts w:ascii="Arial" w:cs="Arial" w:eastAsia="Arial" w:hAnsi="Arial"/>
                  <w:sz w:val="17"/>
                  <w:szCs w:val="17"/>
                  <w:color w:val="0000EE"/>
                  <w:w w:val="93"/>
                </w:rPr>
                <w:t>Corporate Governance</w:t>
              </w:r>
            </w:hyperlink>
          </w:p>
        </w:tc>
        <w:tc>
          <w:tcPr>
            <w:tcW w:w="5820" w:type="dxa"/>
            <w:vAlign w:val="bottom"/>
            <w:gridSpan w:val="16"/>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rFonts w:ascii="Arial" w:cs="Arial" w:eastAsia="Arial" w:hAnsi="Arial"/>
                <w:sz w:val="17"/>
                <w:szCs w:val="17"/>
                <w:color w:val="0000EE"/>
              </w:rPr>
            </w:pPr>
            <w:hyperlink w:anchor="page28">
              <w:r>
                <w:rPr>
                  <w:rFonts w:ascii="Arial" w:cs="Arial" w:eastAsia="Arial" w:hAnsi="Arial"/>
                  <w:sz w:val="17"/>
                  <w:szCs w:val="17"/>
                  <w:color w:val="0000EE"/>
                </w:rPr>
                <w:t>18</w:t>
              </w:r>
            </w:hyperlink>
          </w:p>
        </w:tc>
        <w:tc>
          <w:tcPr>
            <w:tcW w:w="40" w:type="dxa"/>
            <w:vAlign w:val="bottom"/>
            <w:shd w:val="clear" w:color="auto" w:fill="CCEEFF"/>
          </w:tcPr>
          <w:p>
            <w:pPr>
              <w:spacing w:after="0"/>
              <w:rPr>
                <w:sz w:val="20"/>
                <w:szCs w:val="20"/>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500" w:type="dxa"/>
            <w:vAlign w:val="bottom"/>
            <w:gridSpan w:val="4"/>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General</w:t>
              </w:r>
            </w:hyperlink>
          </w:p>
        </w:tc>
        <w:tc>
          <w:tcPr>
            <w:tcW w:w="5820" w:type="dxa"/>
            <w:vAlign w:val="bottom"/>
            <w:gridSpan w:val="16"/>
          </w:tcPr>
          <w:p>
            <w:pPr>
              <w:spacing w:after="0"/>
              <w:rPr>
                <w:sz w:val="20"/>
                <w:szCs w:val="20"/>
                <w:color w:val="auto"/>
              </w:rPr>
            </w:pPr>
          </w:p>
        </w:tc>
        <w:tc>
          <w:tcPr>
            <w:tcW w:w="260" w:type="dxa"/>
            <w:vAlign w:val="bottom"/>
            <w:gridSpan w:val="3"/>
          </w:tcPr>
          <w:p>
            <w:pPr>
              <w:jc w:val="right"/>
              <w:spacing w:after="0"/>
              <w:rPr>
                <w:rFonts w:ascii="Arial" w:cs="Arial" w:eastAsia="Arial" w:hAnsi="Arial"/>
                <w:sz w:val="17"/>
                <w:szCs w:val="17"/>
                <w:color w:val="0000EE"/>
              </w:rPr>
            </w:pPr>
            <w:hyperlink w:anchor="page28">
              <w:r>
                <w:rPr>
                  <w:rFonts w:ascii="Arial" w:cs="Arial" w:eastAsia="Arial" w:hAnsi="Arial"/>
                  <w:sz w:val="17"/>
                  <w:szCs w:val="17"/>
                  <w:color w:val="0000EE"/>
                </w:rPr>
                <w:t>18</w:t>
              </w:r>
            </w:hyperlink>
          </w:p>
        </w:tc>
        <w:tc>
          <w:tcPr>
            <w:tcW w:w="40" w:type="dxa"/>
            <w:vAlign w:val="bottom"/>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60" w:type="dxa"/>
            <w:vAlign w:val="bottom"/>
            <w:shd w:val="clear" w:color="auto" w:fill="CCEEFF"/>
          </w:tcPr>
          <w:p>
            <w:pPr>
              <w:spacing w:after="0"/>
              <w:rPr>
                <w:sz w:val="20"/>
                <w:szCs w:val="20"/>
                <w:color w:val="auto"/>
              </w:rPr>
            </w:pPr>
          </w:p>
        </w:tc>
        <w:tc>
          <w:tcPr>
            <w:tcW w:w="7320" w:type="dxa"/>
            <w:vAlign w:val="bottom"/>
            <w:gridSpan w:val="20"/>
            <w:shd w:val="clear" w:color="auto" w:fill="CCEEFF"/>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Board Composition</w:t>
              </w:r>
            </w:hyperlink>
          </w:p>
        </w:tc>
        <w:tc>
          <w:tcPr>
            <w:tcW w:w="260" w:type="dxa"/>
            <w:vAlign w:val="bottom"/>
            <w:gridSpan w:val="3"/>
            <w:shd w:val="clear" w:color="auto" w:fill="CCEEFF"/>
          </w:tcPr>
          <w:p>
            <w:pPr>
              <w:jc w:val="right"/>
              <w:spacing w:after="0"/>
              <w:rPr>
                <w:rFonts w:ascii="Arial" w:cs="Arial" w:eastAsia="Arial" w:hAnsi="Arial"/>
                <w:sz w:val="17"/>
                <w:szCs w:val="17"/>
                <w:color w:val="0000EE"/>
              </w:rPr>
            </w:pPr>
            <w:hyperlink w:anchor="page28">
              <w:r>
                <w:rPr>
                  <w:rFonts w:ascii="Arial" w:cs="Arial" w:eastAsia="Arial" w:hAnsi="Arial"/>
                  <w:sz w:val="17"/>
                  <w:szCs w:val="17"/>
                  <w:color w:val="0000EE"/>
                </w:rPr>
                <w:t>18</w:t>
              </w:r>
            </w:hyperlink>
          </w:p>
        </w:tc>
        <w:tc>
          <w:tcPr>
            <w:tcW w:w="40" w:type="dxa"/>
            <w:vAlign w:val="bottom"/>
            <w:shd w:val="clear" w:color="auto" w:fill="CCEEFF"/>
          </w:tcPr>
          <w:p>
            <w:pPr>
              <w:spacing w:after="0"/>
              <w:rPr>
                <w:sz w:val="20"/>
                <w:szCs w:val="20"/>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640" w:type="dxa"/>
            <w:vAlign w:val="bottom"/>
            <w:gridSpan w:val="5"/>
          </w:tcPr>
          <w:p>
            <w:pPr>
              <w:spacing w:after="0"/>
              <w:rPr>
                <w:rFonts w:ascii="Arial" w:cs="Arial" w:eastAsia="Arial" w:hAnsi="Arial"/>
                <w:sz w:val="17"/>
                <w:szCs w:val="17"/>
                <w:color w:val="0000EE"/>
                <w:w w:val="93"/>
              </w:rPr>
            </w:pPr>
            <w:hyperlink w:anchor="page29">
              <w:r>
                <w:rPr>
                  <w:rFonts w:ascii="Arial" w:cs="Arial" w:eastAsia="Arial" w:hAnsi="Arial"/>
                  <w:sz w:val="17"/>
                  <w:szCs w:val="17"/>
                  <w:color w:val="0000EE"/>
                  <w:w w:val="93"/>
                </w:rPr>
                <w:t>Director Independence</w:t>
              </w:r>
            </w:hyperlink>
          </w:p>
        </w:tc>
        <w:tc>
          <w:tcPr>
            <w:tcW w:w="5680" w:type="dxa"/>
            <w:vAlign w:val="bottom"/>
            <w:gridSpan w:val="15"/>
          </w:tcPr>
          <w:p>
            <w:pPr>
              <w:spacing w:after="0"/>
              <w:rPr>
                <w:sz w:val="20"/>
                <w:szCs w:val="20"/>
                <w:color w:val="auto"/>
              </w:rPr>
            </w:pPr>
          </w:p>
        </w:tc>
        <w:tc>
          <w:tcPr>
            <w:tcW w:w="260" w:type="dxa"/>
            <w:vAlign w:val="bottom"/>
            <w:gridSpan w:val="3"/>
          </w:tcPr>
          <w:p>
            <w:pPr>
              <w:jc w:val="right"/>
              <w:spacing w:after="0"/>
              <w:rPr>
                <w:rFonts w:ascii="Arial" w:cs="Arial" w:eastAsia="Arial" w:hAnsi="Arial"/>
                <w:sz w:val="17"/>
                <w:szCs w:val="17"/>
                <w:color w:val="0000EE"/>
              </w:rPr>
            </w:pPr>
            <w:hyperlink w:anchor="page29">
              <w:r>
                <w:rPr>
                  <w:rFonts w:ascii="Arial" w:cs="Arial" w:eastAsia="Arial" w:hAnsi="Arial"/>
                  <w:sz w:val="17"/>
                  <w:szCs w:val="17"/>
                  <w:color w:val="0000EE"/>
                </w:rPr>
                <w:t>19</w:t>
              </w:r>
            </w:hyperlink>
          </w:p>
        </w:tc>
        <w:tc>
          <w:tcPr>
            <w:tcW w:w="40" w:type="dxa"/>
            <w:vAlign w:val="bottom"/>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60" w:type="dxa"/>
            <w:vAlign w:val="bottom"/>
            <w:shd w:val="clear" w:color="auto" w:fill="CCEEFF"/>
          </w:tcPr>
          <w:p>
            <w:pPr>
              <w:spacing w:after="0"/>
              <w:rPr>
                <w:sz w:val="20"/>
                <w:szCs w:val="20"/>
                <w:color w:val="auto"/>
              </w:rPr>
            </w:pPr>
          </w:p>
        </w:tc>
        <w:tc>
          <w:tcPr>
            <w:tcW w:w="1500" w:type="dxa"/>
            <w:vAlign w:val="bottom"/>
            <w:tcBorders>
              <w:right w:val="single" w:sz="8" w:color="CCEEFF"/>
            </w:tcBorders>
            <w:gridSpan w:val="4"/>
            <w:shd w:val="clear" w:color="auto" w:fill="CCEEFF"/>
          </w:tcPr>
          <w:p>
            <w:pPr>
              <w:spacing w:after="0"/>
              <w:rPr>
                <w:rFonts w:ascii="Arial" w:cs="Arial" w:eastAsia="Arial" w:hAnsi="Arial"/>
                <w:sz w:val="17"/>
                <w:szCs w:val="17"/>
                <w:color w:val="0000EE"/>
                <w:w w:val="97"/>
              </w:rPr>
            </w:pPr>
            <w:hyperlink w:anchor="page29">
              <w:r>
                <w:rPr>
                  <w:rFonts w:ascii="Arial" w:cs="Arial" w:eastAsia="Arial" w:hAnsi="Arial"/>
                  <w:sz w:val="17"/>
                  <w:szCs w:val="17"/>
                  <w:color w:val="0000EE"/>
                  <w:w w:val="97"/>
                </w:rPr>
                <w:t>Director Candidates</w:t>
              </w:r>
            </w:hyperlink>
          </w:p>
        </w:tc>
        <w:tc>
          <w:tcPr>
            <w:tcW w:w="140" w:type="dxa"/>
            <w:vAlign w:val="bottom"/>
            <w:shd w:val="clear" w:color="auto" w:fill="CCEEFF"/>
          </w:tcPr>
          <w:p>
            <w:pPr>
              <w:spacing w:after="0"/>
              <w:rPr>
                <w:sz w:val="20"/>
                <w:szCs w:val="20"/>
                <w:color w:val="auto"/>
              </w:rPr>
            </w:pPr>
          </w:p>
        </w:tc>
        <w:tc>
          <w:tcPr>
            <w:tcW w:w="5680" w:type="dxa"/>
            <w:vAlign w:val="bottom"/>
            <w:tcBorders>
              <w:left w:val="single" w:sz="8" w:color="CCEEFF"/>
            </w:tcBorders>
            <w:gridSpan w:val="15"/>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rFonts w:ascii="Arial" w:cs="Arial" w:eastAsia="Arial" w:hAnsi="Arial"/>
                <w:sz w:val="17"/>
                <w:szCs w:val="17"/>
                <w:color w:val="0000EE"/>
              </w:rPr>
            </w:pPr>
            <w:hyperlink w:anchor="page29">
              <w:r>
                <w:rPr>
                  <w:rFonts w:ascii="Arial" w:cs="Arial" w:eastAsia="Arial" w:hAnsi="Arial"/>
                  <w:sz w:val="17"/>
                  <w:szCs w:val="17"/>
                  <w:color w:val="0000EE"/>
                </w:rPr>
                <w:t>19</w:t>
              </w:r>
            </w:hyperlink>
          </w:p>
        </w:tc>
        <w:tc>
          <w:tcPr>
            <w:tcW w:w="40" w:type="dxa"/>
            <w:vAlign w:val="bottom"/>
            <w:shd w:val="clear" w:color="auto" w:fill="CCEEFF"/>
          </w:tcPr>
          <w:p>
            <w:pPr>
              <w:spacing w:after="0"/>
              <w:rPr>
                <w:sz w:val="20"/>
                <w:szCs w:val="20"/>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7320" w:type="dxa"/>
            <w:vAlign w:val="bottom"/>
            <w:gridSpan w:val="20"/>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Communications from Shareholders</w:t>
              </w:r>
            </w:hyperlink>
          </w:p>
        </w:tc>
        <w:tc>
          <w:tcPr>
            <w:tcW w:w="260" w:type="dxa"/>
            <w:vAlign w:val="bottom"/>
            <w:gridSpan w:val="3"/>
          </w:tcPr>
          <w:p>
            <w:pPr>
              <w:jc w:val="right"/>
              <w:spacing w:after="0"/>
              <w:rPr>
                <w:rFonts w:ascii="Arial" w:cs="Arial" w:eastAsia="Arial" w:hAnsi="Arial"/>
                <w:sz w:val="17"/>
                <w:szCs w:val="17"/>
                <w:color w:val="0000EE"/>
              </w:rPr>
            </w:pPr>
            <w:hyperlink w:anchor="page30">
              <w:r>
                <w:rPr>
                  <w:rFonts w:ascii="Arial" w:cs="Arial" w:eastAsia="Arial" w:hAnsi="Arial"/>
                  <w:sz w:val="17"/>
                  <w:szCs w:val="17"/>
                  <w:color w:val="0000EE"/>
                </w:rPr>
                <w:t>20</w:t>
              </w:r>
            </w:hyperlink>
          </w:p>
        </w:tc>
        <w:tc>
          <w:tcPr>
            <w:tcW w:w="40" w:type="dxa"/>
            <w:vAlign w:val="bottom"/>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60" w:type="dxa"/>
            <w:vAlign w:val="bottom"/>
            <w:shd w:val="clear" w:color="auto" w:fill="CCEEFF"/>
          </w:tcPr>
          <w:p>
            <w:pPr>
              <w:spacing w:after="0"/>
              <w:rPr>
                <w:sz w:val="20"/>
                <w:szCs w:val="20"/>
                <w:color w:val="auto"/>
              </w:rPr>
            </w:pPr>
          </w:p>
        </w:tc>
        <w:tc>
          <w:tcPr>
            <w:tcW w:w="7320" w:type="dxa"/>
            <w:vAlign w:val="bottom"/>
            <w:gridSpan w:val="20"/>
            <w:shd w:val="clear" w:color="auto" w:fill="CCEEFF"/>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Board Leadership Structure and Role in Risk Oversight</w:t>
              </w:r>
            </w:hyperlink>
          </w:p>
        </w:tc>
        <w:tc>
          <w:tcPr>
            <w:tcW w:w="260" w:type="dxa"/>
            <w:vAlign w:val="bottom"/>
            <w:gridSpan w:val="3"/>
            <w:shd w:val="clear" w:color="auto" w:fill="CCEEFF"/>
          </w:tcPr>
          <w:p>
            <w:pPr>
              <w:jc w:val="right"/>
              <w:spacing w:after="0"/>
              <w:rPr>
                <w:rFonts w:ascii="Arial" w:cs="Arial" w:eastAsia="Arial" w:hAnsi="Arial"/>
                <w:sz w:val="17"/>
                <w:szCs w:val="17"/>
                <w:color w:val="0000EE"/>
              </w:rPr>
            </w:pPr>
            <w:hyperlink w:anchor="page31">
              <w:r>
                <w:rPr>
                  <w:rFonts w:ascii="Arial" w:cs="Arial" w:eastAsia="Arial" w:hAnsi="Arial"/>
                  <w:sz w:val="17"/>
                  <w:szCs w:val="17"/>
                  <w:color w:val="0000EE"/>
                </w:rPr>
                <w:t>21</w:t>
              </w:r>
            </w:hyperlink>
          </w:p>
        </w:tc>
        <w:tc>
          <w:tcPr>
            <w:tcW w:w="40" w:type="dxa"/>
            <w:vAlign w:val="bottom"/>
            <w:shd w:val="clear" w:color="auto" w:fill="CCEEFF"/>
          </w:tcPr>
          <w:p>
            <w:pPr>
              <w:spacing w:after="0"/>
              <w:rPr>
                <w:sz w:val="20"/>
                <w:szCs w:val="20"/>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840" w:type="dxa"/>
            <w:vAlign w:val="bottom"/>
            <w:gridSpan w:val="6"/>
          </w:tcPr>
          <w:p>
            <w:pPr>
              <w:spacing w:after="0"/>
              <w:rPr>
                <w:rFonts w:ascii="Arial" w:cs="Arial" w:eastAsia="Arial" w:hAnsi="Arial"/>
                <w:sz w:val="17"/>
                <w:szCs w:val="17"/>
                <w:color w:val="0000EE"/>
                <w:w w:val="92"/>
              </w:rPr>
            </w:pPr>
            <w:hyperlink w:anchor="page31">
              <w:r>
                <w:rPr>
                  <w:rFonts w:ascii="Arial" w:cs="Arial" w:eastAsia="Arial" w:hAnsi="Arial"/>
                  <w:sz w:val="17"/>
                  <w:szCs w:val="17"/>
                  <w:color w:val="0000EE"/>
                  <w:w w:val="92"/>
                </w:rPr>
                <w:t>Periodic Board Evaluation</w:t>
              </w:r>
            </w:hyperlink>
          </w:p>
        </w:tc>
        <w:tc>
          <w:tcPr>
            <w:tcW w:w="2120" w:type="dxa"/>
            <w:vAlign w:val="bottom"/>
            <w:gridSpan w:val="8"/>
          </w:tcPr>
          <w:p>
            <w:pPr>
              <w:spacing w:after="0"/>
              <w:rPr>
                <w:sz w:val="20"/>
                <w:szCs w:val="20"/>
                <w:color w:val="auto"/>
              </w:rPr>
            </w:pPr>
          </w:p>
        </w:tc>
        <w:tc>
          <w:tcPr>
            <w:tcW w:w="3360" w:type="dxa"/>
            <w:vAlign w:val="bottom"/>
            <w:gridSpan w:val="6"/>
          </w:tcPr>
          <w:p>
            <w:pPr>
              <w:spacing w:after="0"/>
              <w:rPr>
                <w:sz w:val="20"/>
                <w:szCs w:val="20"/>
                <w:color w:val="auto"/>
              </w:rPr>
            </w:pPr>
          </w:p>
        </w:tc>
        <w:tc>
          <w:tcPr>
            <w:tcW w:w="260" w:type="dxa"/>
            <w:vAlign w:val="bottom"/>
            <w:gridSpan w:val="3"/>
          </w:tcPr>
          <w:p>
            <w:pPr>
              <w:jc w:val="right"/>
              <w:spacing w:after="0"/>
              <w:rPr>
                <w:rFonts w:ascii="Arial" w:cs="Arial" w:eastAsia="Arial" w:hAnsi="Arial"/>
                <w:sz w:val="17"/>
                <w:szCs w:val="17"/>
                <w:color w:val="0000EE"/>
              </w:rPr>
            </w:pPr>
            <w:hyperlink w:anchor="page31">
              <w:r>
                <w:rPr>
                  <w:rFonts w:ascii="Arial" w:cs="Arial" w:eastAsia="Arial" w:hAnsi="Arial"/>
                  <w:sz w:val="17"/>
                  <w:szCs w:val="17"/>
                  <w:color w:val="0000EE"/>
                </w:rPr>
                <w:t>21</w:t>
              </w:r>
            </w:hyperlink>
          </w:p>
        </w:tc>
        <w:tc>
          <w:tcPr>
            <w:tcW w:w="40" w:type="dxa"/>
            <w:vAlign w:val="bottom"/>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60" w:type="dxa"/>
            <w:vAlign w:val="bottom"/>
            <w:shd w:val="clear" w:color="auto" w:fill="CCEEFF"/>
          </w:tcPr>
          <w:p>
            <w:pPr>
              <w:spacing w:after="0"/>
              <w:rPr>
                <w:sz w:val="20"/>
                <w:szCs w:val="20"/>
                <w:color w:val="auto"/>
              </w:rPr>
            </w:pPr>
          </w:p>
        </w:tc>
        <w:tc>
          <w:tcPr>
            <w:tcW w:w="2700" w:type="dxa"/>
            <w:vAlign w:val="bottom"/>
            <w:gridSpan w:val="11"/>
            <w:shd w:val="clear" w:color="auto" w:fill="CCEEFF"/>
          </w:tcPr>
          <w:p>
            <w:pPr>
              <w:spacing w:after="0"/>
              <w:rPr>
                <w:rFonts w:ascii="Arial" w:cs="Arial" w:eastAsia="Arial" w:hAnsi="Arial"/>
                <w:sz w:val="17"/>
                <w:szCs w:val="17"/>
                <w:color w:val="0000EE"/>
                <w:w w:val="93"/>
              </w:rPr>
            </w:pPr>
            <w:hyperlink w:anchor="page31">
              <w:r>
                <w:rPr>
                  <w:rFonts w:ascii="Arial" w:cs="Arial" w:eastAsia="Arial" w:hAnsi="Arial"/>
                  <w:sz w:val="17"/>
                  <w:szCs w:val="17"/>
                  <w:color w:val="0000EE"/>
                  <w:w w:val="93"/>
                </w:rPr>
                <w:t>Code of Business Conduct and Ethics</w:t>
              </w:r>
            </w:hyperlink>
          </w:p>
        </w:tc>
        <w:tc>
          <w:tcPr>
            <w:tcW w:w="4620" w:type="dxa"/>
            <w:vAlign w:val="bottom"/>
            <w:gridSpan w:val="9"/>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rFonts w:ascii="Arial" w:cs="Arial" w:eastAsia="Arial" w:hAnsi="Arial"/>
                <w:sz w:val="17"/>
                <w:szCs w:val="17"/>
                <w:color w:val="0000EE"/>
              </w:rPr>
            </w:pPr>
            <w:hyperlink w:anchor="page31">
              <w:r>
                <w:rPr>
                  <w:rFonts w:ascii="Arial" w:cs="Arial" w:eastAsia="Arial" w:hAnsi="Arial"/>
                  <w:sz w:val="17"/>
                  <w:szCs w:val="17"/>
                  <w:color w:val="0000EE"/>
                </w:rPr>
                <w:t>21</w:t>
              </w:r>
            </w:hyperlink>
          </w:p>
        </w:tc>
        <w:tc>
          <w:tcPr>
            <w:tcW w:w="40" w:type="dxa"/>
            <w:vAlign w:val="bottom"/>
            <w:shd w:val="clear" w:color="auto" w:fill="CCEEFF"/>
          </w:tcPr>
          <w:p>
            <w:pPr>
              <w:spacing w:after="0"/>
              <w:rPr>
                <w:sz w:val="20"/>
                <w:szCs w:val="20"/>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500" w:type="dxa"/>
            <w:vAlign w:val="bottom"/>
            <w:gridSpan w:val="4"/>
          </w:tcPr>
          <w:p>
            <w:pPr>
              <w:spacing w:after="0"/>
              <w:rPr>
                <w:rFonts w:ascii="Arial" w:cs="Arial" w:eastAsia="Arial" w:hAnsi="Arial"/>
                <w:sz w:val="17"/>
                <w:szCs w:val="17"/>
                <w:color w:val="0000EE"/>
                <w:w w:val="98"/>
              </w:rPr>
            </w:pPr>
            <w:hyperlink w:anchor="page32">
              <w:r>
                <w:rPr>
                  <w:rFonts w:ascii="Arial" w:cs="Arial" w:eastAsia="Arial" w:hAnsi="Arial"/>
                  <w:sz w:val="17"/>
                  <w:szCs w:val="17"/>
                  <w:color w:val="0000EE"/>
                  <w:w w:val="98"/>
                </w:rPr>
                <w:t>Anti-Hedging Policy</w:t>
              </w:r>
            </w:hyperlink>
          </w:p>
        </w:tc>
        <w:tc>
          <w:tcPr>
            <w:tcW w:w="1200" w:type="dxa"/>
            <w:vAlign w:val="bottom"/>
            <w:gridSpan w:val="7"/>
          </w:tcPr>
          <w:p>
            <w:pPr>
              <w:spacing w:after="0"/>
              <w:rPr>
                <w:sz w:val="20"/>
                <w:szCs w:val="20"/>
                <w:color w:val="auto"/>
              </w:rPr>
            </w:pPr>
          </w:p>
        </w:tc>
        <w:tc>
          <w:tcPr>
            <w:tcW w:w="4620" w:type="dxa"/>
            <w:vAlign w:val="bottom"/>
            <w:gridSpan w:val="9"/>
          </w:tcPr>
          <w:p>
            <w:pPr>
              <w:spacing w:after="0"/>
              <w:rPr>
                <w:sz w:val="20"/>
                <w:szCs w:val="20"/>
                <w:color w:val="auto"/>
              </w:rPr>
            </w:pPr>
          </w:p>
        </w:tc>
        <w:tc>
          <w:tcPr>
            <w:tcW w:w="260" w:type="dxa"/>
            <w:vAlign w:val="bottom"/>
            <w:gridSpan w:val="3"/>
          </w:tcPr>
          <w:p>
            <w:pPr>
              <w:jc w:val="right"/>
              <w:spacing w:after="0"/>
              <w:rPr>
                <w:rFonts w:ascii="Arial" w:cs="Arial" w:eastAsia="Arial" w:hAnsi="Arial"/>
                <w:sz w:val="17"/>
                <w:szCs w:val="17"/>
                <w:color w:val="0000EE"/>
              </w:rPr>
            </w:pPr>
            <w:hyperlink w:anchor="page32">
              <w:r>
                <w:rPr>
                  <w:rFonts w:ascii="Arial" w:cs="Arial" w:eastAsia="Arial" w:hAnsi="Arial"/>
                  <w:sz w:val="17"/>
                  <w:szCs w:val="17"/>
                  <w:color w:val="0000EE"/>
                </w:rPr>
                <w:t>22</w:t>
              </w:r>
            </w:hyperlink>
          </w:p>
        </w:tc>
        <w:tc>
          <w:tcPr>
            <w:tcW w:w="40" w:type="dxa"/>
            <w:vAlign w:val="bottom"/>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60" w:type="dxa"/>
            <w:vAlign w:val="bottom"/>
            <w:shd w:val="clear" w:color="auto" w:fill="CCEEFF"/>
          </w:tcPr>
          <w:p>
            <w:pPr>
              <w:spacing w:after="0"/>
              <w:rPr>
                <w:sz w:val="20"/>
                <w:szCs w:val="20"/>
                <w:color w:val="auto"/>
              </w:rPr>
            </w:pPr>
          </w:p>
        </w:tc>
        <w:tc>
          <w:tcPr>
            <w:tcW w:w="4480" w:type="dxa"/>
            <w:vAlign w:val="bottom"/>
            <w:gridSpan w:val="17"/>
            <w:shd w:val="clear" w:color="auto" w:fill="CCEEFF"/>
          </w:tcPr>
          <w:p>
            <w:pPr>
              <w:spacing w:after="0"/>
              <w:rPr>
                <w:rFonts w:ascii="Arial" w:cs="Arial" w:eastAsia="Arial" w:hAnsi="Arial"/>
                <w:sz w:val="17"/>
                <w:szCs w:val="17"/>
                <w:color w:val="0000EE"/>
                <w:w w:val="95"/>
              </w:rPr>
            </w:pPr>
            <w:hyperlink w:anchor="page32">
              <w:r>
                <w:rPr>
                  <w:rFonts w:ascii="Arial" w:cs="Arial" w:eastAsia="Arial" w:hAnsi="Arial"/>
                  <w:sz w:val="17"/>
                  <w:szCs w:val="17"/>
                  <w:color w:val="0000EE"/>
                  <w:w w:val="95"/>
                </w:rPr>
                <w:t>Attendance by Members of the Board of Directors at Meetings</w:t>
              </w:r>
            </w:hyperlink>
          </w:p>
        </w:tc>
        <w:tc>
          <w:tcPr>
            <w:tcW w:w="2840" w:type="dxa"/>
            <w:vAlign w:val="bottom"/>
            <w:gridSpan w:val="3"/>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rFonts w:ascii="Arial" w:cs="Arial" w:eastAsia="Arial" w:hAnsi="Arial"/>
                <w:sz w:val="17"/>
                <w:szCs w:val="17"/>
                <w:color w:val="0000EE"/>
              </w:rPr>
            </w:pPr>
            <w:hyperlink w:anchor="page32">
              <w:r>
                <w:rPr>
                  <w:rFonts w:ascii="Arial" w:cs="Arial" w:eastAsia="Arial" w:hAnsi="Arial"/>
                  <w:sz w:val="17"/>
                  <w:szCs w:val="17"/>
                  <w:color w:val="0000EE"/>
                </w:rPr>
                <w:t>22</w:t>
              </w:r>
            </w:hyperlink>
          </w:p>
        </w:tc>
        <w:tc>
          <w:tcPr>
            <w:tcW w:w="40" w:type="dxa"/>
            <w:vAlign w:val="bottom"/>
            <w:shd w:val="clear" w:color="auto" w:fill="CCEEFF"/>
          </w:tcPr>
          <w:p>
            <w:pPr>
              <w:spacing w:after="0"/>
              <w:rPr>
                <w:sz w:val="20"/>
                <w:szCs w:val="20"/>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1800" w:type="dxa"/>
            <w:vAlign w:val="bottom"/>
            <w:gridSpan w:val="6"/>
          </w:tcPr>
          <w:p>
            <w:pPr>
              <w:spacing w:after="0"/>
              <w:rPr>
                <w:rFonts w:ascii="Arial" w:cs="Arial" w:eastAsia="Arial" w:hAnsi="Arial"/>
                <w:sz w:val="17"/>
                <w:szCs w:val="17"/>
                <w:color w:val="0000EE"/>
                <w:w w:val="93"/>
              </w:rPr>
            </w:pPr>
            <w:hyperlink w:anchor="page32">
              <w:r>
                <w:rPr>
                  <w:rFonts w:ascii="Arial" w:cs="Arial" w:eastAsia="Arial" w:hAnsi="Arial"/>
                  <w:sz w:val="17"/>
                  <w:szCs w:val="17"/>
                  <w:color w:val="0000EE"/>
                  <w:w w:val="93"/>
                </w:rPr>
                <w:t>Committees of the Board</w:t>
              </w:r>
            </w:hyperlink>
          </w:p>
        </w:tc>
        <w:tc>
          <w:tcPr>
            <w:tcW w:w="5680" w:type="dxa"/>
            <w:vAlign w:val="bottom"/>
            <w:gridSpan w:val="15"/>
          </w:tcPr>
          <w:p>
            <w:pPr>
              <w:spacing w:after="0"/>
              <w:rPr>
                <w:sz w:val="20"/>
                <w:szCs w:val="20"/>
                <w:color w:val="auto"/>
              </w:rPr>
            </w:pPr>
          </w:p>
        </w:tc>
        <w:tc>
          <w:tcPr>
            <w:tcW w:w="260" w:type="dxa"/>
            <w:vAlign w:val="bottom"/>
            <w:gridSpan w:val="3"/>
          </w:tcPr>
          <w:p>
            <w:pPr>
              <w:jc w:val="right"/>
              <w:spacing w:after="0"/>
              <w:rPr>
                <w:rFonts w:ascii="Arial" w:cs="Arial" w:eastAsia="Arial" w:hAnsi="Arial"/>
                <w:sz w:val="17"/>
                <w:szCs w:val="17"/>
                <w:color w:val="0000EE"/>
              </w:rPr>
            </w:pPr>
            <w:hyperlink w:anchor="page32">
              <w:r>
                <w:rPr>
                  <w:rFonts w:ascii="Arial" w:cs="Arial" w:eastAsia="Arial" w:hAnsi="Arial"/>
                  <w:sz w:val="17"/>
                  <w:szCs w:val="17"/>
                  <w:color w:val="0000EE"/>
                </w:rPr>
                <w:t>22</w:t>
              </w:r>
            </w:hyperlink>
          </w:p>
        </w:tc>
        <w:tc>
          <w:tcPr>
            <w:tcW w:w="40" w:type="dxa"/>
            <w:vAlign w:val="bottom"/>
          </w:tcPr>
          <w:p>
            <w:pPr>
              <w:spacing w:after="0"/>
              <w:rPr>
                <w:sz w:val="20"/>
                <w:szCs w:val="20"/>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60" w:type="dxa"/>
            <w:vAlign w:val="bottom"/>
            <w:shd w:val="clear" w:color="auto" w:fill="CCEEFF"/>
          </w:tcPr>
          <w:p>
            <w:pPr>
              <w:spacing w:after="0"/>
              <w:rPr>
                <w:sz w:val="20"/>
                <w:szCs w:val="20"/>
                <w:color w:val="auto"/>
              </w:rPr>
            </w:pPr>
          </w:p>
        </w:tc>
        <w:tc>
          <w:tcPr>
            <w:tcW w:w="1920" w:type="dxa"/>
            <w:vAlign w:val="bottom"/>
            <w:gridSpan w:val="7"/>
            <w:shd w:val="clear" w:color="auto" w:fill="CCEEFF"/>
          </w:tcPr>
          <w:p>
            <w:pPr>
              <w:spacing w:after="0"/>
              <w:rPr>
                <w:rFonts w:ascii="Arial" w:cs="Arial" w:eastAsia="Arial" w:hAnsi="Arial"/>
                <w:sz w:val="17"/>
                <w:szCs w:val="17"/>
                <w:color w:val="0000EE"/>
                <w:w w:val="96"/>
              </w:rPr>
            </w:pPr>
            <w:hyperlink w:anchor="page32">
              <w:r>
                <w:rPr>
                  <w:rFonts w:ascii="Arial" w:cs="Arial" w:eastAsia="Arial" w:hAnsi="Arial"/>
                  <w:sz w:val="17"/>
                  <w:szCs w:val="17"/>
                  <w:color w:val="0000EE"/>
                  <w:w w:val="96"/>
                </w:rPr>
                <w:t>Audit and Risk Committee</w:t>
              </w:r>
            </w:hyperlink>
          </w:p>
        </w:tc>
        <w:tc>
          <w:tcPr>
            <w:tcW w:w="5400" w:type="dxa"/>
            <w:vAlign w:val="bottom"/>
            <w:gridSpan w:val="13"/>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rFonts w:ascii="Arial" w:cs="Arial" w:eastAsia="Arial" w:hAnsi="Arial"/>
                <w:sz w:val="17"/>
                <w:szCs w:val="17"/>
                <w:color w:val="0000EE"/>
              </w:rPr>
            </w:pPr>
            <w:hyperlink w:anchor="page32">
              <w:r>
                <w:rPr>
                  <w:rFonts w:ascii="Arial" w:cs="Arial" w:eastAsia="Arial" w:hAnsi="Arial"/>
                  <w:sz w:val="17"/>
                  <w:szCs w:val="17"/>
                  <w:color w:val="0000EE"/>
                </w:rPr>
                <w:t>22</w:t>
              </w:r>
            </w:hyperlink>
          </w:p>
        </w:tc>
        <w:tc>
          <w:tcPr>
            <w:tcW w:w="40" w:type="dxa"/>
            <w:vAlign w:val="bottom"/>
            <w:shd w:val="clear" w:color="auto" w:fill="CCEEFF"/>
          </w:tcPr>
          <w:p>
            <w:pPr>
              <w:spacing w:after="0"/>
              <w:rPr>
                <w:sz w:val="20"/>
                <w:szCs w:val="20"/>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920" w:type="dxa"/>
            <w:vAlign w:val="bottom"/>
            <w:gridSpan w:val="7"/>
          </w:tcPr>
          <w:p>
            <w:pPr>
              <w:spacing w:after="0"/>
              <w:rPr>
                <w:rFonts w:ascii="Arial" w:cs="Arial" w:eastAsia="Arial" w:hAnsi="Arial"/>
                <w:sz w:val="17"/>
                <w:szCs w:val="17"/>
                <w:color w:val="0000EE"/>
                <w:w w:val="98"/>
              </w:rPr>
            </w:pPr>
            <w:hyperlink w:anchor="page33">
              <w:r>
                <w:rPr>
                  <w:rFonts w:ascii="Arial" w:cs="Arial" w:eastAsia="Arial" w:hAnsi="Arial"/>
                  <w:sz w:val="17"/>
                  <w:szCs w:val="17"/>
                  <w:color w:val="0000EE"/>
                  <w:w w:val="98"/>
                </w:rPr>
                <w:t>Remuneration Committee</w:t>
              </w:r>
            </w:hyperlink>
          </w:p>
        </w:tc>
        <w:tc>
          <w:tcPr>
            <w:tcW w:w="5400" w:type="dxa"/>
            <w:vAlign w:val="bottom"/>
            <w:gridSpan w:val="13"/>
          </w:tcPr>
          <w:p>
            <w:pPr>
              <w:spacing w:after="0"/>
              <w:rPr>
                <w:sz w:val="20"/>
                <w:szCs w:val="20"/>
                <w:color w:val="auto"/>
              </w:rPr>
            </w:pPr>
          </w:p>
        </w:tc>
        <w:tc>
          <w:tcPr>
            <w:tcW w:w="260" w:type="dxa"/>
            <w:vAlign w:val="bottom"/>
            <w:gridSpan w:val="3"/>
          </w:tcPr>
          <w:p>
            <w:pPr>
              <w:jc w:val="right"/>
              <w:spacing w:after="0"/>
              <w:rPr>
                <w:rFonts w:ascii="Arial" w:cs="Arial" w:eastAsia="Arial" w:hAnsi="Arial"/>
                <w:sz w:val="17"/>
                <w:szCs w:val="17"/>
                <w:color w:val="0000EE"/>
              </w:rPr>
            </w:pPr>
            <w:hyperlink w:anchor="page33">
              <w:r>
                <w:rPr>
                  <w:rFonts w:ascii="Arial" w:cs="Arial" w:eastAsia="Arial" w:hAnsi="Arial"/>
                  <w:sz w:val="17"/>
                  <w:szCs w:val="17"/>
                  <w:color w:val="0000EE"/>
                </w:rPr>
                <w:t>23</w:t>
              </w:r>
            </w:hyperlink>
          </w:p>
        </w:tc>
        <w:tc>
          <w:tcPr>
            <w:tcW w:w="40" w:type="dxa"/>
            <w:vAlign w:val="bottom"/>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60" w:type="dxa"/>
            <w:vAlign w:val="bottom"/>
            <w:shd w:val="clear" w:color="auto" w:fill="CCEEFF"/>
          </w:tcPr>
          <w:p>
            <w:pPr>
              <w:spacing w:after="0"/>
              <w:rPr>
                <w:sz w:val="20"/>
                <w:szCs w:val="20"/>
                <w:color w:val="auto"/>
              </w:rPr>
            </w:pPr>
          </w:p>
        </w:tc>
        <w:tc>
          <w:tcPr>
            <w:tcW w:w="3660" w:type="dxa"/>
            <w:vAlign w:val="bottom"/>
            <w:gridSpan w:val="12"/>
            <w:shd w:val="clear" w:color="auto" w:fill="CCEEFF"/>
          </w:tcPr>
          <w:p>
            <w:pPr>
              <w:spacing w:after="0"/>
              <w:rPr>
                <w:rFonts w:ascii="Arial" w:cs="Arial" w:eastAsia="Arial" w:hAnsi="Arial"/>
                <w:sz w:val="17"/>
                <w:szCs w:val="17"/>
                <w:color w:val="0000EE"/>
                <w:w w:val="94"/>
              </w:rPr>
            </w:pPr>
            <w:hyperlink w:anchor="page34">
              <w:r>
                <w:rPr>
                  <w:rFonts w:ascii="Arial" w:cs="Arial" w:eastAsia="Arial" w:hAnsi="Arial"/>
                  <w:sz w:val="17"/>
                  <w:szCs w:val="17"/>
                  <w:color w:val="0000EE"/>
                  <w:w w:val="94"/>
                </w:rPr>
                <w:t>Nomination and Corporate Governance Committee</w:t>
              </w:r>
            </w:hyperlink>
          </w:p>
        </w:tc>
        <w:tc>
          <w:tcPr>
            <w:tcW w:w="3660" w:type="dxa"/>
            <w:vAlign w:val="bottom"/>
            <w:gridSpan w:val="8"/>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rFonts w:ascii="Arial" w:cs="Arial" w:eastAsia="Arial" w:hAnsi="Arial"/>
                <w:sz w:val="17"/>
                <w:szCs w:val="17"/>
                <w:color w:val="0000EE"/>
              </w:rPr>
            </w:pPr>
            <w:hyperlink w:anchor="page34">
              <w:r>
                <w:rPr>
                  <w:rFonts w:ascii="Arial" w:cs="Arial" w:eastAsia="Arial" w:hAnsi="Arial"/>
                  <w:sz w:val="17"/>
                  <w:szCs w:val="17"/>
                  <w:color w:val="0000EE"/>
                </w:rPr>
                <w:t>24</w:t>
              </w:r>
            </w:hyperlink>
          </w:p>
        </w:tc>
        <w:tc>
          <w:tcPr>
            <w:tcW w:w="40" w:type="dxa"/>
            <w:vAlign w:val="bottom"/>
            <w:shd w:val="clear" w:color="auto" w:fill="CCEEFF"/>
          </w:tcPr>
          <w:p>
            <w:pPr>
              <w:spacing w:after="0"/>
              <w:rPr>
                <w:sz w:val="20"/>
                <w:szCs w:val="20"/>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7480" w:type="dxa"/>
            <w:vAlign w:val="bottom"/>
            <w:gridSpan w:val="21"/>
          </w:tcPr>
          <w:p>
            <w:pPr>
              <w:spacing w:after="0"/>
              <w:rPr>
                <w:rFonts w:ascii="Arial" w:cs="Arial" w:eastAsia="Arial" w:hAnsi="Arial"/>
                <w:sz w:val="17"/>
                <w:szCs w:val="17"/>
                <w:color w:val="0000EE"/>
              </w:rPr>
            </w:pPr>
            <w:hyperlink w:anchor="page35">
              <w:r>
                <w:rPr>
                  <w:rFonts w:ascii="Arial" w:cs="Arial" w:eastAsia="Arial" w:hAnsi="Arial"/>
                  <w:sz w:val="17"/>
                  <w:szCs w:val="17"/>
                  <w:color w:val="0000EE"/>
                </w:rPr>
                <w:t>Executive and Director Compensation</w:t>
              </w:r>
            </w:hyperlink>
          </w:p>
        </w:tc>
        <w:tc>
          <w:tcPr>
            <w:tcW w:w="260" w:type="dxa"/>
            <w:vAlign w:val="bottom"/>
            <w:gridSpan w:val="3"/>
          </w:tcPr>
          <w:p>
            <w:pPr>
              <w:jc w:val="right"/>
              <w:spacing w:after="0"/>
              <w:rPr>
                <w:rFonts w:ascii="Arial" w:cs="Arial" w:eastAsia="Arial" w:hAnsi="Arial"/>
                <w:sz w:val="17"/>
                <w:szCs w:val="17"/>
                <w:color w:val="0000EE"/>
              </w:rPr>
            </w:pPr>
            <w:hyperlink w:anchor="page35">
              <w:r>
                <w:rPr>
                  <w:rFonts w:ascii="Arial" w:cs="Arial" w:eastAsia="Arial" w:hAnsi="Arial"/>
                  <w:sz w:val="17"/>
                  <w:szCs w:val="17"/>
                  <w:color w:val="0000EE"/>
                </w:rPr>
                <w:t>25</w:t>
              </w:r>
            </w:hyperlink>
          </w:p>
        </w:tc>
        <w:tc>
          <w:tcPr>
            <w:tcW w:w="40" w:type="dxa"/>
            <w:vAlign w:val="bottom"/>
          </w:tcPr>
          <w:p>
            <w:pPr>
              <w:spacing w:after="0"/>
              <w:rPr>
                <w:sz w:val="20"/>
                <w:szCs w:val="20"/>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60" w:type="dxa"/>
            <w:vAlign w:val="bottom"/>
            <w:shd w:val="clear" w:color="auto" w:fill="CCEEFF"/>
          </w:tcPr>
          <w:p>
            <w:pPr>
              <w:spacing w:after="0"/>
              <w:rPr>
                <w:sz w:val="20"/>
                <w:szCs w:val="20"/>
                <w:color w:val="auto"/>
              </w:rPr>
            </w:pPr>
          </w:p>
        </w:tc>
        <w:tc>
          <w:tcPr>
            <w:tcW w:w="7320" w:type="dxa"/>
            <w:vAlign w:val="bottom"/>
            <w:gridSpan w:val="20"/>
            <w:shd w:val="clear" w:color="auto" w:fill="CCEEFF"/>
          </w:tcPr>
          <w:p>
            <w:pPr>
              <w:spacing w:after="0"/>
              <w:rPr>
                <w:rFonts w:ascii="Arial" w:cs="Arial" w:eastAsia="Arial" w:hAnsi="Arial"/>
                <w:sz w:val="17"/>
                <w:szCs w:val="17"/>
                <w:color w:val="0000EE"/>
              </w:rPr>
            </w:pPr>
            <w:hyperlink w:anchor="page35">
              <w:r>
                <w:rPr>
                  <w:rFonts w:ascii="Arial" w:cs="Arial" w:eastAsia="Arial" w:hAnsi="Arial"/>
                  <w:sz w:val="17"/>
                  <w:szCs w:val="17"/>
                  <w:color w:val="0000EE"/>
                </w:rPr>
                <w:t>2021 Summary Compensation Table</w:t>
              </w:r>
            </w:hyperlink>
          </w:p>
        </w:tc>
        <w:tc>
          <w:tcPr>
            <w:tcW w:w="260" w:type="dxa"/>
            <w:vAlign w:val="bottom"/>
            <w:gridSpan w:val="3"/>
            <w:shd w:val="clear" w:color="auto" w:fill="CCEEFF"/>
          </w:tcPr>
          <w:p>
            <w:pPr>
              <w:jc w:val="right"/>
              <w:spacing w:after="0"/>
              <w:rPr>
                <w:rFonts w:ascii="Arial" w:cs="Arial" w:eastAsia="Arial" w:hAnsi="Arial"/>
                <w:sz w:val="17"/>
                <w:szCs w:val="17"/>
                <w:color w:val="0000EE"/>
              </w:rPr>
            </w:pPr>
            <w:hyperlink w:anchor="page35">
              <w:r>
                <w:rPr>
                  <w:rFonts w:ascii="Arial" w:cs="Arial" w:eastAsia="Arial" w:hAnsi="Arial"/>
                  <w:sz w:val="17"/>
                  <w:szCs w:val="17"/>
                  <w:color w:val="0000EE"/>
                </w:rPr>
                <w:t>25</w:t>
              </w:r>
            </w:hyperlink>
          </w:p>
        </w:tc>
        <w:tc>
          <w:tcPr>
            <w:tcW w:w="40" w:type="dxa"/>
            <w:vAlign w:val="bottom"/>
            <w:shd w:val="clear" w:color="auto" w:fill="CCEEFF"/>
          </w:tcPr>
          <w:p>
            <w:pPr>
              <w:spacing w:after="0"/>
              <w:rPr>
                <w:sz w:val="20"/>
                <w:szCs w:val="20"/>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7320" w:type="dxa"/>
            <w:vAlign w:val="bottom"/>
            <w:gridSpan w:val="20"/>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Outstanding Equity Awards at 2021 Fiscal Year-End</w:t>
              </w:r>
            </w:hyperlink>
          </w:p>
        </w:tc>
        <w:tc>
          <w:tcPr>
            <w:tcW w:w="260" w:type="dxa"/>
            <w:vAlign w:val="bottom"/>
            <w:gridSpan w:val="3"/>
          </w:tcPr>
          <w:p>
            <w:pPr>
              <w:jc w:val="right"/>
              <w:spacing w:after="0"/>
              <w:rPr>
                <w:rFonts w:ascii="Arial" w:cs="Arial" w:eastAsia="Arial" w:hAnsi="Arial"/>
                <w:sz w:val="17"/>
                <w:szCs w:val="17"/>
                <w:color w:val="0000EE"/>
              </w:rPr>
            </w:pPr>
            <w:hyperlink w:anchor="page37">
              <w:r>
                <w:rPr>
                  <w:rFonts w:ascii="Arial" w:cs="Arial" w:eastAsia="Arial" w:hAnsi="Arial"/>
                  <w:sz w:val="17"/>
                  <w:szCs w:val="17"/>
                  <w:color w:val="0000EE"/>
                </w:rPr>
                <w:t>27</w:t>
              </w:r>
            </w:hyperlink>
          </w:p>
        </w:tc>
        <w:tc>
          <w:tcPr>
            <w:tcW w:w="40" w:type="dxa"/>
            <w:vAlign w:val="bottom"/>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60" w:type="dxa"/>
            <w:vAlign w:val="bottom"/>
            <w:shd w:val="clear" w:color="auto" w:fill="CCEEFF"/>
          </w:tcPr>
          <w:p>
            <w:pPr>
              <w:spacing w:after="0"/>
              <w:rPr>
                <w:sz w:val="20"/>
                <w:szCs w:val="20"/>
                <w:color w:val="auto"/>
              </w:rPr>
            </w:pPr>
          </w:p>
        </w:tc>
        <w:tc>
          <w:tcPr>
            <w:tcW w:w="2080" w:type="dxa"/>
            <w:vAlign w:val="bottom"/>
            <w:gridSpan w:val="8"/>
            <w:shd w:val="clear" w:color="auto" w:fill="CCEEFF"/>
          </w:tcPr>
          <w:p>
            <w:pPr>
              <w:spacing w:after="0"/>
              <w:rPr>
                <w:rFonts w:ascii="Arial" w:cs="Arial" w:eastAsia="Arial" w:hAnsi="Arial"/>
                <w:sz w:val="17"/>
                <w:szCs w:val="17"/>
                <w:color w:val="0000EE"/>
                <w:w w:val="95"/>
              </w:rPr>
            </w:pPr>
            <w:hyperlink w:anchor="page40">
              <w:r>
                <w:rPr>
                  <w:rFonts w:ascii="Arial" w:cs="Arial" w:eastAsia="Arial" w:hAnsi="Arial"/>
                  <w:sz w:val="17"/>
                  <w:szCs w:val="17"/>
                  <w:color w:val="0000EE"/>
                  <w:w w:val="95"/>
                </w:rPr>
                <w:t>2021 Director Compensation</w:t>
              </w:r>
            </w:hyperlink>
          </w:p>
        </w:tc>
        <w:tc>
          <w:tcPr>
            <w:tcW w:w="1660" w:type="dxa"/>
            <w:vAlign w:val="bottom"/>
            <w:gridSpan w:val="5"/>
            <w:shd w:val="clear" w:color="auto" w:fill="CCEEFF"/>
          </w:tcPr>
          <w:p>
            <w:pPr>
              <w:spacing w:after="0"/>
              <w:rPr>
                <w:sz w:val="20"/>
                <w:szCs w:val="20"/>
                <w:color w:val="auto"/>
              </w:rPr>
            </w:pPr>
          </w:p>
        </w:tc>
        <w:tc>
          <w:tcPr>
            <w:tcW w:w="3580" w:type="dxa"/>
            <w:vAlign w:val="bottom"/>
            <w:gridSpan w:val="7"/>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rFonts w:ascii="Arial" w:cs="Arial" w:eastAsia="Arial" w:hAnsi="Arial"/>
                <w:sz w:val="17"/>
                <w:szCs w:val="17"/>
                <w:color w:val="0000EE"/>
              </w:rPr>
            </w:pPr>
            <w:hyperlink w:anchor="page40">
              <w:r>
                <w:rPr>
                  <w:rFonts w:ascii="Arial" w:cs="Arial" w:eastAsia="Arial" w:hAnsi="Arial"/>
                  <w:sz w:val="17"/>
                  <w:szCs w:val="17"/>
                  <w:color w:val="0000EE"/>
                </w:rPr>
                <w:t>30</w:t>
              </w:r>
            </w:hyperlink>
          </w:p>
        </w:tc>
        <w:tc>
          <w:tcPr>
            <w:tcW w:w="40" w:type="dxa"/>
            <w:vAlign w:val="bottom"/>
            <w:shd w:val="clear" w:color="auto" w:fill="CCEEFF"/>
          </w:tcPr>
          <w:p>
            <w:pPr>
              <w:spacing w:after="0"/>
              <w:rPr>
                <w:sz w:val="20"/>
                <w:szCs w:val="20"/>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7320" w:type="dxa"/>
            <w:vAlign w:val="bottom"/>
            <w:gridSpan w:val="20"/>
          </w:tcPr>
          <w:p>
            <w:pPr>
              <w:spacing w:after="0"/>
              <w:rPr>
                <w:rFonts w:ascii="Arial" w:cs="Arial" w:eastAsia="Arial" w:hAnsi="Arial"/>
                <w:sz w:val="17"/>
                <w:szCs w:val="17"/>
                <w:color w:val="0000EE"/>
              </w:rPr>
            </w:pPr>
            <w:hyperlink w:anchor="page41">
              <w:r>
                <w:rPr>
                  <w:rFonts w:ascii="Arial" w:cs="Arial" w:eastAsia="Arial" w:hAnsi="Arial"/>
                  <w:sz w:val="17"/>
                  <w:szCs w:val="17"/>
                  <w:color w:val="0000EE"/>
                </w:rPr>
                <w:t>Securities Authorized for Issuance Under Equity Compensation Plans</w:t>
              </w:r>
            </w:hyperlink>
          </w:p>
        </w:tc>
        <w:tc>
          <w:tcPr>
            <w:tcW w:w="260" w:type="dxa"/>
            <w:vAlign w:val="bottom"/>
            <w:gridSpan w:val="3"/>
          </w:tcPr>
          <w:p>
            <w:pPr>
              <w:jc w:val="right"/>
              <w:spacing w:after="0"/>
              <w:rPr>
                <w:rFonts w:ascii="Arial" w:cs="Arial" w:eastAsia="Arial" w:hAnsi="Arial"/>
                <w:sz w:val="17"/>
                <w:szCs w:val="17"/>
                <w:color w:val="0000EE"/>
              </w:rPr>
            </w:pPr>
            <w:hyperlink w:anchor="page41">
              <w:r>
                <w:rPr>
                  <w:rFonts w:ascii="Arial" w:cs="Arial" w:eastAsia="Arial" w:hAnsi="Arial"/>
                  <w:sz w:val="17"/>
                  <w:szCs w:val="17"/>
                  <w:color w:val="0000EE"/>
                </w:rPr>
                <w:t>31</w:t>
              </w:r>
            </w:hyperlink>
          </w:p>
        </w:tc>
        <w:tc>
          <w:tcPr>
            <w:tcW w:w="40" w:type="dxa"/>
            <w:vAlign w:val="bottom"/>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4840" w:type="dxa"/>
            <w:vAlign w:val="bottom"/>
            <w:gridSpan w:val="19"/>
            <w:shd w:val="clear" w:color="auto" w:fill="CCEEFF"/>
          </w:tcPr>
          <w:p>
            <w:pPr>
              <w:spacing w:after="0"/>
              <w:rPr>
                <w:rFonts w:ascii="Arial" w:cs="Arial" w:eastAsia="Arial" w:hAnsi="Arial"/>
                <w:sz w:val="17"/>
                <w:szCs w:val="17"/>
                <w:color w:val="0000EE"/>
                <w:w w:val="95"/>
              </w:rPr>
            </w:pPr>
            <w:hyperlink w:anchor="page42">
              <w:r>
                <w:rPr>
                  <w:rFonts w:ascii="Arial" w:cs="Arial" w:eastAsia="Arial" w:hAnsi="Arial"/>
                  <w:sz w:val="17"/>
                  <w:szCs w:val="17"/>
                  <w:color w:val="0000EE"/>
                  <w:w w:val="95"/>
                </w:rPr>
                <w:t>Security Ownership of Certain Beneficial Owners and Management</w:t>
              </w:r>
            </w:hyperlink>
          </w:p>
        </w:tc>
        <w:tc>
          <w:tcPr>
            <w:tcW w:w="2640" w:type="dxa"/>
            <w:vAlign w:val="bottom"/>
            <w:gridSpan w:val="2"/>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rFonts w:ascii="Arial" w:cs="Arial" w:eastAsia="Arial" w:hAnsi="Arial"/>
                <w:sz w:val="17"/>
                <w:szCs w:val="17"/>
                <w:color w:val="0000EE"/>
              </w:rPr>
            </w:pPr>
            <w:hyperlink w:anchor="page42">
              <w:r>
                <w:rPr>
                  <w:rFonts w:ascii="Arial" w:cs="Arial" w:eastAsia="Arial" w:hAnsi="Arial"/>
                  <w:sz w:val="17"/>
                  <w:szCs w:val="17"/>
                  <w:color w:val="0000EE"/>
                </w:rPr>
                <w:t>32</w:t>
              </w:r>
            </w:hyperlink>
          </w:p>
        </w:tc>
        <w:tc>
          <w:tcPr>
            <w:tcW w:w="40" w:type="dxa"/>
            <w:vAlign w:val="bottom"/>
            <w:shd w:val="clear" w:color="auto" w:fill="CCEEFF"/>
          </w:tcPr>
          <w:p>
            <w:pPr>
              <w:spacing w:after="0"/>
              <w:rPr>
                <w:sz w:val="20"/>
                <w:szCs w:val="20"/>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2400" w:type="dxa"/>
            <w:vAlign w:val="bottom"/>
            <w:gridSpan w:val="10"/>
          </w:tcPr>
          <w:p>
            <w:pPr>
              <w:spacing w:after="0"/>
              <w:rPr>
                <w:rFonts w:ascii="Arial" w:cs="Arial" w:eastAsia="Arial" w:hAnsi="Arial"/>
                <w:sz w:val="17"/>
                <w:szCs w:val="17"/>
                <w:color w:val="0000EE"/>
                <w:w w:val="94"/>
              </w:rPr>
            </w:pPr>
            <w:hyperlink w:anchor="page45">
              <w:r>
                <w:rPr>
                  <w:rFonts w:ascii="Arial" w:cs="Arial" w:eastAsia="Arial" w:hAnsi="Arial"/>
                  <w:sz w:val="17"/>
                  <w:szCs w:val="17"/>
                  <w:color w:val="0000EE"/>
                  <w:w w:val="94"/>
                </w:rPr>
                <w:t>Delinquent Section 16(a) Reports</w:t>
              </w:r>
            </w:hyperlink>
          </w:p>
        </w:tc>
        <w:tc>
          <w:tcPr>
            <w:tcW w:w="2440" w:type="dxa"/>
            <w:vAlign w:val="bottom"/>
            <w:gridSpan w:val="9"/>
          </w:tcPr>
          <w:p>
            <w:pPr>
              <w:spacing w:after="0"/>
              <w:rPr>
                <w:sz w:val="20"/>
                <w:szCs w:val="20"/>
                <w:color w:val="auto"/>
              </w:rPr>
            </w:pPr>
          </w:p>
        </w:tc>
        <w:tc>
          <w:tcPr>
            <w:tcW w:w="2640" w:type="dxa"/>
            <w:vAlign w:val="bottom"/>
            <w:gridSpan w:val="2"/>
          </w:tcPr>
          <w:p>
            <w:pPr>
              <w:spacing w:after="0"/>
              <w:rPr>
                <w:sz w:val="20"/>
                <w:szCs w:val="20"/>
                <w:color w:val="auto"/>
              </w:rPr>
            </w:pPr>
          </w:p>
        </w:tc>
        <w:tc>
          <w:tcPr>
            <w:tcW w:w="260" w:type="dxa"/>
            <w:vAlign w:val="bottom"/>
            <w:gridSpan w:val="3"/>
          </w:tcPr>
          <w:p>
            <w:pPr>
              <w:jc w:val="right"/>
              <w:spacing w:after="0"/>
              <w:rPr>
                <w:rFonts w:ascii="Arial" w:cs="Arial" w:eastAsia="Arial" w:hAnsi="Arial"/>
                <w:sz w:val="17"/>
                <w:szCs w:val="17"/>
                <w:color w:val="0000EE"/>
              </w:rPr>
            </w:pPr>
            <w:hyperlink w:anchor="page45">
              <w:r>
                <w:rPr>
                  <w:rFonts w:ascii="Arial" w:cs="Arial" w:eastAsia="Arial" w:hAnsi="Arial"/>
                  <w:sz w:val="17"/>
                  <w:szCs w:val="17"/>
                  <w:color w:val="0000EE"/>
                </w:rPr>
                <w:t>35</w:t>
              </w:r>
            </w:hyperlink>
          </w:p>
        </w:tc>
        <w:tc>
          <w:tcPr>
            <w:tcW w:w="40" w:type="dxa"/>
            <w:vAlign w:val="bottom"/>
          </w:tcPr>
          <w:p>
            <w:pPr>
              <w:spacing w:after="0"/>
              <w:rPr>
                <w:sz w:val="20"/>
                <w:szCs w:val="20"/>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660" w:type="dxa"/>
            <w:vAlign w:val="bottom"/>
            <w:tcBorders>
              <w:right w:val="single" w:sz="8" w:color="CCEEFF"/>
            </w:tcBorders>
            <w:gridSpan w:val="5"/>
            <w:shd w:val="clear" w:color="auto" w:fill="CCEEFF"/>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Certain Relationships</w:t>
              </w:r>
            </w:hyperlink>
          </w:p>
        </w:tc>
        <w:tc>
          <w:tcPr>
            <w:tcW w:w="740" w:type="dxa"/>
            <w:vAlign w:val="bottom"/>
            <w:gridSpan w:val="5"/>
            <w:shd w:val="clear" w:color="auto" w:fill="CCEEFF"/>
          </w:tcPr>
          <w:p>
            <w:pPr>
              <w:spacing w:after="0"/>
              <w:rPr>
                <w:sz w:val="20"/>
                <w:szCs w:val="20"/>
                <w:color w:val="auto"/>
              </w:rPr>
            </w:pPr>
          </w:p>
        </w:tc>
        <w:tc>
          <w:tcPr>
            <w:tcW w:w="5080" w:type="dxa"/>
            <w:vAlign w:val="bottom"/>
            <w:gridSpan w:val="11"/>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rFonts w:ascii="Arial" w:cs="Arial" w:eastAsia="Arial" w:hAnsi="Arial"/>
                <w:sz w:val="17"/>
                <w:szCs w:val="17"/>
                <w:color w:val="0000EE"/>
              </w:rPr>
            </w:pPr>
            <w:hyperlink w:anchor="page45">
              <w:r>
                <w:rPr>
                  <w:rFonts w:ascii="Arial" w:cs="Arial" w:eastAsia="Arial" w:hAnsi="Arial"/>
                  <w:sz w:val="17"/>
                  <w:szCs w:val="17"/>
                  <w:color w:val="0000EE"/>
                </w:rPr>
                <w:t>35</w:t>
              </w:r>
            </w:hyperlink>
          </w:p>
        </w:tc>
        <w:tc>
          <w:tcPr>
            <w:tcW w:w="40" w:type="dxa"/>
            <w:vAlign w:val="bottom"/>
            <w:shd w:val="clear" w:color="auto" w:fill="CCEEFF"/>
          </w:tcPr>
          <w:p>
            <w:pPr>
              <w:spacing w:after="0"/>
              <w:rPr>
                <w:sz w:val="20"/>
                <w:szCs w:val="20"/>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4040" w:type="dxa"/>
            <w:vAlign w:val="bottom"/>
            <w:gridSpan w:val="15"/>
          </w:tcPr>
          <w:p>
            <w:pPr>
              <w:spacing w:after="0"/>
              <w:rPr>
                <w:rFonts w:ascii="Arial" w:cs="Arial" w:eastAsia="Arial" w:hAnsi="Arial"/>
                <w:sz w:val="17"/>
                <w:szCs w:val="17"/>
                <w:color w:val="0000EE"/>
                <w:w w:val="93"/>
              </w:rPr>
            </w:pPr>
            <w:hyperlink w:anchor="page45">
              <w:r>
                <w:rPr>
                  <w:rFonts w:ascii="Arial" w:cs="Arial" w:eastAsia="Arial" w:hAnsi="Arial"/>
                  <w:sz w:val="17"/>
                  <w:szCs w:val="17"/>
                  <w:color w:val="0000EE"/>
                  <w:w w:val="93"/>
                </w:rPr>
                <w:t>Policies and Procedures for Related Person Transactions</w:t>
              </w:r>
            </w:hyperlink>
          </w:p>
        </w:tc>
        <w:tc>
          <w:tcPr>
            <w:tcW w:w="3280" w:type="dxa"/>
            <w:vAlign w:val="bottom"/>
            <w:gridSpan w:val="5"/>
          </w:tcPr>
          <w:p>
            <w:pPr>
              <w:spacing w:after="0"/>
              <w:rPr>
                <w:sz w:val="20"/>
                <w:szCs w:val="20"/>
                <w:color w:val="auto"/>
              </w:rPr>
            </w:pPr>
          </w:p>
        </w:tc>
        <w:tc>
          <w:tcPr>
            <w:tcW w:w="260" w:type="dxa"/>
            <w:vAlign w:val="bottom"/>
            <w:gridSpan w:val="3"/>
          </w:tcPr>
          <w:p>
            <w:pPr>
              <w:jc w:val="right"/>
              <w:spacing w:after="0"/>
              <w:rPr>
                <w:rFonts w:ascii="Arial" w:cs="Arial" w:eastAsia="Arial" w:hAnsi="Arial"/>
                <w:sz w:val="17"/>
                <w:szCs w:val="17"/>
                <w:color w:val="0000EE"/>
              </w:rPr>
            </w:pPr>
            <w:hyperlink w:anchor="page45">
              <w:r>
                <w:rPr>
                  <w:rFonts w:ascii="Arial" w:cs="Arial" w:eastAsia="Arial" w:hAnsi="Arial"/>
                  <w:sz w:val="17"/>
                  <w:szCs w:val="17"/>
                  <w:color w:val="0000EE"/>
                </w:rPr>
                <w:t>35</w:t>
              </w:r>
            </w:hyperlink>
          </w:p>
        </w:tc>
        <w:tc>
          <w:tcPr>
            <w:tcW w:w="40" w:type="dxa"/>
            <w:vAlign w:val="bottom"/>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60" w:type="dxa"/>
            <w:vAlign w:val="bottom"/>
            <w:shd w:val="clear" w:color="auto" w:fill="CCEEFF"/>
          </w:tcPr>
          <w:p>
            <w:pPr>
              <w:spacing w:after="0"/>
              <w:rPr>
                <w:sz w:val="20"/>
                <w:szCs w:val="20"/>
                <w:color w:val="auto"/>
              </w:rPr>
            </w:pPr>
          </w:p>
        </w:tc>
        <w:tc>
          <w:tcPr>
            <w:tcW w:w="1640" w:type="dxa"/>
            <w:vAlign w:val="bottom"/>
            <w:gridSpan w:val="5"/>
            <w:shd w:val="clear" w:color="auto" w:fill="CCEEFF"/>
          </w:tcPr>
          <w:p>
            <w:pPr>
              <w:spacing w:after="0"/>
              <w:rPr>
                <w:rFonts w:ascii="Arial" w:cs="Arial" w:eastAsia="Arial" w:hAnsi="Arial"/>
                <w:sz w:val="17"/>
                <w:szCs w:val="17"/>
                <w:color w:val="0000EE"/>
                <w:w w:val="88"/>
              </w:rPr>
            </w:pPr>
            <w:hyperlink w:anchor="page46">
              <w:r>
                <w:rPr>
                  <w:rFonts w:ascii="Arial" w:cs="Arial" w:eastAsia="Arial" w:hAnsi="Arial"/>
                  <w:sz w:val="17"/>
                  <w:szCs w:val="17"/>
                  <w:color w:val="0000EE"/>
                  <w:w w:val="88"/>
                </w:rPr>
                <w:t>2020 Private Placement</w:t>
              </w:r>
            </w:hyperlink>
          </w:p>
        </w:tc>
        <w:tc>
          <w:tcPr>
            <w:tcW w:w="2400" w:type="dxa"/>
            <w:vAlign w:val="bottom"/>
            <w:tcBorders>
              <w:left w:val="single" w:sz="8" w:color="CCEEFF"/>
            </w:tcBorders>
            <w:gridSpan w:val="10"/>
            <w:shd w:val="clear" w:color="auto" w:fill="CCEEFF"/>
          </w:tcPr>
          <w:p>
            <w:pPr>
              <w:spacing w:after="0"/>
              <w:rPr>
                <w:sz w:val="20"/>
                <w:szCs w:val="20"/>
                <w:color w:val="auto"/>
              </w:rPr>
            </w:pPr>
          </w:p>
        </w:tc>
        <w:tc>
          <w:tcPr>
            <w:tcW w:w="3280" w:type="dxa"/>
            <w:vAlign w:val="bottom"/>
            <w:gridSpan w:val="5"/>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rFonts w:ascii="Arial" w:cs="Arial" w:eastAsia="Arial" w:hAnsi="Arial"/>
                <w:sz w:val="17"/>
                <w:szCs w:val="17"/>
                <w:color w:val="0000EE"/>
              </w:rPr>
            </w:pPr>
            <w:hyperlink w:anchor="page46">
              <w:r>
                <w:rPr>
                  <w:rFonts w:ascii="Arial" w:cs="Arial" w:eastAsia="Arial" w:hAnsi="Arial"/>
                  <w:sz w:val="17"/>
                  <w:szCs w:val="17"/>
                  <w:color w:val="0000EE"/>
                </w:rPr>
                <w:t>36</w:t>
              </w:r>
            </w:hyperlink>
          </w:p>
        </w:tc>
        <w:tc>
          <w:tcPr>
            <w:tcW w:w="40" w:type="dxa"/>
            <w:vAlign w:val="bottom"/>
            <w:shd w:val="clear" w:color="auto" w:fill="CCEEFF"/>
          </w:tcPr>
          <w:p>
            <w:pPr>
              <w:spacing w:after="0"/>
              <w:rPr>
                <w:sz w:val="20"/>
                <w:szCs w:val="20"/>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-6627495</wp:posOffset>
            </wp:positionV>
            <wp:extent cx="47517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51705" cy="8255"/>
                    </a:xfrm>
                    <a:prstGeom prst="rect">
                      <a:avLst/>
                    </a:prstGeom>
                    <a:noFill/>
                  </pic:spPr>
                </pic:pic>
              </a:graphicData>
            </a:graphic>
          </wp:anchor>
        </w:drawing>
      </w:r>
    </w:p>
    <w:p>
      <w:pPr>
        <w:spacing w:after="0" w:line="339"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3"/>
        </w:trPr>
        <w:tc>
          <w:tcPr>
            <w:tcW w:w="8680" w:type="dxa"/>
            <w:vAlign w:val="bottom"/>
            <w:gridSpan w:val="15"/>
          </w:tcPr>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921"/>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4"/>
        </w:trPr>
        <w:tc>
          <w:tcPr>
            <w:tcW w:w="1200" w:type="dxa"/>
            <w:vAlign w:val="bottom"/>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6"/>
        </w:trPr>
        <w:tc>
          <w:tcPr>
            <w:tcW w:w="120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0000EE"/>
            </w:tcBorders>
            <w:gridSpan w:val="4"/>
            <w:shd w:val="clear" w:color="auto" w:fill="CCEEFF"/>
          </w:tcPr>
          <w:p>
            <w:pPr>
              <w:spacing w:after="0"/>
              <w:rPr>
                <w:rFonts w:ascii="Arial" w:cs="Arial" w:eastAsia="Arial" w:hAnsi="Arial"/>
                <w:sz w:val="17"/>
                <w:szCs w:val="17"/>
                <w:color w:val="0000EE"/>
                <w:w w:val="93"/>
              </w:rPr>
            </w:pPr>
            <w:hyperlink w:anchor="page47">
              <w:r>
                <w:rPr>
                  <w:rFonts w:ascii="Arial" w:cs="Arial" w:eastAsia="Arial" w:hAnsi="Arial"/>
                  <w:sz w:val="17"/>
                  <w:szCs w:val="17"/>
                  <w:color w:val="0000EE"/>
                  <w:w w:val="93"/>
                </w:rPr>
                <w:t>Concurrent Placement</w:t>
              </w:r>
            </w:hyperlink>
          </w:p>
        </w:tc>
        <w:tc>
          <w:tcPr>
            <w:tcW w:w="5720" w:type="dxa"/>
            <w:vAlign w:val="bottom"/>
            <w:tcBorders>
              <w:bottom w:val="single" w:sz="8" w:color="CCEEFF"/>
            </w:tcBorders>
            <w:gridSpan w:val="9"/>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EE"/>
              <w:right w:val="single" w:sz="8" w:color="CCEEFF"/>
            </w:tcBorders>
            <w:shd w:val="clear" w:color="auto" w:fill="CCEEFF"/>
          </w:tcPr>
          <w:p>
            <w:pPr>
              <w:jc w:val="right"/>
              <w:spacing w:after="0"/>
              <w:rPr>
                <w:rFonts w:ascii="Arial" w:cs="Arial" w:eastAsia="Arial" w:hAnsi="Arial"/>
                <w:sz w:val="17"/>
                <w:szCs w:val="17"/>
                <w:color w:val="0000EE"/>
                <w:w w:val="84"/>
              </w:rPr>
            </w:pPr>
            <w:hyperlink w:anchor="page47">
              <w:r>
                <w:rPr>
                  <w:rFonts w:ascii="Arial" w:cs="Arial" w:eastAsia="Arial" w:hAnsi="Arial"/>
                  <w:sz w:val="17"/>
                  <w:szCs w:val="17"/>
                  <w:color w:val="0000EE"/>
                  <w:w w:val="84"/>
                </w:rPr>
                <w:t>37</w:t>
              </w:r>
            </w:hyperlink>
          </w:p>
        </w:tc>
      </w:tr>
      <w:tr>
        <w:trPr>
          <w:trHeight w:val="214"/>
        </w:trPr>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20" w:type="dxa"/>
            <w:vAlign w:val="bottom"/>
            <w:gridSpan w:val="13"/>
          </w:tcPr>
          <w:p>
            <w:pPr>
              <w:spacing w:after="0"/>
              <w:rPr>
                <w:rFonts w:ascii="Arial" w:cs="Arial" w:eastAsia="Arial" w:hAnsi="Arial"/>
                <w:sz w:val="17"/>
                <w:szCs w:val="17"/>
                <w:color w:val="0000EE"/>
              </w:rPr>
            </w:pPr>
            <w:hyperlink w:anchor="page47">
              <w:r>
                <w:rPr>
                  <w:rFonts w:ascii="Arial" w:cs="Arial" w:eastAsia="Arial" w:hAnsi="Arial"/>
                  <w:sz w:val="17"/>
                  <w:szCs w:val="17"/>
                  <w:color w:val="0000EE"/>
                </w:rPr>
                <w:t>2016 Registration Rights Agreement</w:t>
              </w:r>
            </w:hyperlink>
          </w:p>
        </w:tc>
        <w:tc>
          <w:tcPr>
            <w:tcW w:w="300" w:type="dxa"/>
            <w:vAlign w:val="bottom"/>
            <w:gridSpan w:val="2"/>
          </w:tcPr>
          <w:p>
            <w:pPr>
              <w:jc w:val="right"/>
              <w:spacing w:after="0"/>
              <w:rPr>
                <w:rFonts w:ascii="Arial" w:cs="Arial" w:eastAsia="Arial" w:hAnsi="Arial"/>
                <w:sz w:val="17"/>
                <w:szCs w:val="17"/>
                <w:color w:val="0000EE"/>
              </w:rPr>
            </w:pPr>
            <w:hyperlink w:anchor="page47">
              <w:r>
                <w:rPr>
                  <w:rFonts w:ascii="Arial" w:cs="Arial" w:eastAsia="Arial" w:hAnsi="Arial"/>
                  <w:sz w:val="17"/>
                  <w:szCs w:val="17"/>
                  <w:color w:val="0000EE"/>
                </w:rPr>
                <w:t>37</w:t>
              </w:r>
            </w:hyperlink>
          </w:p>
        </w:tc>
      </w:tr>
      <w:tr>
        <w:trPr>
          <w:trHeight w:val="214"/>
        </w:trPr>
        <w:tc>
          <w:tcPr>
            <w:tcW w:w="12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20" w:type="dxa"/>
            <w:vAlign w:val="bottom"/>
            <w:tcBorders>
              <w:top w:val="single" w:sz="8" w:color="0000EE"/>
              <w:right w:val="single" w:sz="8" w:color="CCEEFF"/>
            </w:tcBorders>
            <w:gridSpan w:val="6"/>
            <w:shd w:val="clear" w:color="auto" w:fill="CCEEFF"/>
          </w:tcPr>
          <w:p>
            <w:pPr>
              <w:spacing w:after="0"/>
              <w:rPr>
                <w:rFonts w:ascii="Arial" w:cs="Arial" w:eastAsia="Arial" w:hAnsi="Arial"/>
                <w:sz w:val="17"/>
                <w:szCs w:val="17"/>
                <w:color w:val="0000EE"/>
                <w:w w:val="94"/>
              </w:rPr>
            </w:pPr>
            <w:hyperlink w:anchor="page48">
              <w:r>
                <w:rPr>
                  <w:rFonts w:ascii="Arial" w:cs="Arial" w:eastAsia="Arial" w:hAnsi="Arial"/>
                  <w:sz w:val="17"/>
                  <w:szCs w:val="17"/>
                  <w:color w:val="0000EE"/>
                  <w:w w:val="94"/>
                </w:rPr>
                <w:t>Other Agreements and Transactions</w:t>
              </w:r>
            </w:hyperlink>
          </w:p>
        </w:tc>
        <w:tc>
          <w:tcPr>
            <w:tcW w:w="4700" w:type="dxa"/>
            <w:vAlign w:val="bottom"/>
            <w:gridSpan w:val="7"/>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0000EE"/>
              <w:right w:val="single" w:sz="8" w:color="CCEEFF"/>
            </w:tcBorders>
            <w:shd w:val="clear" w:color="auto" w:fill="CCEEFF"/>
          </w:tcPr>
          <w:p>
            <w:pPr>
              <w:jc w:val="right"/>
              <w:spacing w:after="0"/>
              <w:rPr>
                <w:rFonts w:ascii="Arial" w:cs="Arial" w:eastAsia="Arial" w:hAnsi="Arial"/>
                <w:sz w:val="17"/>
                <w:szCs w:val="17"/>
                <w:color w:val="0000EE"/>
                <w:w w:val="84"/>
              </w:rPr>
            </w:pPr>
            <w:hyperlink w:anchor="page48">
              <w:r>
                <w:rPr>
                  <w:rFonts w:ascii="Arial" w:cs="Arial" w:eastAsia="Arial" w:hAnsi="Arial"/>
                  <w:sz w:val="17"/>
                  <w:szCs w:val="17"/>
                  <w:color w:val="0000EE"/>
                  <w:w w:val="84"/>
                </w:rPr>
                <w:t>38</w:t>
              </w:r>
            </w:hyperlink>
          </w:p>
        </w:tc>
      </w:tr>
      <w:tr>
        <w:trPr>
          <w:trHeight w:val="38"/>
        </w:trPr>
        <w:tc>
          <w:tcPr>
            <w:tcW w:w="1200" w:type="dxa"/>
            <w:vAlign w:val="bottom"/>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740" w:type="dxa"/>
            <w:vAlign w:val="bottom"/>
            <w:tcBorders>
              <w:right w:val="single" w:sz="8" w:color="CCEEFF"/>
            </w:tcBorders>
            <w:shd w:val="clear" w:color="auto" w:fill="0000EE"/>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0000EE"/>
          </w:tcPr>
          <w:p>
            <w:pPr>
              <w:spacing w:after="0"/>
              <w:rPr>
                <w:sz w:val="3"/>
                <w:szCs w:val="3"/>
                <w:color w:val="auto"/>
              </w:rPr>
            </w:pPr>
          </w:p>
        </w:tc>
      </w:tr>
      <w:tr>
        <w:trPr>
          <w:trHeight w:val="227"/>
        </w:trPr>
        <w:tc>
          <w:tcPr>
            <w:tcW w:w="1200" w:type="dxa"/>
            <w:vAlign w:val="bottom"/>
          </w:tcPr>
          <w:p>
            <w:pPr>
              <w:spacing w:after="0"/>
              <w:rPr>
                <w:sz w:val="19"/>
                <w:szCs w:val="19"/>
                <w:color w:val="auto"/>
              </w:rPr>
            </w:pPr>
          </w:p>
        </w:tc>
        <w:tc>
          <w:tcPr>
            <w:tcW w:w="1660" w:type="dxa"/>
            <w:vAlign w:val="bottom"/>
            <w:tcBorders>
              <w:bottom w:val="single" w:sz="8" w:color="0000EE"/>
            </w:tcBorders>
            <w:gridSpan w:val="4"/>
          </w:tcPr>
          <w:p>
            <w:pPr>
              <w:spacing w:after="0"/>
              <w:rPr>
                <w:rFonts w:ascii="Arial" w:cs="Arial" w:eastAsia="Arial" w:hAnsi="Arial"/>
                <w:sz w:val="17"/>
                <w:szCs w:val="17"/>
                <w:color w:val="0000EE"/>
                <w:w w:val="99"/>
              </w:rPr>
            </w:pPr>
            <w:hyperlink w:anchor="page48">
              <w:r>
                <w:rPr>
                  <w:rFonts w:ascii="Arial" w:cs="Arial" w:eastAsia="Arial" w:hAnsi="Arial"/>
                  <w:sz w:val="17"/>
                  <w:szCs w:val="17"/>
                  <w:color w:val="0000EE"/>
                  <w:w w:val="99"/>
                </w:rPr>
                <w:t>Additional Information</w:t>
              </w:r>
            </w:hyperlink>
          </w:p>
        </w:tc>
        <w:tc>
          <w:tcPr>
            <w:tcW w:w="5820" w:type="dxa"/>
            <w:vAlign w:val="bottom"/>
            <w:gridSpan w:val="10"/>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0000EE"/>
            </w:tcBorders>
          </w:tcPr>
          <w:p>
            <w:pPr>
              <w:jc w:val="right"/>
              <w:spacing w:after="0"/>
              <w:rPr>
                <w:rFonts w:ascii="Arial" w:cs="Arial" w:eastAsia="Arial" w:hAnsi="Arial"/>
                <w:sz w:val="17"/>
                <w:szCs w:val="17"/>
                <w:color w:val="0000EE"/>
                <w:w w:val="84"/>
              </w:rPr>
            </w:pPr>
            <w:hyperlink w:anchor="page48">
              <w:r>
                <w:rPr>
                  <w:rFonts w:ascii="Arial" w:cs="Arial" w:eastAsia="Arial" w:hAnsi="Arial"/>
                  <w:sz w:val="17"/>
                  <w:szCs w:val="17"/>
                  <w:color w:val="0000EE"/>
                  <w:w w:val="84"/>
                </w:rPr>
                <w:t>38</w:t>
              </w:r>
            </w:hyperlink>
          </w:p>
        </w:tc>
      </w:tr>
      <w:tr>
        <w:trPr>
          <w:trHeight w:val="245"/>
        </w:trPr>
        <w:tc>
          <w:tcPr>
            <w:tcW w:w="120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0000EE"/>
            </w:tcBorders>
            <w:gridSpan w:val="8"/>
            <w:shd w:val="clear" w:color="auto" w:fill="CCEEFF"/>
          </w:tcPr>
          <w:p>
            <w:pPr>
              <w:spacing w:after="0"/>
              <w:rPr>
                <w:rFonts w:ascii="Arial" w:cs="Arial" w:eastAsia="Arial" w:hAnsi="Arial"/>
                <w:sz w:val="17"/>
                <w:szCs w:val="17"/>
                <w:color w:val="0000EE"/>
                <w:w w:val="95"/>
              </w:rPr>
            </w:pPr>
            <w:hyperlink w:anchor="page48">
              <w:r>
                <w:rPr>
                  <w:rFonts w:ascii="Arial" w:cs="Arial" w:eastAsia="Arial" w:hAnsi="Arial"/>
                  <w:sz w:val="17"/>
                  <w:szCs w:val="17"/>
                  <w:color w:val="0000EE"/>
                  <w:w w:val="95"/>
                </w:rPr>
                <w:t>Shareholders’ Rights to Call a General Meeting</w:t>
              </w:r>
            </w:hyperlink>
          </w:p>
        </w:tc>
        <w:tc>
          <w:tcPr>
            <w:tcW w:w="3900" w:type="dxa"/>
            <w:vAlign w:val="bottom"/>
            <w:tcBorders>
              <w:bottom w:val="single" w:sz="8" w:color="CCEEFF"/>
            </w:tcBorders>
            <w:gridSpan w:val="5"/>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0000EE"/>
              <w:right w:val="single" w:sz="8" w:color="CCEEFF"/>
            </w:tcBorders>
            <w:shd w:val="clear" w:color="auto" w:fill="CCEEFF"/>
          </w:tcPr>
          <w:p>
            <w:pPr>
              <w:jc w:val="right"/>
              <w:spacing w:after="0"/>
              <w:rPr>
                <w:rFonts w:ascii="Arial" w:cs="Arial" w:eastAsia="Arial" w:hAnsi="Arial"/>
                <w:sz w:val="17"/>
                <w:szCs w:val="17"/>
                <w:color w:val="0000EE"/>
                <w:w w:val="84"/>
              </w:rPr>
            </w:pPr>
            <w:hyperlink w:anchor="page48">
              <w:r>
                <w:rPr>
                  <w:rFonts w:ascii="Arial" w:cs="Arial" w:eastAsia="Arial" w:hAnsi="Arial"/>
                  <w:sz w:val="17"/>
                  <w:szCs w:val="17"/>
                  <w:color w:val="0000EE"/>
                  <w:w w:val="84"/>
                </w:rPr>
                <w:t>38</w:t>
              </w:r>
            </w:hyperlink>
          </w:p>
        </w:tc>
      </w:tr>
      <w:tr>
        <w:trPr>
          <w:trHeight w:val="227"/>
        </w:trPr>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340" w:type="dxa"/>
            <w:vAlign w:val="bottom"/>
            <w:tcBorders>
              <w:bottom w:val="single" w:sz="8" w:color="0000EE"/>
            </w:tcBorders>
            <w:gridSpan w:val="10"/>
          </w:tcPr>
          <w:p>
            <w:pPr>
              <w:spacing w:after="0"/>
              <w:rPr>
                <w:rFonts w:ascii="Arial" w:cs="Arial" w:eastAsia="Arial" w:hAnsi="Arial"/>
                <w:sz w:val="17"/>
                <w:szCs w:val="17"/>
                <w:color w:val="0000EE"/>
                <w:w w:val="94"/>
              </w:rPr>
            </w:pPr>
            <w:hyperlink w:anchor="page48">
              <w:r>
                <w:rPr>
                  <w:rFonts w:ascii="Arial" w:cs="Arial" w:eastAsia="Arial" w:hAnsi="Arial"/>
                  <w:sz w:val="17"/>
                  <w:szCs w:val="17"/>
                  <w:color w:val="0000EE"/>
                  <w:w w:val="94"/>
                </w:rPr>
                <w:t>Shareholder Proposals for the 2023 Annual General Meeting</w:t>
              </w:r>
            </w:hyperlink>
          </w:p>
        </w:tc>
        <w:tc>
          <w:tcPr>
            <w:tcW w:w="2980" w:type="dxa"/>
            <w:vAlign w:val="bottom"/>
            <w:gridSpan w:val="3"/>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0000EE"/>
            </w:tcBorders>
          </w:tcPr>
          <w:p>
            <w:pPr>
              <w:jc w:val="right"/>
              <w:spacing w:after="0"/>
              <w:rPr>
                <w:rFonts w:ascii="Arial" w:cs="Arial" w:eastAsia="Arial" w:hAnsi="Arial"/>
                <w:sz w:val="17"/>
                <w:szCs w:val="17"/>
                <w:color w:val="0000EE"/>
                <w:w w:val="84"/>
              </w:rPr>
            </w:pPr>
            <w:hyperlink w:anchor="page48">
              <w:r>
                <w:rPr>
                  <w:rFonts w:ascii="Arial" w:cs="Arial" w:eastAsia="Arial" w:hAnsi="Arial"/>
                  <w:sz w:val="17"/>
                  <w:szCs w:val="17"/>
                  <w:color w:val="0000EE"/>
                  <w:w w:val="84"/>
                </w:rPr>
                <w:t>38</w:t>
              </w:r>
            </w:hyperlink>
          </w:p>
        </w:tc>
      </w:tr>
      <w:tr>
        <w:trPr>
          <w:trHeight w:val="245"/>
        </w:trPr>
        <w:tc>
          <w:tcPr>
            <w:tcW w:w="120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0000EE"/>
            </w:tcBorders>
            <w:gridSpan w:val="2"/>
            <w:shd w:val="clear" w:color="auto" w:fill="CCEEFF"/>
          </w:tcPr>
          <w:p>
            <w:pPr>
              <w:spacing w:after="0"/>
              <w:rPr>
                <w:rFonts w:ascii="Arial" w:cs="Arial" w:eastAsia="Arial" w:hAnsi="Arial"/>
                <w:sz w:val="17"/>
                <w:szCs w:val="17"/>
                <w:color w:val="0000EE"/>
                <w:w w:val="94"/>
              </w:rPr>
            </w:pPr>
            <w:hyperlink w:anchor="page49">
              <w:r>
                <w:rPr>
                  <w:rFonts w:ascii="Arial" w:cs="Arial" w:eastAsia="Arial" w:hAnsi="Arial"/>
                  <w:sz w:val="17"/>
                  <w:szCs w:val="17"/>
                  <w:color w:val="0000EE"/>
                  <w:w w:val="94"/>
                </w:rPr>
                <w:t>Other Matters</w:t>
              </w:r>
            </w:hyperlink>
          </w:p>
        </w:tc>
        <w:tc>
          <w:tcPr>
            <w:tcW w:w="6320" w:type="dxa"/>
            <w:vAlign w:val="bottom"/>
            <w:tcBorders>
              <w:bottom w:val="single" w:sz="8" w:color="CCEEFF"/>
            </w:tcBorders>
            <w:gridSpan w:val="11"/>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0000EE"/>
              <w:right w:val="single" w:sz="8" w:color="CCEEFF"/>
            </w:tcBorders>
            <w:shd w:val="clear" w:color="auto" w:fill="CCEEFF"/>
          </w:tcPr>
          <w:p>
            <w:pPr>
              <w:jc w:val="right"/>
              <w:spacing w:after="0"/>
              <w:rPr>
                <w:rFonts w:ascii="Arial" w:cs="Arial" w:eastAsia="Arial" w:hAnsi="Arial"/>
                <w:sz w:val="17"/>
                <w:szCs w:val="17"/>
                <w:color w:val="0000EE"/>
                <w:w w:val="84"/>
              </w:rPr>
            </w:pPr>
            <w:hyperlink w:anchor="page49">
              <w:r>
                <w:rPr>
                  <w:rFonts w:ascii="Arial" w:cs="Arial" w:eastAsia="Arial" w:hAnsi="Arial"/>
                  <w:sz w:val="17"/>
                  <w:szCs w:val="17"/>
                  <w:color w:val="0000EE"/>
                  <w:w w:val="84"/>
                </w:rPr>
                <w:t>39</w:t>
              </w:r>
            </w:hyperlink>
          </w:p>
        </w:tc>
      </w:tr>
      <w:tr>
        <w:trPr>
          <w:trHeight w:val="227"/>
        </w:trPr>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20" w:type="dxa"/>
            <w:vAlign w:val="bottom"/>
            <w:gridSpan w:val="13"/>
          </w:tcPr>
          <w:p>
            <w:pPr>
              <w:spacing w:after="0"/>
              <w:rPr>
                <w:rFonts w:ascii="Arial" w:cs="Arial" w:eastAsia="Arial" w:hAnsi="Arial"/>
                <w:sz w:val="17"/>
                <w:szCs w:val="17"/>
                <w:color w:val="0000EE"/>
              </w:rPr>
            </w:pPr>
            <w:hyperlink w:anchor="page49">
              <w:r>
                <w:rPr>
                  <w:rFonts w:ascii="Arial" w:cs="Arial" w:eastAsia="Arial" w:hAnsi="Arial"/>
                  <w:sz w:val="17"/>
                  <w:szCs w:val="17"/>
                  <w:color w:val="0000EE"/>
                </w:rPr>
                <w:t>Solicitation of Proxies</w:t>
              </w:r>
            </w:hyperlink>
          </w:p>
        </w:tc>
        <w:tc>
          <w:tcPr>
            <w:tcW w:w="300" w:type="dxa"/>
            <w:vAlign w:val="bottom"/>
            <w:gridSpan w:val="2"/>
          </w:tcPr>
          <w:p>
            <w:pPr>
              <w:jc w:val="right"/>
              <w:spacing w:after="0"/>
              <w:rPr>
                <w:rFonts w:ascii="Arial" w:cs="Arial" w:eastAsia="Arial" w:hAnsi="Arial"/>
                <w:sz w:val="17"/>
                <w:szCs w:val="17"/>
                <w:color w:val="0000EE"/>
              </w:rPr>
            </w:pPr>
            <w:hyperlink w:anchor="page49">
              <w:r>
                <w:rPr>
                  <w:rFonts w:ascii="Arial" w:cs="Arial" w:eastAsia="Arial" w:hAnsi="Arial"/>
                  <w:sz w:val="17"/>
                  <w:szCs w:val="17"/>
                  <w:color w:val="0000EE"/>
                </w:rPr>
                <w:t>39</w:t>
              </w:r>
            </w:hyperlink>
          </w:p>
        </w:tc>
      </w:tr>
      <w:tr>
        <w:trPr>
          <w:trHeight w:val="227"/>
        </w:trPr>
        <w:tc>
          <w:tcPr>
            <w:tcW w:w="12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tcBorders>
              <w:top w:val="single" w:sz="8" w:color="0000EE"/>
            </w:tcBorders>
            <w:gridSpan w:val="4"/>
            <w:shd w:val="clear" w:color="auto" w:fill="CCEEFF"/>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Householding</w:t>
              </w:r>
            </w:hyperlink>
          </w:p>
        </w:tc>
        <w:tc>
          <w:tcPr>
            <w:tcW w:w="5720" w:type="dxa"/>
            <w:vAlign w:val="bottom"/>
            <w:gridSpan w:val="9"/>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top w:val="single" w:sz="8" w:color="0000EE"/>
              <w:right w:val="single" w:sz="8" w:color="CCEEFF"/>
            </w:tcBorders>
            <w:shd w:val="clear" w:color="auto" w:fill="CCEEFF"/>
          </w:tcPr>
          <w:p>
            <w:pPr>
              <w:jc w:val="right"/>
              <w:spacing w:after="0"/>
              <w:rPr>
                <w:rFonts w:ascii="Arial" w:cs="Arial" w:eastAsia="Arial" w:hAnsi="Arial"/>
                <w:sz w:val="17"/>
                <w:szCs w:val="17"/>
                <w:color w:val="0000EE"/>
                <w:w w:val="84"/>
              </w:rPr>
            </w:pPr>
            <w:hyperlink w:anchor="page50">
              <w:r>
                <w:rPr>
                  <w:rFonts w:ascii="Arial" w:cs="Arial" w:eastAsia="Arial" w:hAnsi="Arial"/>
                  <w:sz w:val="17"/>
                  <w:szCs w:val="17"/>
                  <w:color w:val="0000EE"/>
                  <w:w w:val="84"/>
                </w:rPr>
                <w:t>40</w:t>
              </w:r>
            </w:hyperlink>
          </w:p>
        </w:tc>
      </w:tr>
      <w:tr>
        <w:trPr>
          <w:trHeight w:val="38"/>
        </w:trPr>
        <w:tc>
          <w:tcPr>
            <w:tcW w:w="1200" w:type="dxa"/>
            <w:vAlign w:val="bottom"/>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740" w:type="dxa"/>
            <w:vAlign w:val="bottom"/>
            <w:tcBorders>
              <w:righ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0000EE"/>
          </w:tcPr>
          <w:p>
            <w:pPr>
              <w:spacing w:after="0"/>
              <w:rPr>
                <w:sz w:val="3"/>
                <w:szCs w:val="3"/>
                <w:color w:val="auto"/>
              </w:rPr>
            </w:pPr>
          </w:p>
        </w:tc>
      </w:tr>
      <w:tr>
        <w:trPr>
          <w:trHeight w:val="227"/>
        </w:trPr>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80" w:type="dxa"/>
            <w:vAlign w:val="bottom"/>
            <w:tcBorders>
              <w:bottom w:val="single" w:sz="8" w:color="0000EE"/>
            </w:tcBorders>
            <w:gridSpan w:val="7"/>
          </w:tcPr>
          <w:p>
            <w:pPr>
              <w:spacing w:after="0"/>
              <w:rPr>
                <w:rFonts w:ascii="Arial" w:cs="Arial" w:eastAsia="Arial" w:hAnsi="Arial"/>
                <w:sz w:val="17"/>
                <w:szCs w:val="17"/>
                <w:color w:val="0000EE"/>
                <w:w w:val="95"/>
              </w:rPr>
            </w:pPr>
            <w:hyperlink w:anchor="page50">
              <w:r>
                <w:rPr>
                  <w:rFonts w:ascii="Arial" w:cs="Arial" w:eastAsia="Arial" w:hAnsi="Arial"/>
                  <w:sz w:val="17"/>
                  <w:szCs w:val="17"/>
                  <w:color w:val="0000EE"/>
                  <w:w w:val="95"/>
                </w:rPr>
                <w:t>Verona Pharma’s Annual Report on Form 10-K</w:t>
              </w:r>
            </w:hyperlink>
          </w:p>
        </w:tc>
        <w:tc>
          <w:tcPr>
            <w:tcW w:w="3940" w:type="dxa"/>
            <w:vAlign w:val="bottom"/>
            <w:gridSpan w:val="6"/>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0000EE"/>
            </w:tcBorders>
          </w:tcPr>
          <w:p>
            <w:pPr>
              <w:jc w:val="right"/>
              <w:spacing w:after="0"/>
              <w:rPr>
                <w:rFonts w:ascii="Arial" w:cs="Arial" w:eastAsia="Arial" w:hAnsi="Arial"/>
                <w:sz w:val="17"/>
                <w:szCs w:val="17"/>
                <w:color w:val="0000EE"/>
                <w:w w:val="84"/>
              </w:rPr>
            </w:pPr>
            <w:hyperlink w:anchor="page50">
              <w:r>
                <w:rPr>
                  <w:rFonts w:ascii="Arial" w:cs="Arial" w:eastAsia="Arial" w:hAnsi="Arial"/>
                  <w:sz w:val="17"/>
                  <w:szCs w:val="17"/>
                  <w:color w:val="0000EE"/>
                  <w:w w:val="84"/>
                </w:rPr>
                <w:t>40</w:t>
              </w:r>
            </w:hyperlink>
          </w:p>
        </w:tc>
      </w:tr>
      <w:tr>
        <w:trPr>
          <w:trHeight w:val="214"/>
        </w:trPr>
        <w:tc>
          <w:tcPr>
            <w:tcW w:w="120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20" w:type="dxa"/>
            <w:vAlign w:val="bottom"/>
            <w:tcBorders>
              <w:bottom w:val="single" w:sz="8" w:color="0000EE"/>
            </w:tcBorders>
            <w:gridSpan w:val="12"/>
            <w:shd w:val="clear" w:color="auto" w:fill="CCEEFF"/>
          </w:tcPr>
          <w:p>
            <w:pPr>
              <w:spacing w:after="0"/>
              <w:rPr>
                <w:rFonts w:ascii="Arial" w:cs="Arial" w:eastAsia="Arial" w:hAnsi="Arial"/>
                <w:sz w:val="17"/>
                <w:szCs w:val="17"/>
                <w:color w:val="0000EE"/>
                <w:w w:val="96"/>
              </w:rPr>
            </w:pPr>
            <w:hyperlink w:anchor="page50">
              <w:r>
                <w:rPr>
                  <w:rFonts w:ascii="Arial" w:cs="Arial" w:eastAsia="Arial" w:hAnsi="Arial"/>
                  <w:sz w:val="17"/>
                  <w:szCs w:val="17"/>
                  <w:color w:val="0000EE"/>
                  <w:w w:val="96"/>
                </w:rPr>
                <w:t>U.K. Statutory Annual Accounts and Reports of the Board of Directors and Auditors of Verona</w:t>
              </w:r>
            </w:hyperlink>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r>
      <w:tr>
        <w:trPr>
          <w:trHeight w:val="185"/>
        </w:trPr>
        <w:tc>
          <w:tcPr>
            <w:tcW w:w="120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320" w:type="dxa"/>
            <w:vAlign w:val="bottom"/>
            <w:gridSpan w:val="13"/>
            <w:shd w:val="clear" w:color="auto" w:fill="CCEEFF"/>
          </w:tcPr>
          <w:p>
            <w:pPr>
              <w:ind w:left="180"/>
              <w:spacing w:after="0" w:line="185" w:lineRule="exact"/>
              <w:rPr>
                <w:rFonts w:ascii="Arial" w:cs="Arial" w:eastAsia="Arial" w:hAnsi="Arial"/>
                <w:sz w:val="17"/>
                <w:szCs w:val="17"/>
                <w:color w:val="0000EE"/>
              </w:rPr>
            </w:pPr>
            <w:hyperlink w:anchor="page50">
              <w:r>
                <w:rPr>
                  <w:rFonts w:ascii="Arial" w:cs="Arial" w:eastAsia="Arial" w:hAnsi="Arial"/>
                  <w:sz w:val="17"/>
                  <w:szCs w:val="17"/>
                  <w:color w:val="0000EE"/>
                </w:rPr>
                <w:t>Pharma plc for the Year Ended December 31, 2021</w:t>
              </w:r>
            </w:hyperlink>
          </w:p>
        </w:tc>
        <w:tc>
          <w:tcPr>
            <w:tcW w:w="300" w:type="dxa"/>
            <w:vAlign w:val="bottom"/>
            <w:tcBorders>
              <w:right w:val="single" w:sz="8" w:color="CCEEFF"/>
            </w:tcBorders>
            <w:gridSpan w:val="2"/>
            <w:shd w:val="clear" w:color="auto" w:fill="CCEEFF"/>
          </w:tcPr>
          <w:p>
            <w:pPr>
              <w:jc w:val="right"/>
              <w:spacing w:after="0" w:line="185" w:lineRule="exact"/>
              <w:rPr>
                <w:rFonts w:ascii="Arial" w:cs="Arial" w:eastAsia="Arial" w:hAnsi="Arial"/>
                <w:sz w:val="17"/>
                <w:szCs w:val="17"/>
                <w:color w:val="0000EE"/>
              </w:rPr>
            </w:pPr>
            <w:hyperlink w:anchor="page50">
              <w:r>
                <w:rPr>
                  <w:rFonts w:ascii="Arial" w:cs="Arial" w:eastAsia="Arial" w:hAnsi="Arial"/>
                  <w:sz w:val="17"/>
                  <w:szCs w:val="17"/>
                  <w:color w:val="0000EE"/>
                </w:rPr>
                <w:t>40</w:t>
              </w:r>
            </w:hyperlink>
          </w:p>
        </w:tc>
      </w:tr>
      <w:tr>
        <w:trPr>
          <w:trHeight w:val="31"/>
        </w:trPr>
        <w:tc>
          <w:tcPr>
            <w:tcW w:w="120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right w:val="single" w:sz="8" w:color="CCEEFF"/>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right w:val="single" w:sz="8" w:color="CCEEFF"/>
            </w:tcBorders>
            <w:shd w:val="clear" w:color="auto" w:fill="CCEEFF"/>
          </w:tcPr>
          <w:p>
            <w:pPr>
              <w:spacing w:after="0"/>
              <w:rPr>
                <w:sz w:val="2"/>
                <w:szCs w:val="2"/>
                <w:color w:val="auto"/>
              </w:rPr>
            </w:pPr>
          </w:p>
        </w:tc>
      </w:tr>
      <w:tr>
        <w:trPr>
          <w:trHeight w:val="205"/>
        </w:trPr>
        <w:tc>
          <w:tcPr>
            <w:tcW w:w="1200" w:type="dxa"/>
            <w:vAlign w:val="bottom"/>
          </w:tcPr>
          <w:p>
            <w:pPr>
              <w:spacing w:after="0"/>
              <w:rPr>
                <w:sz w:val="17"/>
                <w:szCs w:val="17"/>
                <w:color w:val="auto"/>
              </w:rPr>
            </w:pPr>
          </w:p>
        </w:tc>
        <w:tc>
          <w:tcPr>
            <w:tcW w:w="6960" w:type="dxa"/>
            <w:vAlign w:val="bottom"/>
            <w:tcBorders>
              <w:bottom w:val="single" w:sz="8" w:color="0000EE"/>
            </w:tcBorders>
            <w:gridSpan w:val="12"/>
          </w:tcPr>
          <w:p>
            <w:pPr>
              <w:spacing w:after="0"/>
              <w:rPr>
                <w:rFonts w:ascii="Arial" w:cs="Arial" w:eastAsia="Arial" w:hAnsi="Arial"/>
                <w:sz w:val="17"/>
                <w:szCs w:val="17"/>
                <w:color w:val="0000EE"/>
                <w:w w:val="96"/>
              </w:rPr>
            </w:pPr>
            <w:hyperlink w:anchor="page52">
              <w:r>
                <w:rPr>
                  <w:rFonts w:ascii="Arial" w:cs="Arial" w:eastAsia="Arial" w:hAnsi="Arial"/>
                  <w:sz w:val="17"/>
                  <w:szCs w:val="17"/>
                  <w:color w:val="0000EE"/>
                  <w:w w:val="96"/>
                </w:rPr>
                <w:t>Annex A to Proxy Statement: U.K. Statutory Annual Accounts and Directors’ Report for the year</w:t>
              </w:r>
            </w:hyperlink>
          </w:p>
        </w:tc>
        <w:tc>
          <w:tcPr>
            <w:tcW w:w="5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85"/>
        </w:trPr>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tcBorders>
              <w:bottom w:val="single" w:sz="8" w:color="0000EE"/>
            </w:tcBorders>
            <w:gridSpan w:val="5"/>
          </w:tcPr>
          <w:p>
            <w:pPr>
              <w:spacing w:after="0" w:line="185" w:lineRule="exact"/>
              <w:rPr>
                <w:rFonts w:ascii="Arial" w:cs="Arial" w:eastAsia="Arial" w:hAnsi="Arial"/>
                <w:sz w:val="17"/>
                <w:szCs w:val="17"/>
                <w:color w:val="0000EE"/>
                <w:w w:val="92"/>
              </w:rPr>
            </w:pPr>
            <w:hyperlink w:anchor="page52">
              <w:r>
                <w:rPr>
                  <w:rFonts w:ascii="Arial" w:cs="Arial" w:eastAsia="Arial" w:hAnsi="Arial"/>
                  <w:sz w:val="17"/>
                  <w:szCs w:val="17"/>
                  <w:color w:val="0000EE"/>
                  <w:w w:val="92"/>
                </w:rPr>
                <w:t>ended December 31, 2021</w:t>
              </w:r>
            </w:hyperlink>
          </w:p>
        </w:tc>
        <w:tc>
          <w:tcPr>
            <w:tcW w:w="5440" w:type="dxa"/>
            <w:vAlign w:val="bottom"/>
            <w:gridSpan w:val="8"/>
          </w:tcPr>
          <w:p>
            <w:pPr>
              <w:spacing w:after="0"/>
              <w:rPr>
                <w:sz w:val="16"/>
                <w:szCs w:val="16"/>
                <w:color w:val="auto"/>
              </w:rPr>
            </w:pPr>
          </w:p>
        </w:tc>
        <w:tc>
          <w:tcPr>
            <w:tcW w:w="300" w:type="dxa"/>
            <w:vAlign w:val="bottom"/>
            <w:tcBorders>
              <w:bottom w:val="single" w:sz="8" w:color="0000EE"/>
            </w:tcBorders>
            <w:gridSpan w:val="2"/>
          </w:tcPr>
          <w:p>
            <w:pPr>
              <w:jc w:val="right"/>
              <w:spacing w:after="0" w:line="185" w:lineRule="exact"/>
              <w:rPr>
                <w:rFonts w:ascii="Arial" w:cs="Arial" w:eastAsia="Arial" w:hAnsi="Arial"/>
                <w:sz w:val="17"/>
                <w:szCs w:val="17"/>
                <w:color w:val="0000EE"/>
                <w:w w:val="98"/>
              </w:rPr>
            </w:pPr>
            <w:hyperlink w:anchor="page52">
              <w:r>
                <w:rPr>
                  <w:rFonts w:ascii="Arial" w:cs="Arial" w:eastAsia="Arial" w:hAnsi="Arial"/>
                  <w:sz w:val="17"/>
                  <w:szCs w:val="17"/>
                  <w:color w:val="0000EE"/>
                  <w:w w:val="98"/>
                </w:rPr>
                <w:t>A-1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-2167890</wp:posOffset>
            </wp:positionV>
            <wp:extent cx="47434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43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Proxy Statement</w:t>
      </w:r>
    </w:p>
    <w:p>
      <w:pPr>
        <w:spacing w:after="0" w:line="214"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Verona Pharma plc</w:t>
      </w:r>
    </w:p>
    <w:p>
      <w:pPr>
        <w:spacing w:after="0" w:line="24"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One Central Square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Cardiff, CF10 1FS</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Wales, United Kingdom</w:t>
      </w:r>
    </w:p>
    <w:p>
      <w:pPr>
        <w:spacing w:after="0" w:line="126" w:lineRule="exact"/>
        <w:rPr>
          <w:sz w:val="20"/>
          <w:szCs w:val="20"/>
          <w:color w:val="auto"/>
        </w:rPr>
      </w:pPr>
    </w:p>
    <w:p>
      <w:pPr>
        <w:ind w:left="1200" w:right="759" w:firstLine="341"/>
        <w:spacing w:after="0" w:line="237" w:lineRule="auto"/>
        <w:rPr>
          <w:sz w:val="20"/>
          <w:szCs w:val="20"/>
          <w:color w:val="auto"/>
        </w:rPr>
      </w:pPr>
      <w:r>
        <w:rPr>
          <w:rFonts w:ascii="Arial" w:cs="Arial" w:eastAsia="Arial" w:hAnsi="Arial"/>
          <w:sz w:val="17"/>
          <w:szCs w:val="17"/>
          <w:color w:val="auto"/>
        </w:rPr>
        <w:t>We have sent you this proxy statement and the enclosed form of proxy because the Board of Directors (the “Board” or “Board of Directors”) of Verona Pharma plc (referred to herein as the “Company”, “Verona”, “we”, “us” or “our”) is soliciting your proxy to vote at our 2022 Annual General Meeting of Shareholders (referred to herein as the “AGM”) to be held on Wednesday, April 27, 2022 at 2:00 p.m. British Summer Time at the offices of Shakespeare Martineau LLP at 6</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60 Gracechurch Street, London, EC3V 0HR, United Kingdom.</w:t>
      </w:r>
    </w:p>
    <w:p>
      <w:pPr>
        <w:spacing w:after="0" w:line="94" w:lineRule="exact"/>
        <w:rPr>
          <w:sz w:val="20"/>
          <w:szCs w:val="20"/>
          <w:color w:val="auto"/>
        </w:rPr>
      </w:pPr>
    </w:p>
    <w:p>
      <w:pPr>
        <w:ind w:left="1700" w:right="759" w:hanging="163"/>
        <w:spacing w:after="0" w:line="276" w:lineRule="auto"/>
        <w:tabs>
          <w:tab w:leader="none" w:pos="1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This proxy statement summarizes information about the proposals to be considered at the AGM and other information you may find useful in determining how to vote.</w:t>
      </w:r>
    </w:p>
    <w:p>
      <w:pPr>
        <w:spacing w:after="0" w:line="62" w:lineRule="exact"/>
        <w:rPr>
          <w:rFonts w:ascii="Arial" w:cs="Arial" w:eastAsia="Arial" w:hAnsi="Arial"/>
          <w:sz w:val="17"/>
          <w:szCs w:val="17"/>
          <w:color w:val="auto"/>
        </w:rPr>
      </w:pPr>
    </w:p>
    <w:p>
      <w:pPr>
        <w:ind w:left="1700" w:right="799" w:hanging="163"/>
        <w:spacing w:after="0" w:line="276" w:lineRule="auto"/>
        <w:tabs>
          <w:tab w:leader="none" w:pos="1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form of proxy is the means by which you actually authorize another person to vote your shares in accordance with your instructions.</w:t>
      </w:r>
    </w:p>
    <w:p>
      <w:pPr>
        <w:spacing w:after="0" w:line="100" w:lineRule="exact"/>
        <w:rPr>
          <w:sz w:val="20"/>
          <w:szCs w:val="20"/>
          <w:color w:val="auto"/>
        </w:rPr>
      </w:pPr>
    </w:p>
    <w:p>
      <w:pPr>
        <w:ind w:left="1200" w:right="799" w:firstLine="341"/>
        <w:spacing w:after="0" w:line="263" w:lineRule="auto"/>
        <w:rPr>
          <w:sz w:val="20"/>
          <w:szCs w:val="20"/>
          <w:color w:val="auto"/>
        </w:rPr>
      </w:pPr>
      <w:r>
        <w:rPr>
          <w:rFonts w:ascii="Arial" w:cs="Arial" w:eastAsia="Arial" w:hAnsi="Arial"/>
          <w:sz w:val="17"/>
          <w:szCs w:val="17"/>
          <w:color w:val="auto"/>
        </w:rPr>
        <w:t>In addition to solicitations by mail, our directors, officers and regular employees, without additional remuneration, may solicit proxies by telephone, e-mail and personal interviews. All costs of solicitation of proxies will be covered by us.</w:t>
      </w:r>
    </w:p>
    <w:p>
      <w:pPr>
        <w:spacing w:after="0" w:line="112" w:lineRule="exact"/>
        <w:rPr>
          <w:sz w:val="20"/>
          <w:szCs w:val="20"/>
          <w:color w:val="auto"/>
        </w:rPr>
      </w:pPr>
    </w:p>
    <w:p>
      <w:pPr>
        <w:ind w:left="1200" w:right="639" w:firstLine="341"/>
        <w:spacing w:after="0" w:line="254" w:lineRule="auto"/>
        <w:rPr>
          <w:sz w:val="20"/>
          <w:szCs w:val="20"/>
          <w:color w:val="auto"/>
        </w:rPr>
      </w:pPr>
      <w:r>
        <w:rPr>
          <w:rFonts w:ascii="Arial" w:cs="Arial" w:eastAsia="Arial" w:hAnsi="Arial"/>
          <w:sz w:val="17"/>
          <w:szCs w:val="17"/>
          <w:color w:val="auto"/>
        </w:rPr>
        <w:t>We are mailing the Notice of AGM, this proxy statement and the form of proxy to our ordinary shareholders of record as of March 15, 2022 (being the latest practicable date before the circulation of this document) for the first time on or about March 25, 2022. In this mailing, we are also including our U.K. statutory annual accounts and reports for the year ended December 31, 2021 (“2021 U.K. Annual Report”), which is appended as Annex A to this proxy statement, and our annual report on Form 10-K for the year ended December 31, 2021 (“Annual Report on Form 10-K”). In addition, we have provided brokers, dealers, bankers, and their nominees, at our expense, with additional copies of our proxy materials, including the 2021 U.K. Annual Report, and the Annual Report on Form 10-K so that our record holders can supply these materials to the beneficial owners of our ordinary shares.</w:t>
      </w:r>
    </w:p>
    <w:p>
      <w:pPr>
        <w:spacing w:after="0" w:line="108" w:lineRule="exact"/>
        <w:rPr>
          <w:sz w:val="20"/>
          <w:szCs w:val="20"/>
          <w:color w:val="auto"/>
        </w:rPr>
      </w:pPr>
    </w:p>
    <w:p>
      <w:pPr>
        <w:ind w:left="1200" w:right="799" w:firstLine="341"/>
        <w:spacing w:after="0" w:line="287" w:lineRule="auto"/>
        <w:rPr>
          <w:sz w:val="20"/>
          <w:szCs w:val="20"/>
          <w:color w:val="auto"/>
        </w:rPr>
      </w:pPr>
      <w:r>
        <w:rPr>
          <w:rFonts w:ascii="Arial" w:cs="Arial" w:eastAsia="Arial" w:hAnsi="Arial"/>
          <w:sz w:val="16"/>
          <w:szCs w:val="16"/>
          <w:color w:val="auto"/>
        </w:rPr>
        <w:t>While this document is being sent to our ordinary shareholders of record, this document will also be sent to registered holders of American Depositary Shares (“ADSs”) as of 5:00 p.m. Eastern Time on Tuesday, March 15, 2022 (the “ADS Record Date”) and contains information relevant to holders of ADSs.</w:t>
      </w:r>
    </w:p>
    <w:p>
      <w:pPr>
        <w:spacing w:after="0" w:line="155"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IMPORTANT NOTICE REGARDING THE AVAILABILITY OF PROXY MATERIALS FOR THE</w:t>
      </w:r>
    </w:p>
    <w:p>
      <w:pPr>
        <w:spacing w:after="0" w:line="24"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ANNUAL GENERAL MEETING OF SHAREHOLDERS TO BE HELD ON APRIL 27, 2022</w:t>
      </w:r>
    </w:p>
    <w:p>
      <w:pPr>
        <w:spacing w:after="0" w:line="139" w:lineRule="exact"/>
        <w:rPr>
          <w:sz w:val="20"/>
          <w:szCs w:val="20"/>
          <w:color w:val="auto"/>
        </w:rPr>
      </w:pPr>
    </w:p>
    <w:p>
      <w:pPr>
        <w:jc w:val="both"/>
        <w:ind w:left="1200" w:right="939" w:firstLine="341"/>
        <w:spacing w:after="0" w:line="263" w:lineRule="auto"/>
        <w:rPr>
          <w:sz w:val="20"/>
          <w:szCs w:val="20"/>
          <w:color w:val="auto"/>
        </w:rPr>
      </w:pPr>
      <w:r>
        <w:rPr>
          <w:rFonts w:ascii="Arial" w:cs="Arial" w:eastAsia="Arial" w:hAnsi="Arial"/>
          <w:sz w:val="17"/>
          <w:szCs w:val="17"/>
          <w:color w:val="auto"/>
        </w:rPr>
        <w:t xml:space="preserve">Our Notice of AGM, this proxy statement, the Annual Report on Form 10-K, the 2021 U.K. Annual Report and our form of proxy (for ordinary shareholders) are available on our investor relations website located at </w:t>
      </w:r>
      <w:r>
        <w:rPr>
          <w:rFonts w:ascii="Arial" w:cs="Arial" w:eastAsia="Arial" w:hAnsi="Arial"/>
          <w:sz w:val="17"/>
          <w:szCs w:val="17"/>
          <w:i w:val="1"/>
          <w:iCs w:val="1"/>
          <w:color w:val="auto"/>
        </w:rPr>
        <w:t>www.veronapharma.com/investors</w:t>
      </w:r>
      <w:r>
        <w:rPr>
          <w:rFonts w:ascii="Arial" w:cs="Arial" w:eastAsia="Arial" w:hAnsi="Arial"/>
          <w:sz w:val="17"/>
          <w:szCs w:val="17"/>
          <w:color w:val="auto"/>
        </w:rPr>
        <w:t>.</w:t>
      </w:r>
    </w:p>
    <w:p>
      <w:pPr>
        <w:spacing w:after="0" w:line="112" w:lineRule="exact"/>
        <w:rPr>
          <w:sz w:val="20"/>
          <w:szCs w:val="20"/>
          <w:color w:val="auto"/>
        </w:rPr>
      </w:pPr>
    </w:p>
    <w:p>
      <w:pPr>
        <w:ind w:left="1200" w:right="1039" w:firstLine="341"/>
        <w:spacing w:after="0" w:line="276" w:lineRule="auto"/>
        <w:rPr>
          <w:sz w:val="20"/>
          <w:szCs w:val="20"/>
          <w:color w:val="auto"/>
        </w:rPr>
      </w:pPr>
      <w:r>
        <w:rPr>
          <w:rFonts w:ascii="Arial" w:cs="Arial" w:eastAsia="Arial" w:hAnsi="Arial"/>
          <w:sz w:val="17"/>
          <w:szCs w:val="17"/>
          <w:color w:val="auto"/>
        </w:rPr>
        <w:t>Our principal executive offices are located at 3 More London Riverside, London SE1 2RE,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Questions and Answers About the Annual General Meeting</w:t>
      </w:r>
    </w:p>
    <w:p>
      <w:pPr>
        <w:spacing w:after="0" w:line="2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WHY AM I RECEIVING THESE MATERIALS?</w:t>
      </w:r>
    </w:p>
    <w:p>
      <w:pPr>
        <w:spacing w:after="0" w:line="137"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We have sent you this proxy statement and the enclosed form of proxy because you are an ordinary</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shareholder of record and our Board of Directors is soliciting your proxy to vote at the AGM, including at</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any adjournments or postponements of the AGM. However, you do not need to attend the AGM to vote your</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shares. Instead, please simply complete, sign and return the enclosed form of proxy. All proxies, however</w:t>
      </w:r>
    </w:p>
    <w:p>
      <w:pPr>
        <w:spacing w:after="0" w:line="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submitted, must be received by the Company Secretary no later than 2:00 p.m. British Summer Time</w:t>
      </w:r>
    </w:p>
    <w:p>
      <w:pPr>
        <w:ind w:left="1200"/>
        <w:spacing w:after="0"/>
        <w:rPr>
          <w:sz w:val="20"/>
          <w:szCs w:val="20"/>
          <w:color w:val="auto"/>
        </w:rPr>
      </w:pPr>
      <w:r>
        <w:rPr>
          <w:rFonts w:ascii="Arial" w:cs="Arial" w:eastAsia="Arial" w:hAnsi="Arial"/>
          <w:sz w:val="16"/>
          <w:szCs w:val="16"/>
          <w:color w:val="auto"/>
        </w:rPr>
        <w:t>(9:00 a.m. Eastern Time) on April 25, 2022, or if the AGM is adjourned, not later than 48 hours before the</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time fixed for the holding of the adjourned meeting (excluding any day which is not a working day).</w:t>
      </w:r>
    </w:p>
    <w:p>
      <w:pPr>
        <w:spacing w:after="0" w:line="123" w:lineRule="exact"/>
        <w:rPr>
          <w:sz w:val="20"/>
          <w:szCs w:val="20"/>
          <w:color w:val="auto"/>
        </w:rPr>
      </w:pPr>
    </w:p>
    <w:p>
      <w:pPr>
        <w:ind w:left="1200" w:right="639" w:firstLine="341"/>
        <w:spacing w:after="0" w:line="248" w:lineRule="auto"/>
        <w:rPr>
          <w:sz w:val="20"/>
          <w:szCs w:val="20"/>
          <w:color w:val="auto"/>
        </w:rPr>
      </w:pPr>
      <w:r>
        <w:rPr>
          <w:rFonts w:ascii="Arial" w:cs="Arial" w:eastAsia="Arial" w:hAnsi="Arial"/>
          <w:sz w:val="17"/>
          <w:szCs w:val="17"/>
          <w:color w:val="auto"/>
        </w:rPr>
        <w:t>The return of a completed form of proxy will not preclude you from attending in person at the AGM and voting should you wish to do so, but if you appoint a proxy and subsequently attend the AGM in person, the proxy appointment will be terminated, should you subsequently decide to do so.</w:t>
      </w:r>
    </w:p>
    <w:p>
      <w:pPr>
        <w:spacing w:after="0" w:line="110" w:lineRule="exact"/>
        <w:rPr>
          <w:sz w:val="20"/>
          <w:szCs w:val="20"/>
          <w:color w:val="auto"/>
        </w:rPr>
      </w:pPr>
    </w:p>
    <w:p>
      <w:pPr>
        <w:ind w:left="1200" w:right="959" w:firstLine="341"/>
        <w:spacing w:after="0" w:line="291" w:lineRule="auto"/>
        <w:rPr>
          <w:sz w:val="20"/>
          <w:szCs w:val="20"/>
          <w:color w:val="auto"/>
        </w:rPr>
      </w:pPr>
      <w:r>
        <w:rPr>
          <w:rFonts w:ascii="Arial" w:cs="Arial" w:eastAsia="Arial" w:hAnsi="Arial"/>
          <w:sz w:val="16"/>
          <w:szCs w:val="16"/>
          <w:color w:val="auto"/>
        </w:rPr>
        <w:t>We intend to mail this proxy statement and the accompanying form of proxy on or about March 25, 2022 to all ordinary shareholders of record as of March 15, 2022 entitled to vote at the AGM.</w:t>
      </w:r>
    </w:p>
    <w:p>
      <w:pPr>
        <w:spacing w:after="0" w:line="65" w:lineRule="exact"/>
        <w:rPr>
          <w:sz w:val="20"/>
          <w:szCs w:val="20"/>
          <w:color w:val="auto"/>
        </w:rPr>
      </w:pPr>
    </w:p>
    <w:p>
      <w:pPr>
        <w:ind w:left="1200" w:right="659" w:firstLine="341"/>
        <w:spacing w:after="0"/>
        <w:rPr>
          <w:sz w:val="20"/>
          <w:szCs w:val="20"/>
          <w:color w:val="auto"/>
        </w:rPr>
      </w:pPr>
      <w:r>
        <w:rPr>
          <w:rFonts w:ascii="Arial" w:cs="Arial" w:eastAsia="Arial" w:hAnsi="Arial"/>
          <w:sz w:val="17"/>
          <w:szCs w:val="17"/>
          <w:color w:val="auto"/>
        </w:rPr>
        <w:t>Materials for ADS holders of record, including this proxy statement, the Annual Report on Form 10-K, the 2021 U.K. Annual Report and an ADS voting instructions, will be mailed on or about March 25, 2022 to all ADS holders, including banks, brokers and nominees, who are registered as holders of ADSs in the ADS register as of 5:00 p.m. Eastern Time on the ADS Record Date. ADS voting instructions submitted by ADS holders must be received by Citibank, N.A. no later than 10:00 a.m. Eastern Time on April 21, 2022 (the “ADS Voting Cut-off Time”).</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WHO CAN VOTE AT THE AGM?</w:t>
      </w:r>
    </w:p>
    <w:p>
      <w:pPr>
        <w:spacing w:after="0" w:line="214"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auto"/>
        </w:rPr>
        <w:t>Ordinary shareholders</w:t>
      </w:r>
    </w:p>
    <w:p>
      <w:pPr>
        <w:spacing w:after="0" w:line="150" w:lineRule="exact"/>
        <w:rPr>
          <w:sz w:val="20"/>
          <w:szCs w:val="20"/>
          <w:color w:val="auto"/>
        </w:rPr>
      </w:pPr>
    </w:p>
    <w:p>
      <w:pPr>
        <w:ind w:left="1200" w:right="819" w:firstLine="341"/>
        <w:spacing w:after="0" w:line="243" w:lineRule="auto"/>
        <w:rPr>
          <w:sz w:val="20"/>
          <w:szCs w:val="20"/>
          <w:color w:val="auto"/>
        </w:rPr>
      </w:pPr>
      <w:r>
        <w:rPr>
          <w:rFonts w:ascii="Arial" w:cs="Arial" w:eastAsia="Arial" w:hAnsi="Arial"/>
          <w:sz w:val="17"/>
          <w:szCs w:val="17"/>
          <w:color w:val="auto"/>
        </w:rPr>
        <w:t>Only shareholders holding voting ordinary shares of record registered in the register of members at 2:00 p.m. British Summer Time (9:00 a.m. Eastern Time) on April 25, 2022 will be entitled to vote at the AGM. Holders of non-voting ordinary shares have no right to receive notice of, or to attend or vote, at the AGM.</w:t>
      </w:r>
    </w:p>
    <w:p>
      <w:pPr>
        <w:spacing w:after="0" w:line="116"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As of March 15, 2022 (being the last practicable date before the circulation of this proxy statement)</w:t>
      </w:r>
    </w:p>
    <w:p>
      <w:pPr>
        <w:spacing w:after="0" w:line="1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there were 445,969,350 ordinary shares issued and entitled to vote.</w:t>
      </w:r>
    </w:p>
    <w:p>
      <w:pPr>
        <w:spacing w:after="0" w:line="110" w:lineRule="exact"/>
        <w:rPr>
          <w:sz w:val="20"/>
          <w:szCs w:val="20"/>
          <w:color w:val="auto"/>
        </w:rPr>
      </w:pPr>
    </w:p>
    <w:p>
      <w:pPr>
        <w:ind w:left="1200" w:right="759" w:firstLine="341"/>
        <w:spacing w:after="0" w:line="241" w:lineRule="auto"/>
        <w:rPr>
          <w:sz w:val="20"/>
          <w:szCs w:val="20"/>
          <w:color w:val="auto"/>
        </w:rPr>
      </w:pPr>
      <w:r>
        <w:rPr>
          <w:rFonts w:ascii="Arial" w:cs="Arial" w:eastAsia="Arial" w:hAnsi="Arial"/>
          <w:sz w:val="17"/>
          <w:szCs w:val="17"/>
          <w:color w:val="auto"/>
        </w:rPr>
        <w:t>We encourage you to fill out and return the enclosed form of proxy to ensure your vote is counted. All proxies, however submitted, must be received by the Company Secretary no later than 2:00 p.m. British Summer Time (9:00 a.m. Eastern Time) on April 25, 2022, or if the AGM is adjourned, not later than 48 hours before the time fixed for the holding of the adjourned meeting (excluding any day which is not a working day).</w:t>
      </w:r>
    </w:p>
    <w:p>
      <w:pPr>
        <w:spacing w:after="0" w:line="119" w:lineRule="exact"/>
        <w:rPr>
          <w:sz w:val="20"/>
          <w:szCs w:val="20"/>
          <w:color w:val="auto"/>
        </w:rPr>
      </w:pPr>
    </w:p>
    <w:p>
      <w:pPr>
        <w:ind w:left="1200" w:right="659" w:firstLine="341"/>
        <w:spacing w:after="0" w:line="241" w:lineRule="auto"/>
        <w:rPr>
          <w:sz w:val="20"/>
          <w:szCs w:val="20"/>
          <w:color w:val="auto"/>
        </w:rPr>
      </w:pPr>
      <w:r>
        <w:rPr>
          <w:rFonts w:ascii="Arial" w:cs="Arial" w:eastAsia="Arial" w:hAnsi="Arial"/>
          <w:sz w:val="17"/>
          <w:szCs w:val="17"/>
          <w:color w:val="auto"/>
        </w:rPr>
        <w:t>If you sell or transfer your ordinary shares in the Company on or prior to April 25, 2022,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Ben Harber, Company Secretary, to request a new form of proxy for use.</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Beneficial owners of ordinary shares that are registered in the name of a broker, bank or other agent</w:t>
      </w:r>
    </w:p>
    <w:p>
      <w:pPr>
        <w:spacing w:after="0" w:line="161" w:lineRule="exact"/>
        <w:rPr>
          <w:sz w:val="20"/>
          <w:szCs w:val="20"/>
          <w:color w:val="auto"/>
        </w:rPr>
      </w:pPr>
    </w:p>
    <w:p>
      <w:pPr>
        <w:ind w:left="1200" w:right="799" w:firstLine="341"/>
        <w:spacing w:after="0" w:line="248" w:lineRule="auto"/>
        <w:rPr>
          <w:sz w:val="20"/>
          <w:szCs w:val="20"/>
          <w:color w:val="auto"/>
        </w:rPr>
      </w:pPr>
      <w:r>
        <w:rPr>
          <w:rFonts w:ascii="Arial" w:cs="Arial" w:eastAsia="Arial" w:hAnsi="Arial"/>
          <w:sz w:val="17"/>
          <w:szCs w:val="17"/>
          <w:color w:val="auto"/>
        </w:rPr>
        <w:t>A record holder holds shares in his or her name. Shares held in “street name” means shares that are held in the name of a bank or broker on a person’s behalf. If your shares are held by a bank or a brokerage firm, you are considered the “beneficial owner” of those shares held in “street name.”</w:t>
      </w:r>
    </w:p>
    <w:p>
      <w:pPr>
        <w:spacing w:after="0" w:line="98" w:lineRule="exact"/>
        <w:rPr>
          <w:sz w:val="20"/>
          <w:szCs w:val="20"/>
          <w:color w:val="auto"/>
        </w:rPr>
      </w:pPr>
    </w:p>
    <w:p>
      <w:pPr>
        <w:jc w:val="both"/>
        <w:ind w:left="1200" w:right="739" w:firstLine="341"/>
        <w:spacing w:after="0" w:line="271" w:lineRule="auto"/>
        <w:rPr>
          <w:sz w:val="20"/>
          <w:szCs w:val="20"/>
          <w:color w:val="auto"/>
        </w:rPr>
      </w:pPr>
      <w:r>
        <w:rPr>
          <w:rFonts w:ascii="Arial" w:cs="Arial" w:eastAsia="Arial" w:hAnsi="Arial"/>
          <w:sz w:val="16"/>
          <w:szCs w:val="16"/>
          <w:color w:val="auto"/>
        </w:rPr>
        <w:t>If, on March 15, 2022, your ordinary shares were held in an account at a brokerage firm, bank or other similar organization and you are the beneficial owner of shares, these proxy materials should be forwarded to you by that organization. The organization holding your account is considered the shareholder of record</w:t>
      </w:r>
    </w:p>
    <w:p>
      <w:pPr>
        <w:spacing w:after="0" w:line="336"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right="719"/>
        <w:spacing w:after="0" w:line="256" w:lineRule="auto"/>
        <w:rPr>
          <w:sz w:val="20"/>
          <w:szCs w:val="20"/>
          <w:color w:val="auto"/>
        </w:rPr>
      </w:pPr>
      <w:r>
        <w:rPr>
          <w:rFonts w:ascii="Arial" w:cs="Arial" w:eastAsia="Arial" w:hAnsi="Arial"/>
          <w:sz w:val="17"/>
          <w:szCs w:val="17"/>
          <w:color w:val="auto"/>
        </w:rPr>
        <w:t>for purposes of voting at the AGM. As the beneficial owner of voting ordinary shares, you have the right to direct your bank or brokerage firm how to vote your shares, and the bank or brokerage firm is required to vote your shares in accordance with your instructions. If your shares are held by a bank or brokerage firm, you may not vote your shares in person at the AGM, unless you obtain a legal proxy from your bank or brokerage firm. You are encouraged to provide voting instructions to your bank or brokerage firm so that they may submit a proxy.</w:t>
      </w:r>
    </w:p>
    <w:p>
      <w:pPr>
        <w:spacing w:after="0" w:line="182"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auto"/>
        </w:rPr>
        <w:t>Holders of American Depositary Shares and beneficial owners of American Depositary Shares</w:t>
      </w:r>
    </w:p>
    <w:p>
      <w:pPr>
        <w:spacing w:after="0" w:line="137" w:lineRule="exact"/>
        <w:rPr>
          <w:sz w:val="20"/>
          <w:szCs w:val="20"/>
          <w:color w:val="auto"/>
        </w:rPr>
      </w:pPr>
    </w:p>
    <w:p>
      <w:pPr>
        <w:ind w:left="1200" w:right="819" w:firstLine="341"/>
        <w:spacing w:after="0" w:line="259" w:lineRule="auto"/>
        <w:rPr>
          <w:sz w:val="20"/>
          <w:szCs w:val="20"/>
          <w:color w:val="auto"/>
        </w:rPr>
      </w:pPr>
      <w:r>
        <w:rPr>
          <w:rFonts w:ascii="Arial" w:cs="Arial" w:eastAsia="Arial" w:hAnsi="Arial"/>
          <w:sz w:val="17"/>
          <w:szCs w:val="17"/>
          <w:color w:val="auto"/>
        </w:rPr>
        <w:t>You are entitled to exercise your vote as a holder of an interest in the capital of the Company represented by ADSs if you or your brokerage firm, bank or nominee is registered as a holder of ADSs in the ADS register maintained by Citibank, N.A. as of 5:00 p.m. Eastern Time on March 15, 2022, the ADS Record Date.</w:t>
      </w:r>
    </w:p>
    <w:p>
      <w:pPr>
        <w:spacing w:after="0" w:line="116" w:lineRule="exact"/>
        <w:rPr>
          <w:sz w:val="20"/>
          <w:szCs w:val="20"/>
          <w:color w:val="auto"/>
        </w:rPr>
      </w:pPr>
    </w:p>
    <w:p>
      <w:pPr>
        <w:ind w:left="1200" w:right="839" w:firstLine="341"/>
        <w:spacing w:after="0" w:line="259" w:lineRule="auto"/>
        <w:rPr>
          <w:sz w:val="20"/>
          <w:szCs w:val="20"/>
          <w:color w:val="auto"/>
        </w:rPr>
      </w:pPr>
      <w:r>
        <w:rPr>
          <w:rFonts w:ascii="Arial" w:cs="Arial" w:eastAsia="Arial" w:hAnsi="Arial"/>
          <w:sz w:val="17"/>
          <w:szCs w:val="17"/>
          <w:color w:val="auto"/>
        </w:rPr>
        <w:t>If you hold ADSs through a brokerage firm, bank or nominee on the ADS Record Date, the materials for ADS holders, including ADS voting instructions, will be sent to that organization. The organization holding your account is considered the ADS holder of record. Please reach out to that organization to provide your voting instructions.</w:t>
      </w:r>
    </w:p>
    <w:p>
      <w:pPr>
        <w:spacing w:after="0" w:line="116"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Please note that ADS voting instructions submitted by ADS holders must be received by Citibank, N.A.</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no later than 10:00 a.m. Eastern Time on April 21, 2022, the ADS Voting Cut-Off Time</w:t>
      </w:r>
      <w:r>
        <w:rPr>
          <w:rFonts w:ascii="Arial" w:cs="Arial" w:eastAsia="Arial" w:hAnsi="Arial"/>
          <w:sz w:val="17"/>
          <w:szCs w:val="17"/>
          <w:color w:val="auto"/>
        </w:rPr>
        <w:t>.</w:t>
      </w:r>
    </w:p>
    <w:p>
      <w:pPr>
        <w:spacing w:after="0" w:line="126" w:lineRule="exact"/>
        <w:rPr>
          <w:sz w:val="20"/>
          <w:szCs w:val="20"/>
          <w:color w:val="auto"/>
        </w:rPr>
      </w:pPr>
    </w:p>
    <w:p>
      <w:pPr>
        <w:ind w:left="1200" w:right="699" w:firstLine="341"/>
        <w:spacing w:after="0" w:line="276" w:lineRule="auto"/>
        <w:rPr>
          <w:sz w:val="20"/>
          <w:szCs w:val="20"/>
          <w:color w:val="auto"/>
        </w:rPr>
      </w:pPr>
      <w:r>
        <w:rPr>
          <w:rFonts w:ascii="Arial" w:cs="Arial" w:eastAsia="Arial" w:hAnsi="Arial"/>
          <w:sz w:val="17"/>
          <w:szCs w:val="17"/>
          <w:color w:val="auto"/>
        </w:rPr>
        <w:t>Citibank, N.A. will collate all votes properly submitted by ADS holders and submit a vote on behalf of all ADS holders.</w:t>
      </w:r>
    </w:p>
    <w:p>
      <w:pPr>
        <w:spacing w:after="0" w:line="164"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auto"/>
        </w:rPr>
        <w:t>Contacts for ADS holders</w:t>
      </w:r>
    </w:p>
    <w:p>
      <w:pPr>
        <w:spacing w:after="0" w:line="150" w:lineRule="exact"/>
        <w:rPr>
          <w:sz w:val="20"/>
          <w:szCs w:val="20"/>
          <w:color w:val="auto"/>
        </w:rPr>
      </w:pPr>
    </w:p>
    <w:p>
      <w:pPr>
        <w:ind w:left="1200" w:right="719" w:firstLine="341"/>
        <w:spacing w:after="0" w:line="259" w:lineRule="auto"/>
        <w:rPr>
          <w:sz w:val="20"/>
          <w:szCs w:val="20"/>
          <w:color w:val="auto"/>
        </w:rPr>
      </w:pPr>
      <w:r>
        <w:rPr>
          <w:rFonts w:ascii="Arial" w:cs="Arial" w:eastAsia="Arial" w:hAnsi="Arial"/>
          <w:sz w:val="17"/>
          <w:szCs w:val="17"/>
          <w:color w:val="auto"/>
        </w:rPr>
        <w:t>If you have queries about how you can deliver voting instructions, please contact Citibank, N.A. — ADR Shareholder Services at tel: +1-877-248-4237 (toll free within the United States) or +1-781-575-4555 (for international callers) or by email: citibank@shareholders-online.com or at Citibank Shareholder Services, P.O. Box 43077, Providence, RI 02940-3077.</w:t>
      </w:r>
    </w:p>
    <w:p>
      <w:pPr>
        <w:spacing w:after="0" w:line="116"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If at any point you require guidance, please contact Claire Poll, General Counsel, on email:</w:t>
      </w:r>
    </w:p>
    <w:p>
      <w:pPr>
        <w:spacing w:after="0" w:line="2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claire.poll@veronapharma.com.</w:t>
      </w:r>
    </w:p>
    <w:p>
      <w:pPr>
        <w:spacing w:after="0" w:line="203" w:lineRule="exact"/>
        <w:rPr>
          <w:sz w:val="20"/>
          <w:szCs w:val="20"/>
          <w:color w:val="auto"/>
        </w:rPr>
      </w:pPr>
    </w:p>
    <w:p>
      <w:pPr>
        <w:ind w:left="1200" w:right="979"/>
        <w:spacing w:after="0" w:line="276" w:lineRule="auto"/>
        <w:rPr>
          <w:sz w:val="20"/>
          <w:szCs w:val="20"/>
          <w:color w:val="auto"/>
        </w:rPr>
      </w:pPr>
      <w:r>
        <w:rPr>
          <w:rFonts w:ascii="Arial" w:cs="Arial" w:eastAsia="Arial" w:hAnsi="Arial"/>
          <w:sz w:val="17"/>
          <w:szCs w:val="17"/>
          <w:color w:val="auto"/>
        </w:rPr>
        <w:t>WHAT ARE THE REQUIREMENTS TO ELECT THE DIRECTORS AND APPROVE EACH OF THE PROPOSALS?</w:t>
      </w:r>
    </w:p>
    <w:p>
      <w:pPr>
        <w:spacing w:after="0" w:line="88" w:lineRule="exact"/>
        <w:rPr>
          <w:sz w:val="20"/>
          <w:szCs w:val="20"/>
          <w:color w:val="auto"/>
        </w:rPr>
      </w:pPr>
    </w:p>
    <w:p>
      <w:pPr>
        <w:ind w:left="1200" w:right="759" w:firstLine="341"/>
        <w:spacing w:after="0" w:line="263" w:lineRule="auto"/>
        <w:rPr>
          <w:sz w:val="20"/>
          <w:szCs w:val="20"/>
          <w:color w:val="auto"/>
        </w:rPr>
      </w:pPr>
      <w:r>
        <w:rPr>
          <w:rFonts w:ascii="Arial" w:cs="Arial" w:eastAsia="Arial" w:hAnsi="Arial"/>
          <w:sz w:val="17"/>
          <w:szCs w:val="17"/>
          <w:color w:val="auto"/>
        </w:rPr>
        <w:t>The proposed resolutions will be put to vote on a poll. This results in a more accurate reflection of the views of shareholders ensuring that votes by proxy will be fully-counted. On a poll, each shareholder has one vote for every share held.</w:t>
      </w:r>
    </w:p>
    <w:p>
      <w:pPr>
        <w:spacing w:after="0" w:line="112" w:lineRule="exact"/>
        <w:rPr>
          <w:sz w:val="20"/>
          <w:szCs w:val="20"/>
          <w:color w:val="auto"/>
        </w:rPr>
      </w:pPr>
    </w:p>
    <w:p>
      <w:pPr>
        <w:ind w:left="1200" w:right="679" w:firstLine="341"/>
        <w:spacing w:after="0" w:line="256" w:lineRule="auto"/>
        <w:rPr>
          <w:sz w:val="20"/>
          <w:szCs w:val="20"/>
          <w:color w:val="auto"/>
        </w:rPr>
      </w:pPr>
      <w:r>
        <w:rPr>
          <w:rFonts w:ascii="Arial" w:cs="Arial" w:eastAsia="Arial" w:hAnsi="Arial"/>
          <w:sz w:val="17"/>
          <w:szCs w:val="17"/>
          <w:color w:val="auto"/>
        </w:rPr>
        <w:t>Proposals 1 to 9 are proposed as ordinary resolutions. On a poll, an ordinary resolution is passed if it is approved by holders representing a simple majority of the total voting rights of shareholders present (in person or by proxy) who (being entitled to vote) vote on the resolution. Proposal 10 is proposed as a special resolution. On a poll, a special resolution is passed if it is approved by holders representing not less than 75% of the total voting rights of shareholders present (in person or by proxy) who (being entitled to vote) vote on the resolution.</w:t>
      </w:r>
    </w:p>
    <w:p>
      <w:pPr>
        <w:spacing w:after="0" w:line="118" w:lineRule="exact"/>
        <w:rPr>
          <w:sz w:val="20"/>
          <w:szCs w:val="20"/>
          <w:color w:val="auto"/>
        </w:rPr>
      </w:pPr>
    </w:p>
    <w:p>
      <w:pPr>
        <w:ind w:left="1200" w:right="1019" w:firstLine="341"/>
        <w:spacing w:after="0" w:line="259" w:lineRule="auto"/>
        <w:rPr>
          <w:sz w:val="20"/>
          <w:szCs w:val="20"/>
          <w:color w:val="auto"/>
        </w:rPr>
      </w:pPr>
      <w:r>
        <w:rPr>
          <w:rFonts w:ascii="Arial" w:cs="Arial" w:eastAsia="Arial" w:hAnsi="Arial"/>
          <w:sz w:val="17"/>
          <w:szCs w:val="17"/>
          <w:color w:val="auto"/>
        </w:rPr>
        <w:t xml:space="preserve">The results of the voting and any other information required by the U.K. Companies Act 2006 (the “Companies Act”) will be made available on our investor relations website located at </w:t>
      </w:r>
      <w:r>
        <w:rPr>
          <w:rFonts w:ascii="Arial" w:cs="Arial" w:eastAsia="Arial" w:hAnsi="Arial"/>
          <w:sz w:val="17"/>
          <w:szCs w:val="17"/>
          <w:i w:val="1"/>
          <w:iCs w:val="1"/>
          <w:color w:val="auto"/>
        </w:rPr>
        <w:t xml:space="preserve">www.veronapharma.com/investors </w:t>
      </w:r>
      <w:r>
        <w:rPr>
          <w:rFonts w:ascii="Arial" w:cs="Arial" w:eastAsia="Arial" w:hAnsi="Arial"/>
          <w:sz w:val="17"/>
          <w:szCs w:val="17"/>
          <w:color w:val="auto"/>
        </w:rPr>
        <w:t>as soon as reasonably practicable following the AGM and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period thereafter.</w:t>
      </w:r>
    </w:p>
    <w:p>
      <w:pPr>
        <w:spacing w:after="0" w:line="179" w:lineRule="exact"/>
        <w:rPr>
          <w:sz w:val="20"/>
          <w:szCs w:val="20"/>
          <w:color w:val="auto"/>
        </w:rPr>
      </w:pPr>
    </w:p>
    <w:p>
      <w:pPr>
        <w:ind w:left="1200" w:right="859"/>
        <w:spacing w:after="0" w:line="276" w:lineRule="auto"/>
        <w:rPr>
          <w:sz w:val="20"/>
          <w:szCs w:val="20"/>
          <w:color w:val="auto"/>
        </w:rPr>
      </w:pPr>
      <w:r>
        <w:rPr>
          <w:rFonts w:ascii="Arial" w:cs="Arial" w:eastAsia="Arial" w:hAnsi="Arial"/>
          <w:sz w:val="17"/>
          <w:szCs w:val="17"/>
          <w:color w:val="auto"/>
        </w:rPr>
        <w:t>WHAT ARE THE VOTING RECOMMENDATIONS OF OUR BOARD REGARDING THE ELECTION OF DIRECTORS AND OTHER PROPOSALS?</w:t>
      </w:r>
    </w:p>
    <w:p>
      <w:pPr>
        <w:spacing w:after="0" w:line="88" w:lineRule="exact"/>
        <w:rPr>
          <w:sz w:val="20"/>
          <w:szCs w:val="20"/>
          <w:color w:val="auto"/>
        </w:rPr>
      </w:pPr>
    </w:p>
    <w:p>
      <w:pPr>
        <w:ind w:left="1200" w:right="1019" w:firstLine="341"/>
        <w:spacing w:after="0" w:line="276" w:lineRule="auto"/>
        <w:rPr>
          <w:sz w:val="20"/>
          <w:szCs w:val="20"/>
          <w:color w:val="auto"/>
        </w:rPr>
      </w:pPr>
      <w:r>
        <w:rPr>
          <w:rFonts w:ascii="Arial" w:cs="Arial" w:eastAsia="Arial" w:hAnsi="Arial"/>
          <w:sz w:val="17"/>
          <w:szCs w:val="17"/>
          <w:color w:val="auto"/>
        </w:rPr>
        <w:t>The following table summarizes the items that will be brought for a vote of our shareholders at the AGM, along with the Board’s voting recommendations.</w:t>
      </w:r>
    </w:p>
    <w:p>
      <w:pPr>
        <w:spacing w:after="0" w:line="343"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14" w:name="page15"/>
    <w:bookmarkEnd w:id="14"/>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4"/>
              </w:rPr>
              <w:t>Board’s</w:t>
            </w:r>
          </w:p>
        </w:tc>
      </w:tr>
      <w:tr>
        <w:trPr>
          <w:trHeight w:val="175"/>
        </w:trPr>
        <w:tc>
          <w:tcPr>
            <w:tcW w:w="520" w:type="dxa"/>
            <w:vAlign w:val="bottom"/>
          </w:tcPr>
          <w:p>
            <w:pPr>
              <w:spacing w:after="0"/>
              <w:rPr>
                <w:sz w:val="20"/>
                <w:szCs w:val="20"/>
                <w:color w:val="auto"/>
              </w:rPr>
            </w:pPr>
            <w:r>
              <w:rPr>
                <w:rFonts w:ascii="Arial" w:cs="Arial" w:eastAsia="Arial" w:hAnsi="Arial"/>
                <w:sz w:val="14"/>
                <w:szCs w:val="14"/>
                <w:b w:val="1"/>
                <w:bCs w:val="1"/>
                <w:color w:val="auto"/>
                <w:w w:val="83"/>
              </w:rPr>
              <w:t>Proposal</w:t>
            </w:r>
          </w:p>
        </w:tc>
        <w:tc>
          <w:tcPr>
            <w:tcW w:w="220" w:type="dxa"/>
            <w:vAlign w:val="bottom"/>
          </w:tcPr>
          <w:p>
            <w:pPr>
              <w:spacing w:after="0"/>
              <w:rPr>
                <w:sz w:val="15"/>
                <w:szCs w:val="15"/>
                <w:color w:val="auto"/>
              </w:rPr>
            </w:pPr>
          </w:p>
        </w:tc>
        <w:tc>
          <w:tcPr>
            <w:tcW w:w="6000" w:type="dxa"/>
            <w:vAlign w:val="bottom"/>
            <w:gridSpan w:val="2"/>
          </w:tcPr>
          <w:p>
            <w:pPr>
              <w:ind w:left="2240"/>
              <w:spacing w:after="0"/>
              <w:rPr>
                <w:sz w:val="20"/>
                <w:szCs w:val="20"/>
                <w:color w:val="auto"/>
              </w:rPr>
            </w:pPr>
            <w:r>
              <w:rPr>
                <w:rFonts w:ascii="Arial" w:cs="Arial" w:eastAsia="Arial" w:hAnsi="Arial"/>
                <w:sz w:val="14"/>
                <w:szCs w:val="14"/>
                <w:b w:val="1"/>
                <w:bCs w:val="1"/>
                <w:color w:val="auto"/>
              </w:rPr>
              <w:t>Description of Proposal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Recommendation</w:t>
            </w:r>
          </w:p>
        </w:tc>
      </w:tr>
      <w:tr>
        <w:trPr>
          <w:trHeight w:val="24"/>
        </w:trPr>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5"/>
        </w:trPr>
        <w:tc>
          <w:tcPr>
            <w:tcW w:w="520" w:type="dxa"/>
            <w:vAlign w:val="bottom"/>
          </w:tcPr>
          <w:p>
            <w:pPr>
              <w:spacing w:after="0"/>
              <w:rPr>
                <w:sz w:val="20"/>
                <w:szCs w:val="20"/>
                <w:color w:val="auto"/>
              </w:rPr>
            </w:pPr>
            <w:r>
              <w:rPr>
                <w:rFonts w:ascii="Arial" w:cs="Arial" w:eastAsia="Arial" w:hAnsi="Arial"/>
                <w:sz w:val="17"/>
                <w:szCs w:val="17"/>
                <w:color w:val="auto"/>
              </w:rPr>
              <w:t>1</w:t>
            </w:r>
          </w:p>
        </w:tc>
        <w:tc>
          <w:tcPr>
            <w:tcW w:w="6220" w:type="dxa"/>
            <w:vAlign w:val="bottom"/>
            <w:gridSpan w:val="3"/>
          </w:tcPr>
          <w:p>
            <w:pPr>
              <w:ind w:left="200"/>
              <w:spacing w:after="0"/>
              <w:rPr>
                <w:sz w:val="20"/>
                <w:szCs w:val="20"/>
                <w:color w:val="auto"/>
              </w:rPr>
            </w:pPr>
            <w:r>
              <w:rPr>
                <w:rFonts w:ascii="Arial" w:cs="Arial" w:eastAsia="Arial" w:hAnsi="Arial"/>
                <w:sz w:val="17"/>
                <w:szCs w:val="17"/>
                <w:color w:val="auto"/>
              </w:rPr>
              <w:t>To re-elect Kenneth Cunningham, M.D. as a director of the Company</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4"/>
              </w:rPr>
              <w:t>FOR</w:t>
            </w:r>
          </w:p>
        </w:tc>
      </w:tr>
      <w:tr>
        <w:trPr>
          <w:trHeight w:val="345"/>
        </w:trPr>
        <w:tc>
          <w:tcPr>
            <w:tcW w:w="520" w:type="dxa"/>
            <w:vAlign w:val="bottom"/>
          </w:tcPr>
          <w:p>
            <w:pPr>
              <w:spacing w:after="0"/>
              <w:rPr>
                <w:sz w:val="20"/>
                <w:szCs w:val="20"/>
                <w:color w:val="auto"/>
              </w:rPr>
            </w:pPr>
            <w:r>
              <w:rPr>
                <w:rFonts w:ascii="Arial" w:cs="Arial" w:eastAsia="Arial" w:hAnsi="Arial"/>
                <w:sz w:val="17"/>
                <w:szCs w:val="17"/>
                <w:color w:val="auto"/>
              </w:rPr>
              <w:t>2</w:t>
            </w:r>
          </w:p>
        </w:tc>
        <w:tc>
          <w:tcPr>
            <w:tcW w:w="6220" w:type="dxa"/>
            <w:vAlign w:val="bottom"/>
            <w:gridSpan w:val="3"/>
          </w:tcPr>
          <w:p>
            <w:pPr>
              <w:ind w:left="200"/>
              <w:spacing w:after="0"/>
              <w:rPr>
                <w:sz w:val="20"/>
                <w:szCs w:val="20"/>
                <w:color w:val="auto"/>
              </w:rPr>
            </w:pPr>
            <w:r>
              <w:rPr>
                <w:rFonts w:ascii="Arial" w:cs="Arial" w:eastAsia="Arial" w:hAnsi="Arial"/>
                <w:sz w:val="17"/>
                <w:szCs w:val="17"/>
                <w:color w:val="auto"/>
              </w:rPr>
              <w:t>To re-elect Rishi Gupta as a director of the Company</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4"/>
              </w:rPr>
              <w:t>FOR</w:t>
            </w:r>
          </w:p>
        </w:tc>
      </w:tr>
      <w:tr>
        <w:trPr>
          <w:trHeight w:val="345"/>
        </w:trPr>
        <w:tc>
          <w:tcPr>
            <w:tcW w:w="520" w:type="dxa"/>
            <w:vAlign w:val="bottom"/>
          </w:tcPr>
          <w:p>
            <w:pPr>
              <w:spacing w:after="0"/>
              <w:rPr>
                <w:sz w:val="20"/>
                <w:szCs w:val="20"/>
                <w:color w:val="auto"/>
              </w:rPr>
            </w:pPr>
            <w:r>
              <w:rPr>
                <w:rFonts w:ascii="Arial" w:cs="Arial" w:eastAsia="Arial" w:hAnsi="Arial"/>
                <w:sz w:val="17"/>
                <w:szCs w:val="17"/>
                <w:color w:val="auto"/>
              </w:rPr>
              <w:t>3</w:t>
            </w:r>
          </w:p>
        </w:tc>
        <w:tc>
          <w:tcPr>
            <w:tcW w:w="6220" w:type="dxa"/>
            <w:vAlign w:val="bottom"/>
            <w:gridSpan w:val="3"/>
          </w:tcPr>
          <w:p>
            <w:pPr>
              <w:ind w:left="200"/>
              <w:spacing w:after="0"/>
              <w:rPr>
                <w:sz w:val="20"/>
                <w:szCs w:val="20"/>
                <w:color w:val="auto"/>
              </w:rPr>
            </w:pPr>
            <w:r>
              <w:rPr>
                <w:rFonts w:ascii="Arial" w:cs="Arial" w:eastAsia="Arial" w:hAnsi="Arial"/>
                <w:sz w:val="17"/>
                <w:szCs w:val="17"/>
                <w:color w:val="auto"/>
              </w:rPr>
              <w:t>To re-elect Vikas Sinha as a director of the Company</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4"/>
              </w:rPr>
              <w:t>FOR</w:t>
            </w:r>
          </w:p>
        </w:tc>
      </w:tr>
      <w:tr>
        <w:trPr>
          <w:trHeight w:val="345"/>
        </w:trPr>
        <w:tc>
          <w:tcPr>
            <w:tcW w:w="520" w:type="dxa"/>
            <w:vAlign w:val="bottom"/>
          </w:tcPr>
          <w:p>
            <w:pPr>
              <w:spacing w:after="0"/>
              <w:rPr>
                <w:sz w:val="20"/>
                <w:szCs w:val="20"/>
                <w:color w:val="auto"/>
              </w:rPr>
            </w:pPr>
            <w:r>
              <w:rPr>
                <w:rFonts w:ascii="Arial" w:cs="Arial" w:eastAsia="Arial" w:hAnsi="Arial"/>
                <w:sz w:val="17"/>
                <w:szCs w:val="17"/>
                <w:color w:val="auto"/>
              </w:rPr>
              <w:t>4</w:t>
            </w:r>
          </w:p>
        </w:tc>
        <w:tc>
          <w:tcPr>
            <w:tcW w:w="6220" w:type="dxa"/>
            <w:vAlign w:val="bottom"/>
            <w:gridSpan w:val="3"/>
          </w:tcPr>
          <w:p>
            <w:pPr>
              <w:ind w:left="200"/>
              <w:spacing w:after="0"/>
              <w:rPr>
                <w:sz w:val="20"/>
                <w:szCs w:val="20"/>
                <w:color w:val="auto"/>
              </w:rPr>
            </w:pPr>
            <w:r>
              <w:rPr>
                <w:rFonts w:ascii="Arial" w:cs="Arial" w:eastAsia="Arial" w:hAnsi="Arial"/>
                <w:sz w:val="17"/>
                <w:szCs w:val="17"/>
                <w:color w:val="auto"/>
              </w:rPr>
              <w:t>To re-elect James Brady as a director of the Company</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4"/>
              </w:rPr>
              <w:t>FOR</w:t>
            </w:r>
          </w:p>
        </w:tc>
      </w:tr>
      <w:tr>
        <w:trPr>
          <w:trHeight w:val="345"/>
        </w:trPr>
        <w:tc>
          <w:tcPr>
            <w:tcW w:w="520" w:type="dxa"/>
            <w:vAlign w:val="bottom"/>
          </w:tcPr>
          <w:p>
            <w:pPr>
              <w:spacing w:after="0"/>
              <w:rPr>
                <w:sz w:val="20"/>
                <w:szCs w:val="20"/>
                <w:color w:val="auto"/>
              </w:rPr>
            </w:pPr>
            <w:r>
              <w:rPr>
                <w:rFonts w:ascii="Arial" w:cs="Arial" w:eastAsia="Arial" w:hAnsi="Arial"/>
                <w:sz w:val="17"/>
                <w:szCs w:val="17"/>
                <w:color w:val="auto"/>
              </w:rPr>
              <w:t>5</w:t>
            </w:r>
          </w:p>
        </w:tc>
        <w:tc>
          <w:tcPr>
            <w:tcW w:w="6220" w:type="dxa"/>
            <w:vAlign w:val="bottom"/>
            <w:gridSpan w:val="3"/>
          </w:tcPr>
          <w:p>
            <w:pPr>
              <w:ind w:left="200"/>
              <w:spacing w:after="0"/>
              <w:rPr>
                <w:sz w:val="20"/>
                <w:szCs w:val="20"/>
                <w:color w:val="auto"/>
              </w:rPr>
            </w:pPr>
            <w:r>
              <w:rPr>
                <w:rFonts w:ascii="Arial" w:cs="Arial" w:eastAsia="Arial" w:hAnsi="Arial"/>
                <w:sz w:val="17"/>
                <w:szCs w:val="17"/>
                <w:color w:val="auto"/>
              </w:rPr>
              <w:t>To receive and adopt the 2021 U.K. Annual Report</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4"/>
              </w:rPr>
              <w:t>FOR</w:t>
            </w:r>
          </w:p>
        </w:tc>
      </w:tr>
      <w:tr>
        <w:trPr>
          <w:trHeight w:val="334"/>
        </w:trPr>
        <w:tc>
          <w:tcPr>
            <w:tcW w:w="520" w:type="dxa"/>
            <w:vAlign w:val="bottom"/>
          </w:tcPr>
          <w:p>
            <w:pPr>
              <w:spacing w:after="0"/>
              <w:rPr>
                <w:sz w:val="20"/>
                <w:szCs w:val="20"/>
                <w:color w:val="auto"/>
              </w:rPr>
            </w:pPr>
            <w:r>
              <w:rPr>
                <w:rFonts w:ascii="Arial" w:cs="Arial" w:eastAsia="Arial" w:hAnsi="Arial"/>
                <w:sz w:val="17"/>
                <w:szCs w:val="17"/>
                <w:color w:val="auto"/>
              </w:rPr>
              <w:t>6</w:t>
            </w:r>
          </w:p>
        </w:tc>
        <w:tc>
          <w:tcPr>
            <w:tcW w:w="6220" w:type="dxa"/>
            <w:vAlign w:val="bottom"/>
            <w:gridSpan w:val="3"/>
          </w:tcPr>
          <w:p>
            <w:pPr>
              <w:ind w:left="200"/>
              <w:spacing w:after="0"/>
              <w:rPr>
                <w:sz w:val="20"/>
                <w:szCs w:val="20"/>
                <w:color w:val="auto"/>
              </w:rPr>
            </w:pPr>
            <w:r>
              <w:rPr>
                <w:rFonts w:ascii="Arial" w:cs="Arial" w:eastAsia="Arial" w:hAnsi="Arial"/>
                <w:sz w:val="17"/>
                <w:szCs w:val="17"/>
                <w:color w:val="auto"/>
                <w:w w:val="99"/>
              </w:rPr>
              <w:t>To receive and approve, as a non-binding advisory resolution, the U.K. statutory</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4"/>
              </w:rPr>
              <w:t>FOR</w:t>
            </w:r>
          </w:p>
        </w:tc>
      </w:tr>
      <w:tr>
        <w:trPr>
          <w:trHeight w:val="216"/>
        </w:trPr>
        <w:tc>
          <w:tcPr>
            <w:tcW w:w="520" w:type="dxa"/>
            <w:vAlign w:val="bottom"/>
          </w:tcPr>
          <w:p>
            <w:pPr>
              <w:spacing w:after="0"/>
              <w:rPr>
                <w:sz w:val="18"/>
                <w:szCs w:val="18"/>
                <w:color w:val="auto"/>
              </w:rPr>
            </w:pPr>
          </w:p>
        </w:tc>
        <w:tc>
          <w:tcPr>
            <w:tcW w:w="6220" w:type="dxa"/>
            <w:vAlign w:val="bottom"/>
            <w:gridSpan w:val="3"/>
          </w:tcPr>
          <w:p>
            <w:pPr>
              <w:ind w:left="200"/>
              <w:spacing w:after="0"/>
              <w:rPr>
                <w:sz w:val="20"/>
                <w:szCs w:val="20"/>
                <w:color w:val="auto"/>
              </w:rPr>
            </w:pPr>
            <w:r>
              <w:rPr>
                <w:rFonts w:ascii="Arial" w:cs="Arial" w:eastAsia="Arial" w:hAnsi="Arial"/>
                <w:sz w:val="17"/>
                <w:szCs w:val="17"/>
                <w:color w:val="auto"/>
              </w:rPr>
              <w:t>Directors’ Remuneration Report</w:t>
            </w:r>
          </w:p>
        </w:tc>
        <w:tc>
          <w:tcPr>
            <w:tcW w:w="1020" w:type="dxa"/>
            <w:vAlign w:val="bottom"/>
          </w:tcPr>
          <w:p>
            <w:pPr>
              <w:spacing w:after="0"/>
              <w:rPr>
                <w:sz w:val="18"/>
                <w:szCs w:val="18"/>
                <w:color w:val="auto"/>
              </w:rPr>
            </w:pPr>
          </w:p>
        </w:tc>
      </w:tr>
      <w:tr>
        <w:trPr>
          <w:trHeight w:val="347"/>
        </w:trPr>
        <w:tc>
          <w:tcPr>
            <w:tcW w:w="520" w:type="dxa"/>
            <w:vAlign w:val="bottom"/>
          </w:tcPr>
          <w:p>
            <w:pPr>
              <w:spacing w:after="0"/>
              <w:rPr>
                <w:sz w:val="20"/>
                <w:szCs w:val="20"/>
                <w:color w:val="auto"/>
              </w:rPr>
            </w:pPr>
            <w:r>
              <w:rPr>
                <w:rFonts w:ascii="Arial" w:cs="Arial" w:eastAsia="Arial" w:hAnsi="Arial"/>
                <w:sz w:val="17"/>
                <w:szCs w:val="17"/>
                <w:color w:val="auto"/>
              </w:rPr>
              <w:t>7</w:t>
            </w:r>
          </w:p>
        </w:tc>
        <w:tc>
          <w:tcPr>
            <w:tcW w:w="6220" w:type="dxa"/>
            <w:vAlign w:val="bottom"/>
            <w:gridSpan w:val="3"/>
          </w:tcPr>
          <w:p>
            <w:pPr>
              <w:ind w:left="200"/>
              <w:spacing w:after="0"/>
              <w:rPr>
                <w:sz w:val="20"/>
                <w:szCs w:val="20"/>
                <w:color w:val="auto"/>
              </w:rPr>
            </w:pPr>
            <w:r>
              <w:rPr>
                <w:rFonts w:ascii="Arial" w:cs="Arial" w:eastAsia="Arial" w:hAnsi="Arial"/>
                <w:sz w:val="17"/>
                <w:szCs w:val="17"/>
                <w:color w:val="auto"/>
                <w:w w:val="99"/>
              </w:rPr>
              <w:t>To re-appoint PwC as the Company’s auditors, to hold office until the conclusion</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4"/>
              </w:rPr>
              <w:t>FOR</w:t>
            </w:r>
          </w:p>
        </w:tc>
      </w:tr>
      <w:tr>
        <w:trPr>
          <w:trHeight w:val="216"/>
        </w:trPr>
        <w:tc>
          <w:tcPr>
            <w:tcW w:w="520" w:type="dxa"/>
            <w:vAlign w:val="bottom"/>
          </w:tcPr>
          <w:p>
            <w:pPr>
              <w:spacing w:after="0"/>
              <w:rPr>
                <w:sz w:val="18"/>
                <w:szCs w:val="18"/>
                <w:color w:val="auto"/>
              </w:rPr>
            </w:pPr>
          </w:p>
        </w:tc>
        <w:tc>
          <w:tcPr>
            <w:tcW w:w="6220" w:type="dxa"/>
            <w:vAlign w:val="bottom"/>
            <w:gridSpan w:val="3"/>
          </w:tcPr>
          <w:p>
            <w:pPr>
              <w:ind w:left="200"/>
              <w:spacing w:after="0"/>
              <w:rPr>
                <w:sz w:val="20"/>
                <w:szCs w:val="20"/>
                <w:color w:val="auto"/>
              </w:rPr>
            </w:pPr>
            <w:r>
              <w:rPr>
                <w:rFonts w:ascii="Arial" w:cs="Arial" w:eastAsia="Arial" w:hAnsi="Arial"/>
                <w:sz w:val="17"/>
                <w:szCs w:val="17"/>
                <w:color w:val="auto"/>
              </w:rPr>
              <w:t>of the next annual general meeting of shareholders</w:t>
            </w:r>
          </w:p>
        </w:tc>
        <w:tc>
          <w:tcPr>
            <w:tcW w:w="1020" w:type="dxa"/>
            <w:vAlign w:val="bottom"/>
          </w:tcPr>
          <w:p>
            <w:pPr>
              <w:spacing w:after="0"/>
              <w:rPr>
                <w:sz w:val="18"/>
                <w:szCs w:val="18"/>
                <w:color w:val="auto"/>
              </w:rPr>
            </w:pPr>
          </w:p>
        </w:tc>
      </w:tr>
      <w:tr>
        <w:trPr>
          <w:trHeight w:val="347"/>
        </w:trPr>
        <w:tc>
          <w:tcPr>
            <w:tcW w:w="520" w:type="dxa"/>
            <w:vAlign w:val="bottom"/>
          </w:tcPr>
          <w:p>
            <w:pPr>
              <w:spacing w:after="0"/>
              <w:rPr>
                <w:sz w:val="20"/>
                <w:szCs w:val="20"/>
                <w:color w:val="auto"/>
              </w:rPr>
            </w:pPr>
            <w:r>
              <w:rPr>
                <w:rFonts w:ascii="Arial" w:cs="Arial" w:eastAsia="Arial" w:hAnsi="Arial"/>
                <w:sz w:val="17"/>
                <w:szCs w:val="17"/>
                <w:color w:val="auto"/>
              </w:rPr>
              <w:t>8</w:t>
            </w:r>
          </w:p>
        </w:tc>
        <w:tc>
          <w:tcPr>
            <w:tcW w:w="6220" w:type="dxa"/>
            <w:vAlign w:val="bottom"/>
            <w:gridSpan w:val="3"/>
          </w:tcPr>
          <w:p>
            <w:pPr>
              <w:ind w:left="200"/>
              <w:spacing w:after="0"/>
              <w:rPr>
                <w:sz w:val="20"/>
                <w:szCs w:val="20"/>
                <w:color w:val="auto"/>
              </w:rPr>
            </w:pPr>
            <w:r>
              <w:rPr>
                <w:rFonts w:ascii="Arial" w:cs="Arial" w:eastAsia="Arial" w:hAnsi="Arial"/>
                <w:sz w:val="17"/>
                <w:szCs w:val="17"/>
                <w:color w:val="auto"/>
              </w:rPr>
              <w:t>To authorize the Audit and Risk Committee to determine the auditors’</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4"/>
              </w:rPr>
              <w:t>FOR</w:t>
            </w:r>
          </w:p>
        </w:tc>
      </w:tr>
      <w:tr>
        <w:trPr>
          <w:trHeight w:val="216"/>
        </w:trPr>
        <w:tc>
          <w:tcPr>
            <w:tcW w:w="520" w:type="dxa"/>
            <w:vAlign w:val="bottom"/>
          </w:tcPr>
          <w:p>
            <w:pPr>
              <w:spacing w:after="0"/>
              <w:rPr>
                <w:sz w:val="18"/>
                <w:szCs w:val="18"/>
                <w:color w:val="auto"/>
              </w:rPr>
            </w:pPr>
          </w:p>
        </w:tc>
        <w:tc>
          <w:tcPr>
            <w:tcW w:w="6220" w:type="dxa"/>
            <w:vAlign w:val="bottom"/>
            <w:gridSpan w:val="3"/>
          </w:tcPr>
          <w:p>
            <w:pPr>
              <w:ind w:left="200"/>
              <w:spacing w:after="0"/>
              <w:rPr>
                <w:sz w:val="20"/>
                <w:szCs w:val="20"/>
                <w:color w:val="auto"/>
              </w:rPr>
            </w:pPr>
            <w:r>
              <w:rPr>
                <w:rFonts w:ascii="Arial" w:cs="Arial" w:eastAsia="Arial" w:hAnsi="Arial"/>
                <w:sz w:val="17"/>
                <w:szCs w:val="17"/>
                <w:color w:val="auto"/>
              </w:rPr>
              <w:t>remuneration for the year ending December 31, 2022</w:t>
            </w:r>
          </w:p>
        </w:tc>
        <w:tc>
          <w:tcPr>
            <w:tcW w:w="1020" w:type="dxa"/>
            <w:vAlign w:val="bottom"/>
          </w:tcPr>
          <w:p>
            <w:pPr>
              <w:spacing w:after="0"/>
              <w:rPr>
                <w:sz w:val="18"/>
                <w:szCs w:val="18"/>
                <w:color w:val="auto"/>
              </w:rPr>
            </w:pPr>
          </w:p>
        </w:tc>
      </w:tr>
      <w:tr>
        <w:trPr>
          <w:trHeight w:val="347"/>
        </w:trPr>
        <w:tc>
          <w:tcPr>
            <w:tcW w:w="520" w:type="dxa"/>
            <w:vAlign w:val="bottom"/>
          </w:tcPr>
          <w:p>
            <w:pPr>
              <w:spacing w:after="0"/>
              <w:rPr>
                <w:sz w:val="20"/>
                <w:szCs w:val="20"/>
                <w:color w:val="auto"/>
              </w:rPr>
            </w:pPr>
            <w:r>
              <w:rPr>
                <w:rFonts w:ascii="Arial" w:cs="Arial" w:eastAsia="Arial" w:hAnsi="Arial"/>
                <w:sz w:val="17"/>
                <w:szCs w:val="17"/>
                <w:color w:val="auto"/>
              </w:rPr>
              <w:t>9</w:t>
            </w:r>
          </w:p>
        </w:tc>
        <w:tc>
          <w:tcPr>
            <w:tcW w:w="6220" w:type="dxa"/>
            <w:vAlign w:val="bottom"/>
            <w:gridSpan w:val="3"/>
          </w:tcPr>
          <w:p>
            <w:pPr>
              <w:ind w:left="200"/>
              <w:spacing w:after="0"/>
              <w:rPr>
                <w:sz w:val="20"/>
                <w:szCs w:val="20"/>
                <w:color w:val="auto"/>
              </w:rPr>
            </w:pPr>
            <w:r>
              <w:rPr>
                <w:rFonts w:ascii="Arial" w:cs="Arial" w:eastAsia="Arial" w:hAnsi="Arial"/>
                <w:sz w:val="17"/>
                <w:szCs w:val="17"/>
                <w:color w:val="auto"/>
                <w:w w:val="99"/>
              </w:rPr>
              <w:t>To authorize the Board of Directors to exercise all the powers of the Company to</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4"/>
              </w:rPr>
              <w:t>FOR</w:t>
            </w:r>
          </w:p>
        </w:tc>
      </w:tr>
      <w:tr>
        <w:trPr>
          <w:trHeight w:val="205"/>
        </w:trPr>
        <w:tc>
          <w:tcPr>
            <w:tcW w:w="520" w:type="dxa"/>
            <w:vAlign w:val="bottom"/>
          </w:tcPr>
          <w:p>
            <w:pPr>
              <w:spacing w:after="0"/>
              <w:rPr>
                <w:sz w:val="17"/>
                <w:szCs w:val="17"/>
                <w:color w:val="auto"/>
              </w:rPr>
            </w:pPr>
          </w:p>
        </w:tc>
        <w:tc>
          <w:tcPr>
            <w:tcW w:w="6220" w:type="dxa"/>
            <w:vAlign w:val="bottom"/>
            <w:gridSpan w:val="3"/>
          </w:tcPr>
          <w:p>
            <w:pPr>
              <w:ind w:left="200"/>
              <w:spacing w:after="0"/>
              <w:rPr>
                <w:sz w:val="20"/>
                <w:szCs w:val="20"/>
                <w:color w:val="auto"/>
              </w:rPr>
            </w:pPr>
            <w:r>
              <w:rPr>
                <w:rFonts w:ascii="Arial" w:cs="Arial" w:eastAsia="Arial" w:hAnsi="Arial"/>
                <w:sz w:val="17"/>
                <w:szCs w:val="17"/>
                <w:color w:val="auto"/>
              </w:rPr>
              <w:t>allot shares in the Company or grant rights to subscribe for or to convert any</w:t>
            </w:r>
          </w:p>
        </w:tc>
        <w:tc>
          <w:tcPr>
            <w:tcW w:w="1020" w:type="dxa"/>
            <w:vAlign w:val="bottom"/>
          </w:tcPr>
          <w:p>
            <w:pPr>
              <w:spacing w:after="0"/>
              <w:rPr>
                <w:sz w:val="17"/>
                <w:szCs w:val="17"/>
                <w:color w:val="auto"/>
              </w:rPr>
            </w:pPr>
          </w:p>
        </w:tc>
      </w:tr>
      <w:tr>
        <w:trPr>
          <w:trHeight w:val="205"/>
        </w:trPr>
        <w:tc>
          <w:tcPr>
            <w:tcW w:w="520" w:type="dxa"/>
            <w:vAlign w:val="bottom"/>
          </w:tcPr>
          <w:p>
            <w:pPr>
              <w:spacing w:after="0"/>
              <w:rPr>
                <w:sz w:val="17"/>
                <w:szCs w:val="17"/>
                <w:color w:val="auto"/>
              </w:rPr>
            </w:pPr>
          </w:p>
        </w:tc>
        <w:tc>
          <w:tcPr>
            <w:tcW w:w="6220" w:type="dxa"/>
            <w:vAlign w:val="bottom"/>
            <w:gridSpan w:val="3"/>
          </w:tcPr>
          <w:p>
            <w:pPr>
              <w:ind w:left="200"/>
              <w:spacing w:after="0"/>
              <w:rPr>
                <w:sz w:val="20"/>
                <w:szCs w:val="20"/>
                <w:color w:val="auto"/>
              </w:rPr>
            </w:pPr>
            <w:r>
              <w:rPr>
                <w:rFonts w:ascii="Arial" w:cs="Arial" w:eastAsia="Arial" w:hAnsi="Arial"/>
                <w:sz w:val="17"/>
                <w:szCs w:val="17"/>
                <w:color w:val="auto"/>
              </w:rPr>
              <w:t>security into shares in the Company up to an aggregate nominal amount of</w:t>
            </w:r>
          </w:p>
        </w:tc>
        <w:tc>
          <w:tcPr>
            <w:tcW w:w="1020" w:type="dxa"/>
            <w:vAlign w:val="bottom"/>
          </w:tcPr>
          <w:p>
            <w:pPr>
              <w:spacing w:after="0"/>
              <w:rPr>
                <w:sz w:val="17"/>
                <w:szCs w:val="17"/>
                <w:color w:val="auto"/>
              </w:rPr>
            </w:pPr>
          </w:p>
        </w:tc>
      </w:tr>
      <w:tr>
        <w:trPr>
          <w:trHeight w:val="216"/>
        </w:trPr>
        <w:tc>
          <w:tcPr>
            <w:tcW w:w="520" w:type="dxa"/>
            <w:vAlign w:val="bottom"/>
          </w:tcPr>
          <w:p>
            <w:pPr>
              <w:spacing w:after="0"/>
              <w:rPr>
                <w:sz w:val="18"/>
                <w:szCs w:val="18"/>
                <w:color w:val="auto"/>
              </w:rPr>
            </w:pPr>
          </w:p>
        </w:tc>
        <w:tc>
          <w:tcPr>
            <w:tcW w:w="6020" w:type="dxa"/>
            <w:vAlign w:val="bottom"/>
            <w:gridSpan w:val="2"/>
          </w:tcPr>
          <w:p>
            <w:pPr>
              <w:ind w:left="200"/>
              <w:spacing w:after="0"/>
              <w:rPr>
                <w:sz w:val="20"/>
                <w:szCs w:val="20"/>
                <w:color w:val="auto"/>
              </w:rPr>
            </w:pPr>
            <w:r>
              <w:rPr>
                <w:rFonts w:ascii="Arial" w:cs="Arial" w:eastAsia="Arial" w:hAnsi="Arial"/>
                <w:sz w:val="17"/>
                <w:szCs w:val="17"/>
                <w:color w:val="auto"/>
              </w:rPr>
              <w:t>£24,702,912</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47"/>
        </w:trPr>
        <w:tc>
          <w:tcPr>
            <w:tcW w:w="520" w:type="dxa"/>
            <w:vAlign w:val="bottom"/>
          </w:tcPr>
          <w:p>
            <w:pPr>
              <w:spacing w:after="0"/>
              <w:rPr>
                <w:sz w:val="20"/>
                <w:szCs w:val="20"/>
                <w:color w:val="auto"/>
              </w:rPr>
            </w:pPr>
            <w:r>
              <w:rPr>
                <w:rFonts w:ascii="Arial" w:cs="Arial" w:eastAsia="Arial" w:hAnsi="Arial"/>
                <w:sz w:val="17"/>
                <w:szCs w:val="17"/>
                <w:color w:val="auto"/>
              </w:rPr>
              <w:t>10</w:t>
            </w:r>
          </w:p>
        </w:tc>
        <w:tc>
          <w:tcPr>
            <w:tcW w:w="6220" w:type="dxa"/>
            <w:vAlign w:val="bottom"/>
            <w:gridSpan w:val="3"/>
          </w:tcPr>
          <w:p>
            <w:pPr>
              <w:ind w:left="200"/>
              <w:spacing w:after="0"/>
              <w:rPr>
                <w:sz w:val="20"/>
                <w:szCs w:val="20"/>
                <w:color w:val="auto"/>
              </w:rPr>
            </w:pPr>
            <w:r>
              <w:rPr>
                <w:rFonts w:ascii="Arial" w:cs="Arial" w:eastAsia="Arial" w:hAnsi="Arial"/>
                <w:sz w:val="17"/>
                <w:szCs w:val="17"/>
                <w:color w:val="auto"/>
              </w:rPr>
              <w:t>To authorize the Board of Directors to allot equity securities for cash and/or to</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4"/>
              </w:rPr>
              <w:t>FOR</w:t>
            </w:r>
          </w:p>
        </w:tc>
      </w:tr>
      <w:tr>
        <w:trPr>
          <w:trHeight w:val="205"/>
        </w:trPr>
        <w:tc>
          <w:tcPr>
            <w:tcW w:w="520" w:type="dxa"/>
            <w:vAlign w:val="bottom"/>
          </w:tcPr>
          <w:p>
            <w:pPr>
              <w:spacing w:after="0"/>
              <w:rPr>
                <w:sz w:val="17"/>
                <w:szCs w:val="17"/>
                <w:color w:val="auto"/>
              </w:rPr>
            </w:pPr>
          </w:p>
        </w:tc>
        <w:tc>
          <w:tcPr>
            <w:tcW w:w="6220" w:type="dxa"/>
            <w:vAlign w:val="bottom"/>
            <w:gridSpan w:val="3"/>
          </w:tcPr>
          <w:p>
            <w:pPr>
              <w:ind w:left="200"/>
              <w:spacing w:after="0"/>
              <w:rPr>
                <w:sz w:val="20"/>
                <w:szCs w:val="20"/>
                <w:color w:val="auto"/>
              </w:rPr>
            </w:pPr>
            <w:r>
              <w:rPr>
                <w:rFonts w:ascii="Arial" w:cs="Arial" w:eastAsia="Arial" w:hAnsi="Arial"/>
                <w:sz w:val="17"/>
                <w:szCs w:val="17"/>
                <w:color w:val="auto"/>
              </w:rPr>
              <w:t>sell ordinary shares held by the Company as treasury shares for cash as if</w:t>
            </w:r>
          </w:p>
        </w:tc>
        <w:tc>
          <w:tcPr>
            <w:tcW w:w="1020" w:type="dxa"/>
            <w:vAlign w:val="bottom"/>
          </w:tcPr>
          <w:p>
            <w:pPr>
              <w:spacing w:after="0"/>
              <w:rPr>
                <w:sz w:val="17"/>
                <w:szCs w:val="17"/>
                <w:color w:val="auto"/>
              </w:rPr>
            </w:pPr>
          </w:p>
        </w:tc>
      </w:tr>
      <w:tr>
        <w:trPr>
          <w:trHeight w:val="216"/>
        </w:trPr>
        <w:tc>
          <w:tcPr>
            <w:tcW w:w="520" w:type="dxa"/>
            <w:vAlign w:val="bottom"/>
          </w:tcPr>
          <w:p>
            <w:pPr>
              <w:spacing w:after="0"/>
              <w:rPr>
                <w:sz w:val="18"/>
                <w:szCs w:val="18"/>
                <w:color w:val="auto"/>
              </w:rPr>
            </w:pPr>
          </w:p>
        </w:tc>
        <w:tc>
          <w:tcPr>
            <w:tcW w:w="6220" w:type="dxa"/>
            <w:vAlign w:val="bottom"/>
            <w:gridSpan w:val="3"/>
          </w:tcPr>
          <w:p>
            <w:pPr>
              <w:ind w:left="200"/>
              <w:spacing w:after="0"/>
              <w:rPr>
                <w:sz w:val="20"/>
                <w:szCs w:val="20"/>
                <w:color w:val="auto"/>
              </w:rPr>
            </w:pPr>
            <w:r>
              <w:rPr>
                <w:rFonts w:ascii="Arial" w:cs="Arial" w:eastAsia="Arial" w:hAnsi="Arial"/>
                <w:sz w:val="17"/>
                <w:szCs w:val="17"/>
                <w:color w:val="auto"/>
              </w:rPr>
              <w:t>Section 561(1) of the Companies Act does not apply to any such allotment</w:t>
            </w:r>
          </w:p>
        </w:tc>
        <w:tc>
          <w:tcPr>
            <w:tcW w:w="1020" w:type="dxa"/>
            <w:vAlign w:val="bottom"/>
          </w:tcPr>
          <w:p>
            <w:pPr>
              <w:spacing w:after="0"/>
              <w:rPr>
                <w:sz w:val="18"/>
                <w:szCs w:val="18"/>
                <w:color w:val="auto"/>
              </w:rPr>
            </w:pPr>
          </w:p>
        </w:tc>
      </w:tr>
    </w:tbl>
    <w:p>
      <w:pPr>
        <w:spacing w:after="0" w:line="21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WHAT CONSTITUTES A QUORUM?</w:t>
      </w:r>
    </w:p>
    <w:p>
      <w:pPr>
        <w:spacing w:after="0" w:line="137" w:lineRule="exact"/>
        <w:rPr>
          <w:sz w:val="20"/>
          <w:szCs w:val="20"/>
          <w:color w:val="auto"/>
        </w:rPr>
      </w:pPr>
    </w:p>
    <w:p>
      <w:pPr>
        <w:ind w:left="1200" w:right="719" w:firstLine="341"/>
        <w:spacing w:after="0" w:line="257" w:lineRule="auto"/>
        <w:rPr>
          <w:sz w:val="20"/>
          <w:szCs w:val="20"/>
          <w:color w:val="auto"/>
        </w:rPr>
      </w:pPr>
      <w:r>
        <w:rPr>
          <w:rFonts w:ascii="Arial" w:cs="Arial" w:eastAsia="Arial" w:hAnsi="Arial"/>
          <w:sz w:val="17"/>
          <w:szCs w:val="17"/>
          <w:color w:val="auto"/>
        </w:rPr>
        <w:t>Under our Articles of Association, a quorum will be present if two shareholders of the Company entitled to vote are present in person or represented by proxy at the AGM. In addition, we will require a quorum of at least 33 1/3% in number of the issued shares (excluding any shares held as treasury shares) entitled to vote on the business to be transacted at the AGM, consistent with the Nasdaq Stock Market LLC (“Nasdaq”) rules applicable to us as a U.S. domestic registrant.</w:t>
      </w:r>
    </w:p>
    <w:p>
      <w:pPr>
        <w:spacing w:after="0" w:line="117" w:lineRule="exact"/>
        <w:rPr>
          <w:sz w:val="20"/>
          <w:szCs w:val="20"/>
          <w:color w:val="auto"/>
        </w:rPr>
      </w:pPr>
    </w:p>
    <w:p>
      <w:pPr>
        <w:ind w:left="1200" w:right="679" w:firstLine="341"/>
        <w:spacing w:after="0" w:line="254" w:lineRule="auto"/>
        <w:rPr>
          <w:sz w:val="20"/>
          <w:szCs w:val="20"/>
          <w:color w:val="auto"/>
        </w:rPr>
      </w:pPr>
      <w:r>
        <w:rPr>
          <w:rFonts w:ascii="Arial" w:cs="Arial" w:eastAsia="Arial" w:hAnsi="Arial"/>
          <w:sz w:val="17"/>
          <w:szCs w:val="17"/>
          <w:color w:val="auto"/>
        </w:rPr>
        <w:t>If you are a shareholder of record of voting ordinary shares, your shares will be counted towards the quorum only if you are present in person or represented by proxy at the AGM. If you are a beneficial owner of voting ordinary shares held in an account at a brokerage firm, bank or other similar organization your shares will be counted towards the quorum if your broker or nominee submits a proxy for those shares and the proxy represents the holder at the AGM. If a form of proxy does not instruct the proxy how to vote or indicates “discretion” with respect to a proposal, the proxy will vote in accordance with the Board of Directors’ recommendations, and the member represented by that proxy at the AGM will be counted towards the quorum requirement. For any other resolution put to the AGM, the proxy may vote or abstain from voting as he or she sees fit. A member represented by a proxy at the AGM will be counted towards the quorum requirement even where the proxy abstains from voting.</w:t>
      </w:r>
    </w:p>
    <w:p>
      <w:pPr>
        <w:spacing w:after="0" w:line="119" w:lineRule="exact"/>
        <w:rPr>
          <w:sz w:val="20"/>
          <w:szCs w:val="20"/>
          <w:color w:val="auto"/>
        </w:rPr>
      </w:pPr>
    </w:p>
    <w:p>
      <w:pPr>
        <w:ind w:left="1200" w:right="799" w:firstLine="341"/>
        <w:spacing w:after="0" w:line="276" w:lineRule="auto"/>
        <w:rPr>
          <w:sz w:val="20"/>
          <w:szCs w:val="20"/>
          <w:color w:val="auto"/>
        </w:rPr>
      </w:pPr>
      <w:r>
        <w:rPr>
          <w:rFonts w:ascii="Arial" w:cs="Arial" w:eastAsia="Arial" w:hAnsi="Arial"/>
          <w:sz w:val="17"/>
          <w:szCs w:val="17"/>
          <w:color w:val="auto"/>
        </w:rPr>
        <w:t>If there is no quorum, within 15 minutes from the time appointed for holding the AGM the AGM will stand adjourned to such time, date and place as may be fixed by the chairperson of the AGM.</w:t>
      </w:r>
    </w:p>
    <w:p>
      <w:pPr>
        <w:spacing w:after="0" w:line="16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HOW DO I VOTE MY SHARES?</w:t>
      </w:r>
    </w:p>
    <w:p>
      <w:pPr>
        <w:spacing w:after="0" w:line="137" w:lineRule="exact"/>
        <w:rPr>
          <w:sz w:val="20"/>
          <w:szCs w:val="20"/>
          <w:color w:val="auto"/>
        </w:rPr>
      </w:pPr>
    </w:p>
    <w:p>
      <w:pPr>
        <w:ind w:left="1200" w:right="1039" w:firstLine="341"/>
        <w:spacing w:after="0" w:line="276" w:lineRule="auto"/>
        <w:rPr>
          <w:sz w:val="20"/>
          <w:szCs w:val="20"/>
          <w:color w:val="auto"/>
        </w:rPr>
      </w:pPr>
      <w:r>
        <w:rPr>
          <w:rFonts w:ascii="Arial" w:cs="Arial" w:eastAsia="Arial" w:hAnsi="Arial"/>
          <w:sz w:val="17"/>
          <w:szCs w:val="17"/>
          <w:color w:val="auto"/>
        </w:rPr>
        <w:t>If you are an ordinary “shareholder of record,” you may appoint a proxy to vote on your behalf by completing and signing the form of proxy and returning it in the envelope provided.</w:t>
      </w:r>
    </w:p>
    <w:p>
      <w:pPr>
        <w:spacing w:after="0" w:line="343"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All proxies must be received by the Company Secretary no later than 2:00 p.m. British Summer Time</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(9:00 a.m. Eastern Time) on April 25, 2022, or if the AGM is adjourned, not later than 48 hours before the</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time fixed for the holding of the adjourned meeting (excluding any day which is not a working day). ADS</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voting instructions submitted by ADS holders must be received by Citibank, N.A. no later than 10:00 a.m.</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Eastern Time on April 21, 2022.</w:t>
      </w:r>
    </w:p>
    <w:p>
      <w:pPr>
        <w:spacing w:after="0" w:line="126" w:lineRule="exact"/>
        <w:rPr>
          <w:sz w:val="20"/>
          <w:szCs w:val="20"/>
          <w:color w:val="auto"/>
        </w:rPr>
      </w:pPr>
    </w:p>
    <w:p>
      <w:pPr>
        <w:jc w:val="both"/>
        <w:ind w:left="1200" w:right="919" w:firstLine="341"/>
        <w:spacing w:after="0" w:line="263" w:lineRule="auto"/>
        <w:rPr>
          <w:sz w:val="20"/>
          <w:szCs w:val="20"/>
          <w:color w:val="auto"/>
        </w:rPr>
      </w:pPr>
      <w:r>
        <w:rPr>
          <w:rFonts w:ascii="Arial" w:cs="Arial" w:eastAsia="Arial" w:hAnsi="Arial"/>
          <w:sz w:val="17"/>
          <w:szCs w:val="17"/>
          <w:color w:val="auto"/>
        </w:rPr>
        <w:t>If you properly give instructions as to your proxy appointment by executing and returning a form of proxy and your proxy appointment is not subsequently revoked, your shares will be voted in accordance with your instructions.</w:t>
      </w:r>
    </w:p>
    <w:p>
      <w:pPr>
        <w:spacing w:after="0" w:line="112" w:lineRule="exact"/>
        <w:rPr>
          <w:sz w:val="20"/>
          <w:szCs w:val="20"/>
          <w:color w:val="auto"/>
        </w:rPr>
      </w:pPr>
    </w:p>
    <w:p>
      <w:pPr>
        <w:jc w:val="both"/>
        <w:ind w:left="1200" w:right="939" w:firstLine="341"/>
        <w:spacing w:after="0" w:line="276" w:lineRule="auto"/>
        <w:rPr>
          <w:sz w:val="20"/>
          <w:szCs w:val="20"/>
          <w:color w:val="auto"/>
        </w:rPr>
      </w:pPr>
      <w:r>
        <w:rPr>
          <w:rFonts w:ascii="Arial" w:cs="Arial" w:eastAsia="Arial" w:hAnsi="Arial"/>
          <w:sz w:val="17"/>
          <w:szCs w:val="17"/>
          <w:color w:val="auto"/>
        </w:rPr>
        <w:t>If your ordinary shares are held in an account at a brokerage firm, bank or similar organization, you should follow directions provided by your broker, bank or other nominee.</w:t>
      </w:r>
    </w:p>
    <w:p>
      <w:pPr>
        <w:spacing w:after="0" w:line="16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HOW WILL MY SHARES BE VOTED IF I DO NOT SPECIFY HOW THEY SHOULD BE VOTED?</w:t>
      </w:r>
    </w:p>
    <w:p>
      <w:pPr>
        <w:spacing w:after="0" w:line="150" w:lineRule="exact"/>
        <w:rPr>
          <w:sz w:val="20"/>
          <w:szCs w:val="20"/>
          <w:color w:val="auto"/>
        </w:rPr>
      </w:pPr>
    </w:p>
    <w:p>
      <w:pPr>
        <w:ind w:left="1200" w:right="659" w:firstLine="341"/>
        <w:spacing w:after="0" w:line="259" w:lineRule="auto"/>
        <w:rPr>
          <w:sz w:val="20"/>
          <w:szCs w:val="20"/>
          <w:color w:val="auto"/>
        </w:rPr>
      </w:pPr>
      <w:r>
        <w:rPr>
          <w:rFonts w:ascii="Arial" w:cs="Arial" w:eastAsia="Arial" w:hAnsi="Arial"/>
          <w:sz w:val="17"/>
          <w:szCs w:val="17"/>
          <w:color w:val="auto"/>
        </w:rPr>
        <w:t>If you sign and send your form of proxy, naming the Chairperson of the AGM as your proxy, but do not indicate how you want your shares to be voted, your shares will be voted in accordance with the Board of Directors’ recommendations. For any other resolution put to the AGM, the Chairperson of the AGM may vote or abstain from voting as he or she sees fit.</w:t>
      </w:r>
    </w:p>
    <w:p>
      <w:pPr>
        <w:spacing w:after="0" w:line="103" w:lineRule="exact"/>
        <w:rPr>
          <w:sz w:val="20"/>
          <w:szCs w:val="20"/>
          <w:color w:val="auto"/>
        </w:rPr>
      </w:pPr>
    </w:p>
    <w:p>
      <w:pPr>
        <w:ind w:left="1200" w:right="659" w:firstLine="341"/>
        <w:spacing w:after="0" w:line="268" w:lineRule="auto"/>
        <w:rPr>
          <w:sz w:val="20"/>
          <w:szCs w:val="20"/>
          <w:color w:val="auto"/>
        </w:rPr>
      </w:pPr>
      <w:r>
        <w:rPr>
          <w:rFonts w:ascii="Arial" w:cs="Arial" w:eastAsia="Arial" w:hAnsi="Arial"/>
          <w:sz w:val="16"/>
          <w:szCs w:val="16"/>
          <w:color w:val="auto"/>
        </w:rPr>
        <w:t>In accordance with the terms of the deposit agreement by and among the Company, Citibank, N.A. as depositary and holders and beneficial owners of ADSs issued thereunder dated as of May 2, 2017 (the “Deposit Agreement”), holders of ADSs as of 5:00 p.m. Eastern Time on the ADS Record Date who do not provide the depositary bank with voting instructions on or before the ADS Voting Cut-Off Time will be deemed to have instructed the depositary bank to give a discretionary proxy to a person designated by the Company to vote the underlying ordinary shares at the AGM, and such shares, if such discretionary proxy is given, will be voted in accordance with the Board of Directors’ recommendations, provided, however, that no such discretionary proxy shall be given by the Depositary with respect to any matter to be voted upon as to which the Company informs the Depositary that (a) the Company does not wish such proxy to be given,</w:t>
      </w:r>
    </w:p>
    <w:p>
      <w:pPr>
        <w:spacing w:after="0" w:line="4" w:lineRule="exact"/>
        <w:rPr>
          <w:sz w:val="20"/>
          <w:szCs w:val="20"/>
          <w:color w:val="auto"/>
        </w:rPr>
      </w:pPr>
    </w:p>
    <w:p>
      <w:pPr>
        <w:ind w:left="1200" w:right="1199" w:hanging="4"/>
        <w:spacing w:after="0" w:line="262" w:lineRule="auto"/>
        <w:tabs>
          <w:tab w:leader="none" w:pos="14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substantial opposition exists, or (c) the rights of holders of deposited securities under the Deposit Agreement may be adversely affected.</w:t>
      </w:r>
    </w:p>
    <w:p>
      <w:pPr>
        <w:spacing w:after="0" w:line="17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CAN I CHANGE MY VOTE OR REVOKE A PROXY?</w:t>
      </w:r>
    </w:p>
    <w:p>
      <w:pPr>
        <w:spacing w:after="0" w:line="150" w:lineRule="exact"/>
        <w:rPr>
          <w:sz w:val="20"/>
          <w:szCs w:val="20"/>
          <w:color w:val="auto"/>
        </w:rPr>
      </w:pPr>
    </w:p>
    <w:p>
      <w:pPr>
        <w:ind w:left="1200" w:right="839" w:firstLine="341"/>
        <w:spacing w:after="0" w:line="276" w:lineRule="auto"/>
        <w:rPr>
          <w:sz w:val="20"/>
          <w:szCs w:val="20"/>
          <w:color w:val="auto"/>
        </w:rPr>
      </w:pPr>
      <w:r>
        <w:rPr>
          <w:rFonts w:ascii="Arial" w:cs="Arial" w:eastAsia="Arial" w:hAnsi="Arial"/>
          <w:sz w:val="17"/>
          <w:szCs w:val="17"/>
          <w:color w:val="auto"/>
        </w:rPr>
        <w:t>A registered shareholder can revoke his or her proxy before the time of voting at the AGM in several ways by:</w:t>
      </w:r>
    </w:p>
    <w:p>
      <w:pPr>
        <w:spacing w:after="0" w:line="100" w:lineRule="exact"/>
        <w:rPr>
          <w:sz w:val="20"/>
          <w:szCs w:val="20"/>
          <w:color w:val="auto"/>
        </w:rPr>
      </w:pPr>
    </w:p>
    <w:p>
      <w:pPr>
        <w:ind w:left="1800" w:hanging="263"/>
        <w:spacing w:after="0"/>
        <w:tabs>
          <w:tab w:leader="none" w:pos="1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mailing a revised form of proxy dated later than the prior form of proxy;</w:t>
      </w:r>
    </w:p>
    <w:p>
      <w:pPr>
        <w:spacing w:after="0" w:line="137" w:lineRule="exact"/>
        <w:rPr>
          <w:rFonts w:ascii="Arial" w:cs="Arial" w:eastAsia="Arial" w:hAnsi="Arial"/>
          <w:sz w:val="17"/>
          <w:szCs w:val="17"/>
          <w:color w:val="auto"/>
        </w:rPr>
      </w:pPr>
    </w:p>
    <w:p>
      <w:pPr>
        <w:ind w:left="1200" w:right="639" w:firstLine="337"/>
        <w:spacing w:after="0" w:line="276" w:lineRule="auto"/>
        <w:tabs>
          <w:tab w:leader="none" w:pos="17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notifying our Company Secretary in writing that you are revoking your proxy. Your revocation must be received at our registered office before the AGM to be effective; or</w:t>
      </w:r>
    </w:p>
    <w:p>
      <w:pPr>
        <w:spacing w:after="0" w:line="100" w:lineRule="exact"/>
        <w:rPr>
          <w:rFonts w:ascii="Arial" w:cs="Arial" w:eastAsia="Arial" w:hAnsi="Arial"/>
          <w:sz w:val="17"/>
          <w:szCs w:val="17"/>
          <w:color w:val="auto"/>
        </w:rPr>
      </w:pPr>
    </w:p>
    <w:p>
      <w:pPr>
        <w:ind w:left="1800" w:hanging="263"/>
        <w:spacing w:after="0"/>
        <w:tabs>
          <w:tab w:leader="none" w:pos="1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revoking his or her proxy by voting in person at the AGM.</w:t>
      </w:r>
    </w:p>
    <w:p>
      <w:pPr>
        <w:spacing w:after="0" w:line="150" w:lineRule="exact"/>
        <w:rPr>
          <w:sz w:val="20"/>
          <w:szCs w:val="20"/>
          <w:color w:val="auto"/>
        </w:rPr>
      </w:pPr>
    </w:p>
    <w:p>
      <w:pPr>
        <w:ind w:left="1200" w:right="979" w:firstLine="341"/>
        <w:spacing w:after="0" w:line="259" w:lineRule="auto"/>
        <w:rPr>
          <w:sz w:val="20"/>
          <w:szCs w:val="20"/>
          <w:color w:val="auto"/>
        </w:rPr>
      </w:pPr>
      <w:r>
        <w:rPr>
          <w:rFonts w:ascii="Arial" w:cs="Arial" w:eastAsia="Arial" w:hAnsi="Arial"/>
          <w:sz w:val="17"/>
          <w:szCs w:val="17"/>
          <w:color w:val="auto"/>
        </w:rPr>
        <w:t>If your ordinary shares are held in an account at a brokerage firm, bank or similar organization, to change or revoke your voting instructions you will need to contact the broker, bank or other nominee holding the shares. ADS holders may change or revoke their voting instructions by contacting Citibank, N.A. See also “What if I plan to attend the AGM?”</w:t>
      </w:r>
    </w:p>
    <w:p>
      <w:pPr>
        <w:spacing w:after="0" w:line="17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WHO COUNTS THE VOTES?</w:t>
      </w:r>
    </w:p>
    <w:p>
      <w:pPr>
        <w:spacing w:after="0" w:line="137" w:lineRule="exact"/>
        <w:rPr>
          <w:sz w:val="20"/>
          <w:szCs w:val="20"/>
          <w:color w:val="auto"/>
        </w:rPr>
      </w:pPr>
    </w:p>
    <w:p>
      <w:pPr>
        <w:ind w:left="1200" w:right="699" w:firstLine="341"/>
        <w:spacing w:after="0" w:line="235" w:lineRule="auto"/>
        <w:rPr>
          <w:sz w:val="20"/>
          <w:szCs w:val="20"/>
          <w:color w:val="auto"/>
        </w:rPr>
      </w:pPr>
      <w:r>
        <w:rPr>
          <w:rFonts w:ascii="Arial" w:cs="Arial" w:eastAsia="Arial" w:hAnsi="Arial"/>
          <w:sz w:val="17"/>
          <w:szCs w:val="17"/>
          <w:color w:val="auto"/>
        </w:rPr>
        <w:t>Our Company Secretary will tabulate shareholder votes. If you are an ordinary shareholder of record, you can return your executed form of proxy to the Company Secretary, Verona Pharma plc, c/o Shakespeare Martineau LLP, 6</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60 Gracechurch Street, London, EC3V 0HR by hand or by post, or by email to ben.harber@shma.co.uk in accordance with the instructions printed thereon for tabulation (see instructions on the form of proxy).</w:t>
      </w:r>
    </w:p>
    <w:p>
      <w:pPr>
        <w:spacing w:after="0" w:line="130" w:lineRule="exact"/>
        <w:rPr>
          <w:sz w:val="20"/>
          <w:szCs w:val="20"/>
          <w:color w:val="auto"/>
        </w:rPr>
      </w:pPr>
    </w:p>
    <w:p>
      <w:pPr>
        <w:ind w:left="1200" w:right="1039" w:firstLine="341"/>
        <w:spacing w:after="0" w:line="276" w:lineRule="auto"/>
        <w:rPr>
          <w:sz w:val="20"/>
          <w:szCs w:val="20"/>
          <w:color w:val="auto"/>
        </w:rPr>
      </w:pPr>
      <w:r>
        <w:rPr>
          <w:rFonts w:ascii="Arial" w:cs="Arial" w:eastAsia="Arial" w:hAnsi="Arial"/>
          <w:sz w:val="17"/>
          <w:szCs w:val="17"/>
          <w:color w:val="auto"/>
        </w:rPr>
        <w:t>If you hold your ordinary shares through a broker, your broker will return the form of proxy to the Company Secretary.</w:t>
      </w:r>
    </w:p>
    <w:p>
      <w:pPr>
        <w:spacing w:after="0" w:line="331"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0" w:right="739" w:firstLine="341"/>
        <w:spacing w:after="0" w:line="231" w:lineRule="auto"/>
        <w:rPr>
          <w:sz w:val="20"/>
          <w:szCs w:val="20"/>
          <w:color w:val="auto"/>
        </w:rPr>
      </w:pPr>
      <w:r>
        <w:rPr>
          <w:rFonts w:ascii="Arial" w:cs="Arial" w:eastAsia="Arial" w:hAnsi="Arial"/>
          <w:sz w:val="17"/>
          <w:szCs w:val="17"/>
          <w:color w:val="auto"/>
        </w:rPr>
        <w:t>If you are a holder of record of ADSs, you can return your executed ADS voting instructions to Citibank, N.A. for tabulation. If you hold your ADSs through a broker, bank or other organization, that organization can return the ADS voting instructions to Citibank, N.A. following your instruction. Citibank, N.A. will submit your votes to the Company Secretary for tabulation.</w:t>
      </w:r>
    </w:p>
    <w:p>
      <w:pPr>
        <w:spacing w:after="0" w:line="18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HOW ARE VOTES COUNTED?</w:t>
      </w:r>
    </w:p>
    <w:p>
      <w:pPr>
        <w:spacing w:after="0" w:line="124" w:lineRule="exact"/>
        <w:rPr>
          <w:sz w:val="20"/>
          <w:szCs w:val="20"/>
          <w:color w:val="auto"/>
        </w:rPr>
      </w:pPr>
    </w:p>
    <w:p>
      <w:pPr>
        <w:ind w:left="1200" w:right="759" w:firstLine="341"/>
        <w:spacing w:after="0" w:line="247" w:lineRule="auto"/>
        <w:rPr>
          <w:sz w:val="20"/>
          <w:szCs w:val="20"/>
          <w:color w:val="auto"/>
        </w:rPr>
      </w:pPr>
      <w:r>
        <w:rPr>
          <w:rFonts w:ascii="Arial" w:cs="Arial" w:eastAsia="Arial" w:hAnsi="Arial"/>
          <w:sz w:val="16"/>
          <w:szCs w:val="16"/>
          <w:color w:val="auto"/>
        </w:rPr>
        <w:t>Votes will be counted by the Company Secretary, who will separately count “for” and “against” votes, and “votes withheld”. A “vote withheld” is not a vote in law and represents a shareholder’s affirmative choice to decline to vote on a proposal. Votes withheld are counted as present and entitled to vote for purposes of determining a quorum. Votes withheld have no effect on the proposals.</w:t>
      </w:r>
    </w:p>
    <w:p>
      <w:pPr>
        <w:spacing w:after="0" w:line="100" w:lineRule="exact"/>
        <w:rPr>
          <w:sz w:val="20"/>
          <w:szCs w:val="20"/>
          <w:color w:val="auto"/>
        </w:rPr>
      </w:pPr>
    </w:p>
    <w:p>
      <w:pPr>
        <w:ind w:left="1200" w:right="819" w:firstLine="341"/>
        <w:spacing w:after="0" w:line="244" w:lineRule="auto"/>
        <w:rPr>
          <w:sz w:val="20"/>
          <w:szCs w:val="20"/>
          <w:color w:val="auto"/>
        </w:rPr>
      </w:pPr>
      <w:r>
        <w:rPr>
          <w:rFonts w:ascii="Arial" w:cs="Arial" w:eastAsia="Arial" w:hAnsi="Arial"/>
          <w:sz w:val="16"/>
          <w:szCs w:val="16"/>
          <w:color w:val="auto"/>
        </w:rPr>
        <w:t>As described above, in accordance with the terms of the Deposit Agreement, holders of ADSs as of 5:00 p.m. Eastern Time on the ADS Record Date who do not provide the depositary bank with voting instructions on or before the ADS Voting Cut- Off Time will be deemed to have instructed the depositary bank to give a discretionary proxy to a person designated by the Company to vote the underlying ordinary shares at the AGM. Accordingly, we do not expect any broker non-votes on any of the proposals.</w:t>
      </w:r>
    </w:p>
    <w:p>
      <w:pPr>
        <w:spacing w:after="0" w:line="17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HOW MANY VOTES DO I HAVE?</w:t>
      </w:r>
    </w:p>
    <w:p>
      <w:pPr>
        <w:spacing w:after="0" w:line="137" w:lineRule="exact"/>
        <w:rPr>
          <w:sz w:val="20"/>
          <w:szCs w:val="20"/>
          <w:color w:val="auto"/>
        </w:rPr>
      </w:pPr>
    </w:p>
    <w:p>
      <w:pPr>
        <w:ind w:left="1200" w:right="979" w:firstLine="341"/>
        <w:spacing w:after="0" w:line="244" w:lineRule="auto"/>
        <w:rPr>
          <w:sz w:val="20"/>
          <w:szCs w:val="20"/>
          <w:color w:val="auto"/>
        </w:rPr>
      </w:pPr>
      <w:r>
        <w:rPr>
          <w:rFonts w:ascii="Arial" w:cs="Arial" w:eastAsia="Arial" w:hAnsi="Arial"/>
          <w:sz w:val="17"/>
          <w:szCs w:val="17"/>
          <w:color w:val="auto"/>
        </w:rPr>
        <w:t>On a poll, each shareholder present in person or by proxy or, in the case of a corporation, by a duly authorized representative has one vote for each share held by the shareholder.</w:t>
      </w:r>
    </w:p>
    <w:p>
      <w:pPr>
        <w:spacing w:after="0" w:line="17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WHAT IF I PLAN TO ATTEND THE AGM?</w:t>
      </w:r>
    </w:p>
    <w:p>
      <w:pPr>
        <w:spacing w:after="0" w:line="124" w:lineRule="exact"/>
        <w:rPr>
          <w:sz w:val="20"/>
          <w:szCs w:val="20"/>
          <w:color w:val="auto"/>
        </w:rPr>
      </w:pPr>
    </w:p>
    <w:p>
      <w:pPr>
        <w:ind w:left="1200" w:right="699" w:firstLine="341"/>
        <w:spacing w:after="0" w:line="214" w:lineRule="auto"/>
        <w:rPr>
          <w:sz w:val="20"/>
          <w:szCs w:val="20"/>
          <w:color w:val="auto"/>
        </w:rPr>
      </w:pPr>
      <w:r>
        <w:rPr>
          <w:rFonts w:ascii="Arial" w:cs="Arial" w:eastAsia="Arial" w:hAnsi="Arial"/>
          <w:sz w:val="17"/>
          <w:szCs w:val="17"/>
          <w:color w:val="auto"/>
        </w:rPr>
        <w:t>Attendance at the AGM is limited to ordinary shareholders of record as of 2:00 p.m. British Summer Time (9:00 a.m. Eastern Time) on April 25, 2022. The AGM will be held on Wednesday, April 27, 2022 at 2:00 p.m. British Summer Time at the offices of Shakespeare Martineau LLP at 6</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60 Gracechurch Street, London, EC3V 0HR, United Kingdom. Record holders of ADSs who wish to attend the AGM must provide proof of ownership of ADSs as of the ADS Record Date, which can be obtained from Citibank, N.A. or your broker through which you hold ADSs. Record holders of ADSs who attend the AGM will not be able to vote at the AGM. To vote, record holders of ADSs should follow the voting procedures described above in “Who can vote at the AGM?”.</w:t>
      </w:r>
    </w:p>
    <w:p>
      <w:pPr>
        <w:spacing w:after="0" w:line="18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HOW DO YOU SOLICIT PROXIES?</w:t>
      </w:r>
    </w:p>
    <w:p>
      <w:pPr>
        <w:spacing w:after="0" w:line="137" w:lineRule="exact"/>
        <w:rPr>
          <w:sz w:val="20"/>
          <w:szCs w:val="20"/>
          <w:color w:val="auto"/>
        </w:rPr>
      </w:pPr>
    </w:p>
    <w:p>
      <w:pPr>
        <w:ind w:left="1200" w:right="639" w:firstLine="341"/>
        <w:spacing w:after="0" w:line="227" w:lineRule="auto"/>
        <w:rPr>
          <w:sz w:val="20"/>
          <w:szCs w:val="20"/>
          <w:color w:val="auto"/>
        </w:rPr>
      </w:pPr>
      <w:r>
        <w:rPr>
          <w:rFonts w:ascii="Arial" w:cs="Arial" w:eastAsia="Arial" w:hAnsi="Arial"/>
          <w:sz w:val="17"/>
          <w:szCs w:val="17"/>
          <w:color w:val="auto"/>
        </w:rPr>
        <w:t>We will solicit proxies and will bear the entire cost of this solicitation. The initial solicitation of proxies may be supplemented by additional mail communications and by telephone, fax, e-mail, internet and personal solicitation by our directors, officers or other employees. No additional compensation for soliciting proxies will be paid to our directors, officers or other employees for their proxy solicitation efforts. We also will reimburse Citibank, N.A. for their expenses in sending materials, including ADS voting instructions, to ADS holders of record.</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WHAT DO I DO IF I RECEIVE MORE THAN ONE NOTICE OR FORM OF PROXY?</w:t>
      </w:r>
    </w:p>
    <w:p>
      <w:pPr>
        <w:spacing w:after="0" w:line="137" w:lineRule="exact"/>
        <w:rPr>
          <w:sz w:val="20"/>
          <w:szCs w:val="20"/>
          <w:color w:val="auto"/>
        </w:rPr>
      </w:pPr>
    </w:p>
    <w:p>
      <w:pPr>
        <w:jc w:val="both"/>
        <w:ind w:left="1200" w:right="819" w:firstLine="341"/>
        <w:spacing w:after="0" w:line="234" w:lineRule="auto"/>
        <w:rPr>
          <w:sz w:val="20"/>
          <w:szCs w:val="20"/>
          <w:color w:val="auto"/>
        </w:rPr>
      </w:pPr>
      <w:r>
        <w:rPr>
          <w:rFonts w:ascii="Arial" w:cs="Arial" w:eastAsia="Arial" w:hAnsi="Arial"/>
          <w:sz w:val="17"/>
          <w:szCs w:val="17"/>
          <w:color w:val="auto"/>
        </w:rPr>
        <w:t>If you hold your ordinary shares in more than one account, you will receive a form of proxy for each account. To ensure that all of your shares are voted, please sign, date and return all forms of proxy. Please be sure to vote all of your shares.</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WILL THERE BE ANY OTHER BUSINESS CONDUCTED AT THE AGM?</w:t>
      </w:r>
    </w:p>
    <w:p>
      <w:pPr>
        <w:spacing w:after="0" w:line="124" w:lineRule="exact"/>
        <w:rPr>
          <w:sz w:val="20"/>
          <w:szCs w:val="20"/>
          <w:color w:val="auto"/>
        </w:rPr>
      </w:pPr>
    </w:p>
    <w:p>
      <w:pPr>
        <w:jc w:val="both"/>
        <w:ind w:left="1200" w:right="719" w:firstLine="341"/>
        <w:spacing w:after="0" w:line="234" w:lineRule="auto"/>
        <w:rPr>
          <w:sz w:val="20"/>
          <w:szCs w:val="20"/>
          <w:color w:val="auto"/>
        </w:rPr>
      </w:pPr>
      <w:r>
        <w:rPr>
          <w:rFonts w:ascii="Arial" w:cs="Arial" w:eastAsia="Arial" w:hAnsi="Arial"/>
          <w:sz w:val="17"/>
          <w:szCs w:val="17"/>
          <w:color w:val="auto"/>
        </w:rPr>
        <w:t>No. In accordance with our Articles of Association, no matters other than proposals 1 through 10 may be presented at the AGM. We have not been notified of, and our Board is not aware of, any other matters to be presented for action at the AGM.</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HOW CAN I FIND OUT THE RESULTS OF THE VOTING AT THE AGM?</w:t>
      </w:r>
    </w:p>
    <w:p>
      <w:pPr>
        <w:spacing w:after="0" w:line="137" w:lineRule="exact"/>
        <w:rPr>
          <w:sz w:val="20"/>
          <w:szCs w:val="20"/>
          <w:color w:val="auto"/>
        </w:rPr>
      </w:pPr>
    </w:p>
    <w:p>
      <w:pPr>
        <w:ind w:left="1200" w:right="879" w:firstLine="341"/>
        <w:spacing w:after="0" w:line="254" w:lineRule="auto"/>
        <w:rPr>
          <w:sz w:val="20"/>
          <w:szCs w:val="20"/>
          <w:color w:val="auto"/>
        </w:rPr>
      </w:pPr>
      <w:r>
        <w:rPr>
          <w:rFonts w:ascii="Arial" w:cs="Arial" w:eastAsia="Arial" w:hAnsi="Arial"/>
          <w:sz w:val="16"/>
          <w:szCs w:val="16"/>
          <w:color w:val="auto"/>
        </w:rPr>
        <w:t>Voting results will be announced by the filing of a Current Report on Form 8-K with the SEC within four business days after the AGM. If final voting results are unavailable at that time, we will file an amended Current Report on Form 8-K within four business days of the day the final results are available.</w:t>
      </w:r>
    </w:p>
    <w:p>
      <w:pPr>
        <w:spacing w:after="0" w:line="337"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17" w:name="page18"/>
    <w:bookmarkEnd w:id="17"/>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Proposals to be Voted On</w:t>
      </w:r>
    </w:p>
    <w:p>
      <w:pPr>
        <w:spacing w:after="0" w:line="2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PROPOSAL 1.</w:t>
      </w:r>
    </w:p>
    <w:p>
      <w:pPr>
        <w:spacing w:after="0" w:line="10"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To re-elect Kenneth Cunningham, M.D. as a Director of the Company</w:t>
      </w:r>
    </w:p>
    <w:p>
      <w:pPr>
        <w:spacing w:after="0" w:line="110" w:lineRule="exact"/>
        <w:rPr>
          <w:sz w:val="20"/>
          <w:szCs w:val="20"/>
          <w:color w:val="auto"/>
        </w:rPr>
      </w:pPr>
    </w:p>
    <w:p>
      <w:pPr>
        <w:ind w:left="1200" w:right="699" w:firstLine="341"/>
        <w:spacing w:after="0" w:line="260" w:lineRule="auto"/>
        <w:rPr>
          <w:sz w:val="20"/>
          <w:szCs w:val="20"/>
          <w:color w:val="auto"/>
        </w:rPr>
      </w:pPr>
      <w:r>
        <w:rPr>
          <w:rFonts w:ascii="Arial" w:cs="Arial" w:eastAsia="Arial" w:hAnsi="Arial"/>
          <w:sz w:val="16"/>
          <w:szCs w:val="16"/>
          <w:color w:val="auto"/>
        </w:rPr>
        <w:t>Kenneth Cunningham, M.D., 69, is currently a member of our Board of Directors and has been nominated for re-election as a director. If elected, he will hold office from the date of his election until such annual general meeting of shareholders where he must retire by rotation and offer himself for re -election in accordance with the Articles, or until his earlier death, resignation or removal. Dr. Cunningham has agreed to serve if elected, and we have no reason to believe that he will be unable to serve.</w:t>
      </w:r>
    </w:p>
    <w:p>
      <w:pPr>
        <w:spacing w:after="0" w:line="103" w:lineRule="exact"/>
        <w:rPr>
          <w:sz w:val="20"/>
          <w:szCs w:val="20"/>
          <w:color w:val="auto"/>
        </w:rPr>
      </w:pPr>
    </w:p>
    <w:p>
      <w:pPr>
        <w:ind w:left="1200" w:right="639" w:firstLine="341"/>
        <w:spacing w:after="0" w:line="253" w:lineRule="auto"/>
        <w:rPr>
          <w:sz w:val="20"/>
          <w:szCs w:val="20"/>
          <w:color w:val="auto"/>
        </w:rPr>
      </w:pPr>
      <w:r>
        <w:rPr>
          <w:rFonts w:ascii="Arial" w:cs="Arial" w:eastAsia="Arial" w:hAnsi="Arial"/>
          <w:sz w:val="16"/>
          <w:szCs w:val="16"/>
          <w:color w:val="auto"/>
        </w:rPr>
        <w:t>Dr. Cunningham has served as a Non-Executive Director on our Board of Directors since September 2015. Dr. Cunningham has over 30 years’ experience in the pharmaceutical industry including leadership roles at several companies focused on developing respiratory medicines. Between 2006 and 2010, he was at SkyePharma plc, a pharmaceutical company that is now part of Vectura Group plc, initially as Chief Operating Officer and subsequently as Chief Executive Officer where he was involved in the late-stage development of flutiform for asthma. Prior to that, he was the Chief Executive Officer of Arakis Ltd., a pharmaceutical company, from 2001 to 2005, where he was involved in the early clinical development of glcopyrronium bromide, now marketed as Seebri for chronic obstructive pulmonary disease. Earlier in his career, Dr. Cunningham held a variety of clinical development and commercial strategy roles at pharmaceutical companies GlaxoWellcome plc and Warner-Lambert. Dr. Cunningham currently serves as the non- executive chair of the board of directors of Medherant Ltd. He also serves as a non-executive director of Abzena Holdings (US) LLC, of which he was non-executive Chairperson from October 2018 to January 2021, and also previously served on the board of directors of Abzena plc from June 2010 to October 2018. Dr. Cunningham received an M.B.B.S. from St. Mary’s, Imperial College, London University. We believe that Dr. Cunningham’s extensive leadership experience in the pharmaceutical industry qualifies him to serve on our Board of Directors.</w:t>
      </w: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VOTE REQUIRED</w:t>
      </w:r>
    </w:p>
    <w:p>
      <w:pPr>
        <w:spacing w:after="0" w:line="150" w:lineRule="exact"/>
        <w:rPr>
          <w:sz w:val="20"/>
          <w:szCs w:val="20"/>
          <w:color w:val="auto"/>
        </w:rPr>
      </w:pPr>
    </w:p>
    <w:p>
      <w:pPr>
        <w:ind w:left="1200" w:right="699" w:firstLine="341"/>
        <w:spacing w:after="0" w:line="243" w:lineRule="auto"/>
        <w:rPr>
          <w:sz w:val="20"/>
          <w:szCs w:val="20"/>
          <w:color w:val="auto"/>
        </w:rPr>
      </w:pPr>
      <w:r>
        <w:rPr>
          <w:rFonts w:ascii="Arial" w:cs="Arial" w:eastAsia="Arial" w:hAnsi="Arial"/>
          <w:sz w:val="17"/>
          <w:szCs w:val="17"/>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8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RECOMMENDATION OF THE BOARD OF DIRECTORS</w:t>
      </w:r>
    </w:p>
    <w:p>
      <w:pPr>
        <w:spacing w:after="0" w:line="171" w:lineRule="exact"/>
        <w:rPr>
          <w:sz w:val="20"/>
          <w:szCs w:val="20"/>
          <w:color w:val="auto"/>
        </w:rPr>
      </w:pPr>
    </w:p>
    <w:p>
      <w:pPr>
        <w:ind w:left="2420"/>
        <w:spacing w:after="0"/>
        <w:rPr>
          <w:sz w:val="20"/>
          <w:szCs w:val="20"/>
          <w:color w:val="auto"/>
        </w:rPr>
      </w:pPr>
      <w:r>
        <w:rPr>
          <w:rFonts w:ascii="Arial" w:cs="Arial" w:eastAsia="Arial" w:hAnsi="Arial"/>
          <w:sz w:val="15"/>
          <w:szCs w:val="15"/>
          <w:b w:val="1"/>
          <w:bCs w:val="1"/>
          <w:color w:val="auto"/>
        </w:rPr>
        <w:t>The Board of Directors unanimously recommends a vote FOR the re-election of Kenneth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-98425</wp:posOffset>
            </wp:positionV>
            <wp:extent cx="13779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27"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Cunningham, M.D. as a Director of the Company</w:t>
      </w:r>
    </w:p>
    <w:p>
      <w:pPr>
        <w:spacing w:after="0" w:line="25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PROPOSAL 2.</w:t>
      </w:r>
    </w:p>
    <w:p>
      <w:pPr>
        <w:spacing w:after="0" w:line="10"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To re-elect Rishi Gupta as a Director of the Company</w:t>
      </w:r>
    </w:p>
    <w:p>
      <w:pPr>
        <w:spacing w:after="0" w:line="110" w:lineRule="exact"/>
        <w:rPr>
          <w:sz w:val="20"/>
          <w:szCs w:val="20"/>
          <w:color w:val="auto"/>
        </w:rPr>
      </w:pPr>
    </w:p>
    <w:p>
      <w:pPr>
        <w:ind w:left="1200" w:right="699" w:firstLine="341"/>
        <w:spacing w:after="0" w:line="241" w:lineRule="auto"/>
        <w:rPr>
          <w:sz w:val="20"/>
          <w:szCs w:val="20"/>
          <w:color w:val="auto"/>
        </w:rPr>
      </w:pPr>
      <w:r>
        <w:rPr>
          <w:rFonts w:ascii="Arial" w:cs="Arial" w:eastAsia="Arial" w:hAnsi="Arial"/>
          <w:sz w:val="17"/>
          <w:szCs w:val="17"/>
          <w:color w:val="auto"/>
        </w:rPr>
        <w:t>Rishi Gupta, 44, is currently a member of our Board of Directors and has been nominated for re-election as a director. If elected, he will hold office from the date of his election until such annual general meeting of shareholders where he must retire by rotation and offer himself for re- election in accordance with the Articles, or until his earlier death, resignation or removal. Mr. Gupta has agreed to serve if elected, and we have no reason to believe that he will be unable to serve.</w:t>
      </w:r>
    </w:p>
    <w:p>
      <w:pPr>
        <w:spacing w:after="0" w:line="119" w:lineRule="exact"/>
        <w:rPr>
          <w:sz w:val="20"/>
          <w:szCs w:val="20"/>
          <w:color w:val="auto"/>
        </w:rPr>
      </w:pPr>
    </w:p>
    <w:p>
      <w:pPr>
        <w:ind w:left="1200" w:right="819" w:firstLine="341"/>
        <w:spacing w:after="0" w:line="238" w:lineRule="auto"/>
        <w:rPr>
          <w:sz w:val="20"/>
          <w:szCs w:val="20"/>
          <w:color w:val="auto"/>
        </w:rPr>
      </w:pPr>
      <w:r>
        <w:rPr>
          <w:rFonts w:ascii="Arial" w:cs="Arial" w:eastAsia="Arial" w:hAnsi="Arial"/>
          <w:sz w:val="17"/>
          <w:szCs w:val="17"/>
          <w:color w:val="auto"/>
        </w:rPr>
        <w:t>Mr. Gupta has served as a Non-Executive Director on our Board of Directors since July 2016. Since 2002, Mr. Gupta has held various positions at OrbiMed Advisors LLC, an investment firm, where he is currently a Partner. Mr. Gupta currently serves as a director of several private companies. Mr. Gupta previously served on the boards of directors of Dimension Therapeutics, Inc. and NeuroPace, Inc. Prior to OrbiMed, Mr. Gupta was a healthcare investment banker at Raymond James &amp; Associates, served as manager of corporate development at Veritas Medicine, and was a summer associate at Wachtell, Lipton, Rosen &amp; Katz. Mr. Gupta received an A.B. in biochemical sciences from Harvard College and a J.D. from Yale Law School. We believe Mr. Gupta is qualified to serve on our Board of Directors because of his experience in the medical technology field and his experience serving on the boards of public and private companies.</w:t>
      </w:r>
    </w:p>
    <w:p>
      <w:pPr>
        <w:spacing w:after="0" w:line="351"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VOTE REQUIRED</w:t>
      </w:r>
    </w:p>
    <w:p>
      <w:pPr>
        <w:spacing w:after="0" w:line="137" w:lineRule="exact"/>
        <w:rPr>
          <w:sz w:val="20"/>
          <w:szCs w:val="20"/>
          <w:color w:val="auto"/>
        </w:rPr>
      </w:pPr>
    </w:p>
    <w:p>
      <w:pPr>
        <w:ind w:left="1200" w:right="699" w:firstLine="341"/>
        <w:spacing w:after="0" w:line="243" w:lineRule="auto"/>
        <w:rPr>
          <w:sz w:val="20"/>
          <w:szCs w:val="20"/>
          <w:color w:val="auto"/>
        </w:rPr>
      </w:pPr>
      <w:r>
        <w:rPr>
          <w:rFonts w:ascii="Arial" w:cs="Arial" w:eastAsia="Arial" w:hAnsi="Arial"/>
          <w:sz w:val="17"/>
          <w:szCs w:val="17"/>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8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RECOMMENDATION OF THE BOARD OF DIRECTORS</w:t>
      </w:r>
    </w:p>
    <w:p>
      <w:pPr>
        <w:spacing w:after="0" w:line="184" w:lineRule="exact"/>
        <w:rPr>
          <w:sz w:val="20"/>
          <w:szCs w:val="20"/>
          <w:color w:val="auto"/>
        </w:rPr>
      </w:pPr>
    </w:p>
    <w:p>
      <w:pPr>
        <w:ind w:left="2420" w:right="759"/>
        <w:spacing w:after="0" w:line="281" w:lineRule="auto"/>
        <w:rPr>
          <w:sz w:val="20"/>
          <w:szCs w:val="20"/>
          <w:color w:val="auto"/>
        </w:rPr>
      </w:pPr>
      <w:r>
        <w:rPr>
          <w:rFonts w:ascii="Arial" w:cs="Arial" w:eastAsia="Arial" w:hAnsi="Arial"/>
          <w:sz w:val="17"/>
          <w:szCs w:val="17"/>
          <w:b w:val="1"/>
          <w:bCs w:val="1"/>
          <w:color w:val="auto"/>
        </w:rPr>
        <w:t>The Board of Directors unanimously recommends a vote FOR the re-election of Rishi Gupta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-279400</wp:posOffset>
            </wp:positionV>
            <wp:extent cx="13779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17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PROPOSAL 3.</w:t>
      </w:r>
    </w:p>
    <w:p>
      <w:pPr>
        <w:spacing w:after="0" w:line="10"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To re-elect Vikas Sinha as a Director of the Company</w:t>
      </w:r>
    </w:p>
    <w:p>
      <w:pPr>
        <w:spacing w:after="0" w:line="123" w:lineRule="exact"/>
        <w:rPr>
          <w:sz w:val="20"/>
          <w:szCs w:val="20"/>
          <w:color w:val="auto"/>
        </w:rPr>
      </w:pPr>
    </w:p>
    <w:p>
      <w:pPr>
        <w:ind w:left="1200" w:right="739" w:firstLine="341"/>
        <w:spacing w:after="0" w:line="241" w:lineRule="auto"/>
        <w:rPr>
          <w:sz w:val="20"/>
          <w:szCs w:val="20"/>
          <w:color w:val="auto"/>
        </w:rPr>
      </w:pPr>
      <w:r>
        <w:rPr>
          <w:rFonts w:ascii="Arial" w:cs="Arial" w:eastAsia="Arial" w:hAnsi="Arial"/>
          <w:sz w:val="17"/>
          <w:szCs w:val="17"/>
          <w:color w:val="auto"/>
        </w:rPr>
        <w:t>Vikas Sinha, 58, is currently a member of our Board of Directors and has been nominated for re-election as a director. If elected, he will hold office from the date of his election until such annual general meeting of shareholders where he must retire by rotation and offer himself for re- election in accordance with the Articles, or until his earlier death, resignation or removal. Mr. Sinha has agreed to serve if elected, and we have no reason to believe that he will be unable to serve.</w:t>
      </w:r>
    </w:p>
    <w:p>
      <w:pPr>
        <w:spacing w:after="0" w:line="119" w:lineRule="exact"/>
        <w:rPr>
          <w:sz w:val="20"/>
          <w:szCs w:val="20"/>
          <w:color w:val="auto"/>
        </w:rPr>
      </w:pPr>
    </w:p>
    <w:p>
      <w:pPr>
        <w:ind w:left="1200" w:right="739" w:firstLine="341"/>
        <w:spacing w:after="0" w:line="253" w:lineRule="auto"/>
        <w:rPr>
          <w:sz w:val="20"/>
          <w:szCs w:val="20"/>
          <w:color w:val="auto"/>
        </w:rPr>
      </w:pPr>
      <w:r>
        <w:rPr>
          <w:rFonts w:ascii="Arial" w:cs="Arial" w:eastAsia="Arial" w:hAnsi="Arial"/>
          <w:sz w:val="16"/>
          <w:szCs w:val="16"/>
          <w:color w:val="auto"/>
        </w:rPr>
        <w:t>Mr. Sinha has served as a Non-Executive Director on our Board of Directors since September 2016. Mr. Sinha has over 20 years’ experience working in executive finance roles in the life sciences industry. Mr. Sinha is co-founder and has served as the Chief Financial Officer of ElevateBio, Inc., a holding company focused on building cell and gene therapy companies, since February 2018. He has served as President and Chief Financial Officer of AlloVir, Inc., an ElevateBio portfolio company, since September 2018. From September 2005 to December 2016, Mr. Sinha was the Chief Financial Officer of Alexion Pharmaceuticals, Inc., a biotechnology company, where he was responsible for finance, business development, strategy, investor relations and IT. Prior to joining Alexion, Mr. Sinha held various positions with Bayer AG, a pharmaceuticals company, in the United States, Japan, Germany and Canada, including Vice President and Chief Financial Officer of Bayer Pharmaceuticals Corporation in the United States and Vice President and Chief Financial Officer of Bayer Yakuhin Ltd. He currently serves as a member of the board of directors of Allovir and BCLS Acquisition Corp. Mr. Sinha holds a Bachelor of Commerce degree from Tribhuvan University and an M.B.A. from the Asian Institute of Management. He is also a qualified Chartered Accountant from the Institute of Chartered Accountants of India and a Certified Public Accountant in the United States. We believe Mr. Sinha’s experience as a finance professional in the life science industry qualifies him to serve on our Board of Directors.</w:t>
      </w: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VOTE REQUIRED</w:t>
      </w:r>
    </w:p>
    <w:p>
      <w:pPr>
        <w:spacing w:after="0" w:line="137" w:lineRule="exact"/>
        <w:rPr>
          <w:sz w:val="20"/>
          <w:szCs w:val="20"/>
          <w:color w:val="auto"/>
        </w:rPr>
      </w:pPr>
    </w:p>
    <w:p>
      <w:pPr>
        <w:ind w:left="1200" w:right="699" w:firstLine="341"/>
        <w:spacing w:after="0" w:line="243" w:lineRule="auto"/>
        <w:rPr>
          <w:sz w:val="20"/>
          <w:szCs w:val="20"/>
          <w:color w:val="auto"/>
        </w:rPr>
      </w:pPr>
      <w:r>
        <w:rPr>
          <w:rFonts w:ascii="Arial" w:cs="Arial" w:eastAsia="Arial" w:hAnsi="Arial"/>
          <w:sz w:val="17"/>
          <w:szCs w:val="17"/>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8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RECOMMENDATION OF THE BOARD OF DIRECTORS</w:t>
      </w:r>
    </w:p>
    <w:p>
      <w:pPr>
        <w:spacing w:after="0" w:line="184" w:lineRule="exact"/>
        <w:rPr>
          <w:sz w:val="20"/>
          <w:szCs w:val="20"/>
          <w:color w:val="auto"/>
        </w:rPr>
      </w:pPr>
    </w:p>
    <w:p>
      <w:pPr>
        <w:ind w:left="2420" w:right="779"/>
        <w:spacing w:after="0" w:line="281" w:lineRule="auto"/>
        <w:rPr>
          <w:sz w:val="20"/>
          <w:szCs w:val="20"/>
          <w:color w:val="auto"/>
        </w:rPr>
      </w:pPr>
      <w:r>
        <w:rPr>
          <w:rFonts w:ascii="Arial" w:cs="Arial" w:eastAsia="Arial" w:hAnsi="Arial"/>
          <w:sz w:val="17"/>
          <w:szCs w:val="17"/>
          <w:b w:val="1"/>
          <w:bCs w:val="1"/>
          <w:color w:val="auto"/>
        </w:rPr>
        <w:t>The Board of Directors unanimously recommends a vote FOR the re-election of Vikas Sinha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-279400</wp:posOffset>
            </wp:positionV>
            <wp:extent cx="13779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17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PROPOSAL 4.</w:t>
      </w:r>
    </w:p>
    <w:p>
      <w:pPr>
        <w:spacing w:after="0" w:line="10"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To re-elect James Brady as a Director of the Company</w:t>
      </w:r>
    </w:p>
    <w:p>
      <w:pPr>
        <w:spacing w:after="0" w:line="123" w:lineRule="exact"/>
        <w:rPr>
          <w:sz w:val="20"/>
          <w:szCs w:val="20"/>
          <w:color w:val="auto"/>
        </w:rPr>
      </w:pPr>
    </w:p>
    <w:p>
      <w:pPr>
        <w:ind w:left="1200" w:right="699" w:firstLine="341"/>
        <w:spacing w:after="0" w:line="241" w:lineRule="auto"/>
        <w:rPr>
          <w:sz w:val="20"/>
          <w:szCs w:val="20"/>
          <w:color w:val="auto"/>
        </w:rPr>
      </w:pPr>
      <w:r>
        <w:rPr>
          <w:rFonts w:ascii="Arial" w:cs="Arial" w:eastAsia="Arial" w:hAnsi="Arial"/>
          <w:sz w:val="17"/>
          <w:szCs w:val="17"/>
          <w:color w:val="auto"/>
        </w:rPr>
        <w:t>James Brady, 59, is currently a member of our Board of Directors and has been nominated for re-election as a director. If elected, he will hold office from the date of his election until such annual general meeting of shareholders where he must retire by rotation and offer himself for re- election in accordance with the Articles, or until his earlier death, resignation or removal. Mr. Brady has agreed to serve if elected, and we have no reason to believe that he will be unable to serve.</w:t>
      </w:r>
    </w:p>
    <w:p>
      <w:pPr>
        <w:spacing w:after="0" w:line="34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right="759" w:firstLine="341"/>
        <w:spacing w:after="0" w:line="237" w:lineRule="auto"/>
        <w:rPr>
          <w:sz w:val="20"/>
          <w:szCs w:val="20"/>
          <w:color w:val="auto"/>
        </w:rPr>
      </w:pPr>
      <w:r>
        <w:rPr>
          <w:rFonts w:ascii="Arial" w:cs="Arial" w:eastAsia="Arial" w:hAnsi="Arial"/>
          <w:sz w:val="17"/>
          <w:szCs w:val="17"/>
          <w:color w:val="auto"/>
        </w:rPr>
        <w:t>Mr. Brady has served as a Non-Executive Director on our Board of Directors since March 2022. From 1988 to 2018, Mr. Brady served in multiple leadership roles of increasing responsibility for AstraZeneca prior to his retirement in 2018. His more than thirty years of progressive experience at AstraZeneca included successful national, regional and global finance roles in corporate operations, manufacturing, commercial, marketing, market access, audit, international business, and biologics discovery and development. He most recently served as Chief Financial Officer of MedImmune, the biologics discovery and development division of AstraZeneca, from 2013 to 2018. During his tenure at MedImmune, biologics grew to represent more than half of the product development portfolio of AstraZeneca and five biologics were successfully brought to market. Mr. Brady currently serves on the board of directors of Panavance Therapeutics. Mr. Brady is a Certified Public Accountant and previously worked at Arthur Andersen &amp; Company. He holds a B.S. in Accounting from Saint. Joseph University and an MBA from Drexel University. We believe that Mr. Brady’s extensive experience in senior finance roles in the pharmaceutical industry qualifies him to serve on our Board of Directors.</w:t>
      </w:r>
    </w:p>
    <w:p>
      <w:pPr>
        <w:spacing w:after="0" w:line="19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VOTE REQUIRED</w:t>
      </w:r>
    </w:p>
    <w:p>
      <w:pPr>
        <w:spacing w:after="0" w:line="137" w:lineRule="exact"/>
        <w:rPr>
          <w:sz w:val="20"/>
          <w:szCs w:val="20"/>
          <w:color w:val="auto"/>
        </w:rPr>
      </w:pPr>
    </w:p>
    <w:p>
      <w:pPr>
        <w:ind w:left="1200" w:right="699" w:firstLine="341"/>
        <w:spacing w:after="0" w:line="243" w:lineRule="auto"/>
        <w:rPr>
          <w:sz w:val="20"/>
          <w:szCs w:val="20"/>
          <w:color w:val="auto"/>
        </w:rPr>
      </w:pPr>
      <w:r>
        <w:rPr>
          <w:rFonts w:ascii="Arial" w:cs="Arial" w:eastAsia="Arial" w:hAnsi="Arial"/>
          <w:sz w:val="17"/>
          <w:szCs w:val="17"/>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8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RECOMMENDATION OF THE BOARD OF DIRECTORS</w:t>
      </w:r>
    </w:p>
    <w:p>
      <w:pPr>
        <w:spacing w:after="0" w:line="184" w:lineRule="exact"/>
        <w:rPr>
          <w:sz w:val="20"/>
          <w:szCs w:val="20"/>
          <w:color w:val="auto"/>
        </w:rPr>
      </w:pPr>
    </w:p>
    <w:p>
      <w:pPr>
        <w:ind w:left="2420" w:right="699"/>
        <w:spacing w:after="0" w:line="281" w:lineRule="auto"/>
        <w:rPr>
          <w:sz w:val="20"/>
          <w:szCs w:val="20"/>
          <w:color w:val="auto"/>
        </w:rPr>
      </w:pPr>
      <w:r>
        <w:rPr>
          <w:rFonts w:ascii="Arial" w:cs="Arial" w:eastAsia="Arial" w:hAnsi="Arial"/>
          <w:sz w:val="17"/>
          <w:szCs w:val="17"/>
          <w:b w:val="1"/>
          <w:bCs w:val="1"/>
          <w:color w:val="auto"/>
        </w:rPr>
        <w:t>The Board of Directors unanimously recommends a vote FOR the re-election of James Brady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-279400</wp:posOffset>
            </wp:positionV>
            <wp:extent cx="13779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162"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Our Board of Directors</w:t>
      </w:r>
    </w:p>
    <w:p>
      <w:pPr>
        <w:spacing w:after="0" w:line="141" w:lineRule="exact"/>
        <w:rPr>
          <w:sz w:val="20"/>
          <w:szCs w:val="20"/>
          <w:color w:val="auto"/>
        </w:rPr>
      </w:pPr>
    </w:p>
    <w:p>
      <w:pPr>
        <w:ind w:left="1200" w:right="719" w:firstLine="341"/>
        <w:spacing w:after="0" w:line="260" w:lineRule="auto"/>
        <w:rPr>
          <w:sz w:val="20"/>
          <w:szCs w:val="20"/>
          <w:color w:val="auto"/>
        </w:rPr>
      </w:pPr>
      <w:r>
        <w:rPr>
          <w:rFonts w:ascii="Arial" w:cs="Arial" w:eastAsia="Arial" w:hAnsi="Arial"/>
          <w:sz w:val="17"/>
          <w:szCs w:val="17"/>
          <w:color w:val="auto"/>
        </w:rPr>
        <w:t>Our Board of Directors currently consists of eleven members, including one executive director and ten non-executive directors.</w:t>
      </w:r>
    </w:p>
    <w:p>
      <w:pPr>
        <w:spacing w:after="0" w:line="101" w:lineRule="exact"/>
        <w:rPr>
          <w:sz w:val="20"/>
          <w:szCs w:val="20"/>
          <w:color w:val="auto"/>
        </w:rPr>
      </w:pPr>
    </w:p>
    <w:p>
      <w:pPr>
        <w:ind w:left="1200" w:right="979" w:firstLine="341"/>
        <w:spacing w:after="0" w:line="243" w:lineRule="auto"/>
        <w:rPr>
          <w:sz w:val="20"/>
          <w:szCs w:val="20"/>
          <w:color w:val="auto"/>
        </w:rPr>
      </w:pPr>
      <w:r>
        <w:rPr>
          <w:rFonts w:ascii="Arial" w:cs="Arial" w:eastAsia="Arial" w:hAnsi="Arial"/>
          <w:sz w:val="17"/>
          <w:szCs w:val="17"/>
          <w:color w:val="auto"/>
        </w:rPr>
        <w:t>Our Articles of Association require that those directors who were appointed by the Board since our 2021 annual general meeting of shareholders must retire from office and may offer themselves for re-election. Accordingly, James Brady will retire from office and offer himself for re-election by our shareholders at the AGM.</w:t>
      </w:r>
    </w:p>
    <w:p>
      <w:pPr>
        <w:spacing w:after="0" w:line="116" w:lineRule="exact"/>
        <w:rPr>
          <w:sz w:val="20"/>
          <w:szCs w:val="20"/>
          <w:color w:val="auto"/>
        </w:rPr>
      </w:pPr>
    </w:p>
    <w:p>
      <w:pPr>
        <w:ind w:left="1200" w:right="679" w:firstLine="341"/>
        <w:spacing w:after="0" w:line="238" w:lineRule="auto"/>
        <w:rPr>
          <w:sz w:val="20"/>
          <w:szCs w:val="20"/>
          <w:color w:val="auto"/>
        </w:rPr>
      </w:pPr>
      <w:r>
        <w:rPr>
          <w:rFonts w:ascii="Arial" w:cs="Arial" w:eastAsia="Arial" w:hAnsi="Arial"/>
          <w:sz w:val="17"/>
          <w:szCs w:val="17"/>
          <w:color w:val="auto"/>
        </w:rPr>
        <w:t>In accordance with our Articles of Association, one-third (or such number nearest to but not exceeding one-third) of the Company’s directors retire from office at every annual general meeting of shareholders. Retiring directors are eligible for re-election and, if no other director is elected to fill his or her position and the director is willing, shall be re-elected by default. The directors to retire at the annual general in every year shall include (so far as necessary to obtain the number required) any director who wishes to retire and not to offer himself or herself for re-election. Any further directors so to retire shall be the directors who have been longest in office since their last election. As between directors of equal seniority, the directors to retire shall in the absence of agreement be selected from among them by lot. Of the 10 directors subject to retirement by rotation, Kenneth Cunningham, M.D., Rishi Gupta and Vikas Sinha will, on this occasion, retire from office and stand for re-election by our shareholders. Dr. Andrew Sinclair will retire at the conclusion of the AGM and not seek re-election.</w:t>
      </w:r>
    </w:p>
    <w:p>
      <w:pPr>
        <w:spacing w:after="0" w:line="106" w:lineRule="exact"/>
        <w:rPr>
          <w:sz w:val="20"/>
          <w:szCs w:val="20"/>
          <w:color w:val="auto"/>
        </w:rPr>
      </w:pPr>
    </w:p>
    <w:p>
      <w:pPr>
        <w:ind w:left="1200" w:right="659" w:firstLine="341"/>
        <w:spacing w:after="0"/>
        <w:rPr>
          <w:sz w:val="20"/>
          <w:szCs w:val="20"/>
          <w:color w:val="auto"/>
        </w:rPr>
      </w:pPr>
      <w:r>
        <w:rPr>
          <w:rFonts w:ascii="Arial" w:cs="Arial" w:eastAsia="Arial" w:hAnsi="Arial"/>
          <w:sz w:val="17"/>
          <w:szCs w:val="17"/>
          <w:color w:val="auto"/>
        </w:rPr>
        <w:t>Having carried out an evaluation of the individual performance of each of Kenneth Cunningham, M.D., Rishi Gupta, Vikas Sinha and James Brady with the support of the Nomination and Corporate Governance Committee, our Board of Directors is satisfied that their performance continues to be effective and that they continue to demonstrate commitment to their roles. The Board of Directors considers that it is entirely appropriate for each of Kenneth Cunningham, M.D., Rishi Gupta, Vikas Sinha and James Brady to seek re-election at the AGM.</w:t>
      </w:r>
    </w:p>
    <w:p>
      <w:pPr>
        <w:spacing w:after="0" w:line="119" w:lineRule="exact"/>
        <w:rPr>
          <w:sz w:val="20"/>
          <w:szCs w:val="20"/>
          <w:color w:val="auto"/>
        </w:rPr>
      </w:pPr>
    </w:p>
    <w:p>
      <w:pPr>
        <w:ind w:left="1200" w:right="659" w:firstLine="341"/>
        <w:spacing w:after="0" w:line="243" w:lineRule="auto"/>
        <w:rPr>
          <w:sz w:val="20"/>
          <w:szCs w:val="20"/>
          <w:color w:val="auto"/>
        </w:rPr>
      </w:pPr>
      <w:r>
        <w:rPr>
          <w:rFonts w:ascii="Arial" w:cs="Arial" w:eastAsia="Arial" w:hAnsi="Arial"/>
          <w:sz w:val="17"/>
          <w:szCs w:val="17"/>
          <w:color w:val="auto"/>
        </w:rPr>
        <w:t>Each of the above directors has been nominated for re-election and no other nominees for directors have been presented. Therefore, it is anticipated that following the AGM, if all of the above directors are re-elected, the Board of Directors will be comprised of ten members, including one executive director and nine non-executive directors.</w:t>
      </w:r>
    </w:p>
    <w:p>
      <w:pPr>
        <w:spacing w:after="0" w:line="347"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639"/>
        <w:spacing w:after="0"/>
        <w:rPr>
          <w:sz w:val="20"/>
          <w:szCs w:val="20"/>
          <w:color w:val="auto"/>
        </w:rPr>
      </w:pPr>
      <w:r>
        <w:rPr>
          <w:rFonts w:ascii="Arial" w:cs="Arial" w:eastAsia="Arial" w:hAnsi="Arial"/>
          <w:sz w:val="17"/>
          <w:szCs w:val="17"/>
          <w:color w:val="auto"/>
        </w:rPr>
        <w:t>The following table sets forth information regarding our directors as of the date of this proxy statement:</w:t>
      </w:r>
    </w:p>
    <w:p>
      <w:pPr>
        <w:spacing w:after="0" w:line="155" w:lineRule="exact"/>
        <w:rPr>
          <w:sz w:val="20"/>
          <w:szCs w:val="20"/>
          <w:color w:val="auto"/>
        </w:rPr>
      </w:pPr>
    </w:p>
    <w:tbl>
      <w:tblPr>
        <w:tblLayout w:type="fixed"/>
        <w:tblInd w:w="1200" w:type="dxa"/>
        <w:tblCellMar>
          <w:top w:w="0" w:type="dxa"/>
          <w:left w:w="0" w:type="dxa"/>
          <w:bottom w:w="0" w:type="dxa"/>
          <w:right w:w="0" w:type="dxa"/>
        </w:tblCellMar>
      </w:tblPr>
      <w:tr>
        <w:trPr>
          <w:trHeight w:val="175"/>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Age</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Director Since</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w w:val="80"/>
              </w:rPr>
              <w:t>Position(s)</w:t>
            </w:r>
          </w:p>
        </w:tc>
      </w:tr>
      <w:tr>
        <w:trPr>
          <w:trHeight w:val="24"/>
        </w:trPr>
        <w:tc>
          <w:tcPr>
            <w:tcW w:w="2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5"/>
        </w:trPr>
        <w:tc>
          <w:tcPr>
            <w:tcW w:w="3180" w:type="dxa"/>
            <w:vAlign w:val="bottom"/>
            <w:gridSpan w:val="2"/>
          </w:tcPr>
          <w:p>
            <w:pPr>
              <w:spacing w:after="0"/>
              <w:rPr>
                <w:sz w:val="20"/>
                <w:szCs w:val="20"/>
                <w:color w:val="auto"/>
              </w:rPr>
            </w:pPr>
            <w:r>
              <w:rPr>
                <w:rFonts w:ascii="Arial" w:cs="Arial" w:eastAsia="Arial" w:hAnsi="Arial"/>
                <w:sz w:val="17"/>
                <w:szCs w:val="17"/>
                <w:color w:val="auto"/>
              </w:rPr>
              <w:t>David Zaccardelli, Pharm.D.</w:t>
            </w:r>
          </w:p>
        </w:tc>
        <w:tc>
          <w:tcPr>
            <w:tcW w:w="400" w:type="dxa"/>
            <w:vAlign w:val="bottom"/>
          </w:tcPr>
          <w:p>
            <w:pPr>
              <w:ind w:left="100"/>
              <w:spacing w:after="0"/>
              <w:rPr>
                <w:sz w:val="20"/>
                <w:szCs w:val="20"/>
                <w:color w:val="auto"/>
              </w:rPr>
            </w:pPr>
            <w:r>
              <w:rPr>
                <w:rFonts w:ascii="Arial" w:cs="Arial" w:eastAsia="Arial" w:hAnsi="Arial"/>
                <w:sz w:val="17"/>
                <w:szCs w:val="17"/>
                <w:color w:val="auto"/>
              </w:rPr>
              <w:t>57</w:t>
            </w:r>
          </w:p>
        </w:tc>
        <w:tc>
          <w:tcPr>
            <w:tcW w:w="2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9"/>
              </w:rPr>
              <w:t>2020</w:t>
            </w:r>
          </w:p>
        </w:tc>
        <w:tc>
          <w:tcPr>
            <w:tcW w:w="22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7"/>
                <w:szCs w:val="17"/>
                <w:color w:val="auto"/>
                <w:w w:val="98"/>
              </w:rPr>
              <w:t>Chief Executive Officer and Director</w:t>
            </w:r>
          </w:p>
        </w:tc>
      </w:tr>
      <w:tr>
        <w:trPr>
          <w:trHeight w:val="219"/>
        </w:trPr>
        <w:tc>
          <w:tcPr>
            <w:tcW w:w="3180" w:type="dxa"/>
            <w:vAlign w:val="bottom"/>
            <w:gridSpan w:val="2"/>
          </w:tcPr>
          <w:p>
            <w:pPr>
              <w:spacing w:after="0"/>
              <w:rPr>
                <w:sz w:val="20"/>
                <w:szCs w:val="20"/>
                <w:color w:val="auto"/>
              </w:rPr>
            </w:pPr>
            <w:r>
              <w:rPr>
                <w:rFonts w:ascii="Arial" w:cs="Arial" w:eastAsia="Arial" w:hAnsi="Arial"/>
                <w:sz w:val="17"/>
                <w:szCs w:val="17"/>
                <w:color w:val="auto"/>
              </w:rPr>
              <w:t>David Ebsworth, Ph.D.</w:t>
            </w:r>
          </w:p>
        </w:tc>
        <w:tc>
          <w:tcPr>
            <w:tcW w:w="400" w:type="dxa"/>
            <w:vAlign w:val="bottom"/>
          </w:tcPr>
          <w:p>
            <w:pPr>
              <w:ind w:left="100"/>
              <w:spacing w:after="0"/>
              <w:rPr>
                <w:sz w:val="20"/>
                <w:szCs w:val="20"/>
                <w:color w:val="auto"/>
              </w:rPr>
            </w:pPr>
            <w:r>
              <w:rPr>
                <w:rFonts w:ascii="Arial" w:cs="Arial" w:eastAsia="Arial" w:hAnsi="Arial"/>
                <w:sz w:val="17"/>
                <w:szCs w:val="17"/>
                <w:color w:val="auto"/>
              </w:rPr>
              <w:t>67</w:t>
            </w:r>
          </w:p>
        </w:tc>
        <w:tc>
          <w:tcPr>
            <w:tcW w:w="2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9"/>
              </w:rPr>
              <w:t>2014</w:t>
            </w:r>
          </w:p>
        </w:tc>
        <w:tc>
          <w:tcPr>
            <w:tcW w:w="22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Arial" w:cs="Arial" w:eastAsia="Arial" w:hAnsi="Arial"/>
                <w:sz w:val="17"/>
                <w:szCs w:val="17"/>
                <w:color w:val="auto"/>
                <w:w w:val="96"/>
              </w:rPr>
              <w:t>Non-Executive Chairperson of the Board</w:t>
            </w: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7"/>
                <w:szCs w:val="17"/>
                <w:color w:val="auto"/>
                <w:w w:val="98"/>
              </w:rPr>
              <w:t>of Directors</w:t>
            </w:r>
          </w:p>
        </w:tc>
      </w:tr>
      <w:tr>
        <w:trPr>
          <w:trHeight w:val="256"/>
        </w:trPr>
        <w:tc>
          <w:tcPr>
            <w:tcW w:w="3180" w:type="dxa"/>
            <w:vAlign w:val="bottom"/>
            <w:gridSpan w:val="2"/>
          </w:tcPr>
          <w:p>
            <w:pPr>
              <w:spacing w:after="0"/>
              <w:rPr>
                <w:sz w:val="20"/>
                <w:szCs w:val="20"/>
                <w:color w:val="auto"/>
              </w:rPr>
            </w:pPr>
            <w:r>
              <w:rPr>
                <w:rFonts w:ascii="Arial" w:cs="Arial" w:eastAsia="Arial" w:hAnsi="Arial"/>
                <w:sz w:val="17"/>
                <w:szCs w:val="17"/>
                <w:color w:val="auto"/>
              </w:rPr>
              <w:t>James Brady</w:t>
            </w:r>
          </w:p>
        </w:tc>
        <w:tc>
          <w:tcPr>
            <w:tcW w:w="400" w:type="dxa"/>
            <w:vAlign w:val="bottom"/>
          </w:tcPr>
          <w:p>
            <w:pPr>
              <w:ind w:left="100"/>
              <w:spacing w:after="0"/>
              <w:rPr>
                <w:sz w:val="20"/>
                <w:szCs w:val="20"/>
                <w:color w:val="auto"/>
              </w:rPr>
            </w:pPr>
            <w:r>
              <w:rPr>
                <w:rFonts w:ascii="Arial" w:cs="Arial" w:eastAsia="Arial" w:hAnsi="Arial"/>
                <w:sz w:val="17"/>
                <w:szCs w:val="17"/>
                <w:color w:val="auto"/>
              </w:rPr>
              <w:t>59</w:t>
            </w:r>
          </w:p>
        </w:tc>
        <w:tc>
          <w:tcPr>
            <w:tcW w:w="2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9"/>
              </w:rPr>
              <w:t>2022</w:t>
            </w:r>
          </w:p>
        </w:tc>
        <w:tc>
          <w:tcPr>
            <w:tcW w:w="220" w:type="dxa"/>
            <w:vAlign w:val="bottom"/>
          </w:tcPr>
          <w:p>
            <w:pPr>
              <w:spacing w:after="0"/>
              <w:rPr>
                <w:sz w:val="22"/>
                <w:szCs w:val="22"/>
                <w:color w:val="auto"/>
              </w:rPr>
            </w:pPr>
          </w:p>
        </w:tc>
        <w:tc>
          <w:tcPr>
            <w:tcW w:w="2960" w:type="dxa"/>
            <w:vAlign w:val="bottom"/>
          </w:tcPr>
          <w:p>
            <w:pPr>
              <w:jc w:val="center"/>
              <w:spacing w:after="0"/>
              <w:rPr>
                <w:sz w:val="20"/>
                <w:szCs w:val="20"/>
                <w:color w:val="auto"/>
              </w:rPr>
            </w:pPr>
            <w:r>
              <w:rPr>
                <w:rFonts w:ascii="Arial" w:cs="Arial" w:eastAsia="Arial" w:hAnsi="Arial"/>
                <w:sz w:val="17"/>
                <w:szCs w:val="17"/>
                <w:color w:val="auto"/>
                <w:w w:val="97"/>
              </w:rPr>
              <w:t>Non-Executive Director</w:t>
            </w:r>
          </w:p>
        </w:tc>
      </w:tr>
      <w:tr>
        <w:trPr>
          <w:trHeight w:val="243"/>
        </w:trPr>
        <w:tc>
          <w:tcPr>
            <w:tcW w:w="3180" w:type="dxa"/>
            <w:vAlign w:val="bottom"/>
            <w:gridSpan w:val="2"/>
          </w:tcPr>
          <w:p>
            <w:pPr>
              <w:spacing w:after="0"/>
              <w:rPr>
                <w:sz w:val="20"/>
                <w:szCs w:val="20"/>
                <w:color w:val="auto"/>
              </w:rPr>
            </w:pPr>
            <w:r>
              <w:rPr>
                <w:rFonts w:ascii="Arial" w:cs="Arial" w:eastAsia="Arial" w:hAnsi="Arial"/>
                <w:sz w:val="17"/>
                <w:szCs w:val="17"/>
                <w:color w:val="auto"/>
              </w:rPr>
              <w:t>Martin Edwards, M.D.</w:t>
            </w:r>
          </w:p>
        </w:tc>
        <w:tc>
          <w:tcPr>
            <w:tcW w:w="400" w:type="dxa"/>
            <w:vAlign w:val="bottom"/>
          </w:tcPr>
          <w:p>
            <w:pPr>
              <w:ind w:left="100"/>
              <w:spacing w:after="0"/>
              <w:rPr>
                <w:sz w:val="20"/>
                <w:szCs w:val="20"/>
                <w:color w:val="auto"/>
              </w:rPr>
            </w:pPr>
            <w:r>
              <w:rPr>
                <w:rFonts w:ascii="Arial" w:cs="Arial" w:eastAsia="Arial" w:hAnsi="Arial"/>
                <w:sz w:val="17"/>
                <w:szCs w:val="17"/>
                <w:color w:val="auto"/>
              </w:rPr>
              <w:t>66</w:t>
            </w:r>
          </w:p>
        </w:tc>
        <w:tc>
          <w:tcPr>
            <w:tcW w:w="2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9"/>
              </w:rPr>
              <w:t>2019</w:t>
            </w:r>
          </w:p>
        </w:tc>
        <w:tc>
          <w:tcPr>
            <w:tcW w:w="220" w:type="dxa"/>
            <w:vAlign w:val="bottom"/>
          </w:tcPr>
          <w:p>
            <w:pPr>
              <w:spacing w:after="0"/>
              <w:rPr>
                <w:sz w:val="21"/>
                <w:szCs w:val="21"/>
                <w:color w:val="auto"/>
              </w:rPr>
            </w:pPr>
          </w:p>
        </w:tc>
        <w:tc>
          <w:tcPr>
            <w:tcW w:w="2960" w:type="dxa"/>
            <w:vAlign w:val="bottom"/>
          </w:tcPr>
          <w:p>
            <w:pPr>
              <w:jc w:val="center"/>
              <w:spacing w:after="0"/>
              <w:rPr>
                <w:sz w:val="20"/>
                <w:szCs w:val="20"/>
                <w:color w:val="auto"/>
              </w:rPr>
            </w:pPr>
            <w:r>
              <w:rPr>
                <w:rFonts w:ascii="Arial" w:cs="Arial" w:eastAsia="Arial" w:hAnsi="Arial"/>
                <w:sz w:val="17"/>
                <w:szCs w:val="17"/>
                <w:color w:val="auto"/>
                <w:w w:val="97"/>
              </w:rPr>
              <w:t>Non-Executive Director</w:t>
            </w:r>
          </w:p>
        </w:tc>
      </w:tr>
      <w:tr>
        <w:trPr>
          <w:trHeight w:val="256"/>
        </w:trPr>
        <w:tc>
          <w:tcPr>
            <w:tcW w:w="3180" w:type="dxa"/>
            <w:vAlign w:val="bottom"/>
            <w:gridSpan w:val="2"/>
          </w:tcPr>
          <w:p>
            <w:pPr>
              <w:spacing w:after="0"/>
              <w:rPr>
                <w:sz w:val="20"/>
                <w:szCs w:val="20"/>
                <w:color w:val="auto"/>
              </w:rPr>
            </w:pPr>
            <w:r>
              <w:rPr>
                <w:rFonts w:ascii="Arial" w:cs="Arial" w:eastAsia="Arial" w:hAnsi="Arial"/>
                <w:sz w:val="17"/>
                <w:szCs w:val="17"/>
                <w:color w:val="auto"/>
              </w:rPr>
              <w:t>Ken Cunningham, M.D.</w:t>
            </w:r>
          </w:p>
        </w:tc>
        <w:tc>
          <w:tcPr>
            <w:tcW w:w="400" w:type="dxa"/>
            <w:vAlign w:val="bottom"/>
          </w:tcPr>
          <w:p>
            <w:pPr>
              <w:ind w:left="100"/>
              <w:spacing w:after="0"/>
              <w:rPr>
                <w:sz w:val="20"/>
                <w:szCs w:val="20"/>
                <w:color w:val="auto"/>
              </w:rPr>
            </w:pPr>
            <w:r>
              <w:rPr>
                <w:rFonts w:ascii="Arial" w:cs="Arial" w:eastAsia="Arial" w:hAnsi="Arial"/>
                <w:sz w:val="17"/>
                <w:szCs w:val="17"/>
                <w:color w:val="auto"/>
              </w:rPr>
              <w:t>69</w:t>
            </w:r>
          </w:p>
        </w:tc>
        <w:tc>
          <w:tcPr>
            <w:tcW w:w="2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9"/>
              </w:rPr>
              <w:t>2015</w:t>
            </w:r>
          </w:p>
        </w:tc>
        <w:tc>
          <w:tcPr>
            <w:tcW w:w="220" w:type="dxa"/>
            <w:vAlign w:val="bottom"/>
          </w:tcPr>
          <w:p>
            <w:pPr>
              <w:spacing w:after="0"/>
              <w:rPr>
                <w:sz w:val="22"/>
                <w:szCs w:val="22"/>
                <w:color w:val="auto"/>
              </w:rPr>
            </w:pPr>
          </w:p>
        </w:tc>
        <w:tc>
          <w:tcPr>
            <w:tcW w:w="2960" w:type="dxa"/>
            <w:vAlign w:val="bottom"/>
          </w:tcPr>
          <w:p>
            <w:pPr>
              <w:jc w:val="center"/>
              <w:spacing w:after="0"/>
              <w:rPr>
                <w:sz w:val="20"/>
                <w:szCs w:val="20"/>
                <w:color w:val="auto"/>
              </w:rPr>
            </w:pPr>
            <w:r>
              <w:rPr>
                <w:rFonts w:ascii="Arial" w:cs="Arial" w:eastAsia="Arial" w:hAnsi="Arial"/>
                <w:sz w:val="17"/>
                <w:szCs w:val="17"/>
                <w:color w:val="auto"/>
                <w:w w:val="97"/>
              </w:rPr>
              <w:t>Non-Executive Director</w:t>
            </w:r>
          </w:p>
        </w:tc>
      </w:tr>
      <w:tr>
        <w:trPr>
          <w:trHeight w:val="256"/>
        </w:trPr>
        <w:tc>
          <w:tcPr>
            <w:tcW w:w="3180" w:type="dxa"/>
            <w:vAlign w:val="bottom"/>
            <w:gridSpan w:val="2"/>
          </w:tcPr>
          <w:p>
            <w:pPr>
              <w:spacing w:after="0"/>
              <w:rPr>
                <w:sz w:val="20"/>
                <w:szCs w:val="20"/>
                <w:color w:val="auto"/>
              </w:rPr>
            </w:pPr>
            <w:r>
              <w:rPr>
                <w:rFonts w:ascii="Arial" w:cs="Arial" w:eastAsia="Arial" w:hAnsi="Arial"/>
                <w:sz w:val="17"/>
                <w:szCs w:val="17"/>
                <w:color w:val="auto"/>
              </w:rPr>
              <w:t>Lisa Deschamps</w:t>
            </w:r>
          </w:p>
        </w:tc>
        <w:tc>
          <w:tcPr>
            <w:tcW w:w="400" w:type="dxa"/>
            <w:vAlign w:val="bottom"/>
          </w:tcPr>
          <w:p>
            <w:pPr>
              <w:ind w:left="100"/>
              <w:spacing w:after="0"/>
              <w:rPr>
                <w:sz w:val="20"/>
                <w:szCs w:val="20"/>
                <w:color w:val="auto"/>
              </w:rPr>
            </w:pPr>
            <w:r>
              <w:rPr>
                <w:rFonts w:ascii="Arial" w:cs="Arial" w:eastAsia="Arial" w:hAnsi="Arial"/>
                <w:sz w:val="17"/>
                <w:szCs w:val="17"/>
                <w:color w:val="auto"/>
              </w:rPr>
              <w:t>50</w:t>
            </w:r>
          </w:p>
        </w:tc>
        <w:tc>
          <w:tcPr>
            <w:tcW w:w="2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9"/>
              </w:rPr>
              <w:t>2021</w:t>
            </w:r>
          </w:p>
        </w:tc>
        <w:tc>
          <w:tcPr>
            <w:tcW w:w="220" w:type="dxa"/>
            <w:vAlign w:val="bottom"/>
          </w:tcPr>
          <w:p>
            <w:pPr>
              <w:spacing w:after="0"/>
              <w:rPr>
                <w:sz w:val="22"/>
                <w:szCs w:val="22"/>
                <w:color w:val="auto"/>
              </w:rPr>
            </w:pPr>
          </w:p>
        </w:tc>
        <w:tc>
          <w:tcPr>
            <w:tcW w:w="2960" w:type="dxa"/>
            <w:vAlign w:val="bottom"/>
          </w:tcPr>
          <w:p>
            <w:pPr>
              <w:jc w:val="center"/>
              <w:spacing w:after="0"/>
              <w:rPr>
                <w:sz w:val="20"/>
                <w:szCs w:val="20"/>
                <w:color w:val="auto"/>
              </w:rPr>
            </w:pPr>
            <w:r>
              <w:rPr>
                <w:rFonts w:ascii="Arial" w:cs="Arial" w:eastAsia="Arial" w:hAnsi="Arial"/>
                <w:sz w:val="17"/>
                <w:szCs w:val="17"/>
                <w:color w:val="auto"/>
                <w:w w:val="97"/>
              </w:rPr>
              <w:t>Non-Executive Director</w:t>
            </w:r>
          </w:p>
        </w:tc>
      </w:tr>
      <w:tr>
        <w:trPr>
          <w:trHeight w:val="256"/>
        </w:trPr>
        <w:tc>
          <w:tcPr>
            <w:tcW w:w="3180" w:type="dxa"/>
            <w:vAlign w:val="bottom"/>
            <w:gridSpan w:val="2"/>
          </w:tcPr>
          <w:p>
            <w:pPr>
              <w:spacing w:after="0"/>
              <w:rPr>
                <w:sz w:val="20"/>
                <w:szCs w:val="20"/>
                <w:color w:val="auto"/>
              </w:rPr>
            </w:pPr>
            <w:r>
              <w:rPr>
                <w:rFonts w:ascii="Arial" w:cs="Arial" w:eastAsia="Arial" w:hAnsi="Arial"/>
                <w:sz w:val="17"/>
                <w:szCs w:val="17"/>
                <w:color w:val="auto"/>
              </w:rPr>
              <w:t>Rishi Gupta</w:t>
            </w:r>
          </w:p>
        </w:tc>
        <w:tc>
          <w:tcPr>
            <w:tcW w:w="400" w:type="dxa"/>
            <w:vAlign w:val="bottom"/>
          </w:tcPr>
          <w:p>
            <w:pPr>
              <w:ind w:left="100"/>
              <w:spacing w:after="0"/>
              <w:rPr>
                <w:sz w:val="20"/>
                <w:szCs w:val="20"/>
                <w:color w:val="auto"/>
              </w:rPr>
            </w:pPr>
            <w:r>
              <w:rPr>
                <w:rFonts w:ascii="Arial" w:cs="Arial" w:eastAsia="Arial" w:hAnsi="Arial"/>
                <w:sz w:val="17"/>
                <w:szCs w:val="17"/>
                <w:color w:val="auto"/>
              </w:rPr>
              <w:t>44</w:t>
            </w:r>
          </w:p>
        </w:tc>
        <w:tc>
          <w:tcPr>
            <w:tcW w:w="2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9"/>
              </w:rPr>
              <w:t>2016</w:t>
            </w:r>
          </w:p>
        </w:tc>
        <w:tc>
          <w:tcPr>
            <w:tcW w:w="220" w:type="dxa"/>
            <w:vAlign w:val="bottom"/>
          </w:tcPr>
          <w:p>
            <w:pPr>
              <w:spacing w:after="0"/>
              <w:rPr>
                <w:sz w:val="22"/>
                <w:szCs w:val="22"/>
                <w:color w:val="auto"/>
              </w:rPr>
            </w:pPr>
          </w:p>
        </w:tc>
        <w:tc>
          <w:tcPr>
            <w:tcW w:w="2960" w:type="dxa"/>
            <w:vAlign w:val="bottom"/>
          </w:tcPr>
          <w:p>
            <w:pPr>
              <w:jc w:val="center"/>
              <w:spacing w:after="0"/>
              <w:rPr>
                <w:sz w:val="20"/>
                <w:szCs w:val="20"/>
                <w:color w:val="auto"/>
              </w:rPr>
            </w:pPr>
            <w:r>
              <w:rPr>
                <w:rFonts w:ascii="Arial" w:cs="Arial" w:eastAsia="Arial" w:hAnsi="Arial"/>
                <w:sz w:val="17"/>
                <w:szCs w:val="17"/>
                <w:color w:val="auto"/>
                <w:w w:val="97"/>
              </w:rPr>
              <w:t>Non-Executive Director</w:t>
            </w:r>
          </w:p>
        </w:tc>
      </w:tr>
      <w:tr>
        <w:trPr>
          <w:trHeight w:val="256"/>
        </w:trPr>
        <w:tc>
          <w:tcPr>
            <w:tcW w:w="3180" w:type="dxa"/>
            <w:vAlign w:val="bottom"/>
            <w:gridSpan w:val="2"/>
          </w:tcPr>
          <w:p>
            <w:pPr>
              <w:spacing w:after="0"/>
              <w:rPr>
                <w:sz w:val="20"/>
                <w:szCs w:val="20"/>
                <w:color w:val="auto"/>
              </w:rPr>
            </w:pPr>
            <w:r>
              <w:rPr>
                <w:rFonts w:ascii="Arial" w:cs="Arial" w:eastAsia="Arial" w:hAnsi="Arial"/>
                <w:sz w:val="17"/>
                <w:szCs w:val="17"/>
                <w:color w:val="auto"/>
              </w:rPr>
              <w:t>Mahendra Shah, Ph.D.</w:t>
            </w:r>
          </w:p>
        </w:tc>
        <w:tc>
          <w:tcPr>
            <w:tcW w:w="400" w:type="dxa"/>
            <w:vAlign w:val="bottom"/>
          </w:tcPr>
          <w:p>
            <w:pPr>
              <w:ind w:left="100"/>
              <w:spacing w:after="0"/>
              <w:rPr>
                <w:sz w:val="20"/>
                <w:szCs w:val="20"/>
                <w:color w:val="auto"/>
              </w:rPr>
            </w:pPr>
            <w:r>
              <w:rPr>
                <w:rFonts w:ascii="Arial" w:cs="Arial" w:eastAsia="Arial" w:hAnsi="Arial"/>
                <w:sz w:val="17"/>
                <w:szCs w:val="17"/>
                <w:color w:val="auto"/>
              </w:rPr>
              <w:t>77</w:t>
            </w:r>
          </w:p>
        </w:tc>
        <w:tc>
          <w:tcPr>
            <w:tcW w:w="2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9"/>
              </w:rPr>
              <w:t>2016</w:t>
            </w:r>
          </w:p>
        </w:tc>
        <w:tc>
          <w:tcPr>
            <w:tcW w:w="220" w:type="dxa"/>
            <w:vAlign w:val="bottom"/>
          </w:tcPr>
          <w:p>
            <w:pPr>
              <w:spacing w:after="0"/>
              <w:rPr>
                <w:sz w:val="22"/>
                <w:szCs w:val="22"/>
                <w:color w:val="auto"/>
              </w:rPr>
            </w:pPr>
          </w:p>
        </w:tc>
        <w:tc>
          <w:tcPr>
            <w:tcW w:w="2960" w:type="dxa"/>
            <w:vAlign w:val="bottom"/>
          </w:tcPr>
          <w:p>
            <w:pPr>
              <w:jc w:val="center"/>
              <w:spacing w:after="0"/>
              <w:rPr>
                <w:sz w:val="20"/>
                <w:szCs w:val="20"/>
                <w:color w:val="auto"/>
              </w:rPr>
            </w:pPr>
            <w:r>
              <w:rPr>
                <w:rFonts w:ascii="Arial" w:cs="Arial" w:eastAsia="Arial" w:hAnsi="Arial"/>
                <w:sz w:val="17"/>
                <w:szCs w:val="17"/>
                <w:color w:val="auto"/>
                <w:w w:val="97"/>
              </w:rPr>
              <w:t>Non-Executive Director</w:t>
            </w:r>
          </w:p>
        </w:tc>
      </w:tr>
      <w:tr>
        <w:trPr>
          <w:trHeight w:val="256"/>
        </w:trPr>
        <w:tc>
          <w:tcPr>
            <w:tcW w:w="3180" w:type="dxa"/>
            <w:vAlign w:val="bottom"/>
            <w:gridSpan w:val="2"/>
          </w:tcPr>
          <w:p>
            <w:pPr>
              <w:spacing w:after="0"/>
              <w:rPr>
                <w:sz w:val="20"/>
                <w:szCs w:val="20"/>
                <w:color w:val="auto"/>
              </w:rPr>
            </w:pPr>
            <w:r>
              <w:rPr>
                <w:rFonts w:ascii="Arial" w:cs="Arial" w:eastAsia="Arial" w:hAnsi="Arial"/>
                <w:sz w:val="17"/>
                <w:szCs w:val="17"/>
                <w:color w:val="auto"/>
              </w:rPr>
              <w:t>Andrew Sinclair, Ph.D.*</w:t>
            </w:r>
          </w:p>
        </w:tc>
        <w:tc>
          <w:tcPr>
            <w:tcW w:w="400" w:type="dxa"/>
            <w:vAlign w:val="bottom"/>
          </w:tcPr>
          <w:p>
            <w:pPr>
              <w:ind w:left="100"/>
              <w:spacing w:after="0"/>
              <w:rPr>
                <w:sz w:val="20"/>
                <w:szCs w:val="20"/>
                <w:color w:val="auto"/>
              </w:rPr>
            </w:pPr>
            <w:r>
              <w:rPr>
                <w:rFonts w:ascii="Arial" w:cs="Arial" w:eastAsia="Arial" w:hAnsi="Arial"/>
                <w:sz w:val="17"/>
                <w:szCs w:val="17"/>
                <w:color w:val="auto"/>
              </w:rPr>
              <w:t>50</w:t>
            </w:r>
          </w:p>
        </w:tc>
        <w:tc>
          <w:tcPr>
            <w:tcW w:w="2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9"/>
              </w:rPr>
              <w:t>2016</w:t>
            </w:r>
          </w:p>
        </w:tc>
        <w:tc>
          <w:tcPr>
            <w:tcW w:w="220" w:type="dxa"/>
            <w:vAlign w:val="bottom"/>
          </w:tcPr>
          <w:p>
            <w:pPr>
              <w:spacing w:after="0"/>
              <w:rPr>
                <w:sz w:val="22"/>
                <w:szCs w:val="22"/>
                <w:color w:val="auto"/>
              </w:rPr>
            </w:pPr>
          </w:p>
        </w:tc>
        <w:tc>
          <w:tcPr>
            <w:tcW w:w="2960" w:type="dxa"/>
            <w:vAlign w:val="bottom"/>
          </w:tcPr>
          <w:p>
            <w:pPr>
              <w:jc w:val="center"/>
              <w:spacing w:after="0"/>
              <w:rPr>
                <w:sz w:val="20"/>
                <w:szCs w:val="20"/>
                <w:color w:val="auto"/>
              </w:rPr>
            </w:pPr>
            <w:r>
              <w:rPr>
                <w:rFonts w:ascii="Arial" w:cs="Arial" w:eastAsia="Arial" w:hAnsi="Arial"/>
                <w:sz w:val="17"/>
                <w:szCs w:val="17"/>
                <w:color w:val="auto"/>
                <w:w w:val="97"/>
              </w:rPr>
              <w:t>Non-Executive Director</w:t>
            </w:r>
          </w:p>
        </w:tc>
      </w:tr>
      <w:tr>
        <w:trPr>
          <w:trHeight w:val="256"/>
        </w:trPr>
        <w:tc>
          <w:tcPr>
            <w:tcW w:w="3180" w:type="dxa"/>
            <w:vAlign w:val="bottom"/>
            <w:gridSpan w:val="2"/>
          </w:tcPr>
          <w:p>
            <w:pPr>
              <w:spacing w:after="0"/>
              <w:rPr>
                <w:sz w:val="20"/>
                <w:szCs w:val="20"/>
                <w:color w:val="auto"/>
              </w:rPr>
            </w:pPr>
            <w:r>
              <w:rPr>
                <w:rFonts w:ascii="Arial" w:cs="Arial" w:eastAsia="Arial" w:hAnsi="Arial"/>
                <w:sz w:val="17"/>
                <w:szCs w:val="17"/>
                <w:color w:val="auto"/>
              </w:rPr>
              <w:t>Vikas Sinha</w:t>
            </w:r>
          </w:p>
        </w:tc>
        <w:tc>
          <w:tcPr>
            <w:tcW w:w="400" w:type="dxa"/>
            <w:vAlign w:val="bottom"/>
          </w:tcPr>
          <w:p>
            <w:pPr>
              <w:ind w:left="100"/>
              <w:spacing w:after="0"/>
              <w:rPr>
                <w:sz w:val="20"/>
                <w:szCs w:val="20"/>
                <w:color w:val="auto"/>
              </w:rPr>
            </w:pPr>
            <w:r>
              <w:rPr>
                <w:rFonts w:ascii="Arial" w:cs="Arial" w:eastAsia="Arial" w:hAnsi="Arial"/>
                <w:sz w:val="17"/>
                <w:szCs w:val="17"/>
                <w:color w:val="auto"/>
              </w:rPr>
              <w:t>58</w:t>
            </w:r>
          </w:p>
        </w:tc>
        <w:tc>
          <w:tcPr>
            <w:tcW w:w="2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9"/>
              </w:rPr>
              <w:t>2016</w:t>
            </w:r>
          </w:p>
        </w:tc>
        <w:tc>
          <w:tcPr>
            <w:tcW w:w="220" w:type="dxa"/>
            <w:vAlign w:val="bottom"/>
          </w:tcPr>
          <w:p>
            <w:pPr>
              <w:spacing w:after="0"/>
              <w:rPr>
                <w:sz w:val="22"/>
                <w:szCs w:val="22"/>
                <w:color w:val="auto"/>
              </w:rPr>
            </w:pPr>
          </w:p>
        </w:tc>
        <w:tc>
          <w:tcPr>
            <w:tcW w:w="2960" w:type="dxa"/>
            <w:vAlign w:val="bottom"/>
          </w:tcPr>
          <w:p>
            <w:pPr>
              <w:jc w:val="center"/>
              <w:spacing w:after="0"/>
              <w:rPr>
                <w:sz w:val="20"/>
                <w:szCs w:val="20"/>
                <w:color w:val="auto"/>
              </w:rPr>
            </w:pPr>
            <w:r>
              <w:rPr>
                <w:rFonts w:ascii="Arial" w:cs="Arial" w:eastAsia="Arial" w:hAnsi="Arial"/>
                <w:sz w:val="17"/>
                <w:szCs w:val="17"/>
                <w:color w:val="auto"/>
                <w:w w:val="97"/>
              </w:rPr>
              <w:t>Non-Executive Director</w:t>
            </w:r>
          </w:p>
        </w:tc>
      </w:tr>
      <w:tr>
        <w:trPr>
          <w:trHeight w:val="256"/>
        </w:trPr>
        <w:tc>
          <w:tcPr>
            <w:tcW w:w="3180" w:type="dxa"/>
            <w:vAlign w:val="bottom"/>
            <w:gridSpan w:val="2"/>
          </w:tcPr>
          <w:p>
            <w:pPr>
              <w:spacing w:after="0"/>
              <w:rPr>
                <w:sz w:val="20"/>
                <w:szCs w:val="20"/>
                <w:color w:val="auto"/>
              </w:rPr>
            </w:pPr>
            <w:r>
              <w:rPr>
                <w:rFonts w:ascii="Arial" w:cs="Arial" w:eastAsia="Arial" w:hAnsi="Arial"/>
                <w:sz w:val="17"/>
                <w:szCs w:val="17"/>
                <w:color w:val="auto"/>
              </w:rPr>
              <w:t>Anders Ullman, M.D., Ph.D.</w:t>
            </w:r>
          </w:p>
        </w:tc>
        <w:tc>
          <w:tcPr>
            <w:tcW w:w="400" w:type="dxa"/>
            <w:vAlign w:val="bottom"/>
          </w:tcPr>
          <w:p>
            <w:pPr>
              <w:ind w:left="100"/>
              <w:spacing w:after="0"/>
              <w:rPr>
                <w:sz w:val="20"/>
                <w:szCs w:val="20"/>
                <w:color w:val="auto"/>
              </w:rPr>
            </w:pPr>
            <w:r>
              <w:rPr>
                <w:rFonts w:ascii="Arial" w:cs="Arial" w:eastAsia="Arial" w:hAnsi="Arial"/>
                <w:sz w:val="17"/>
                <w:szCs w:val="17"/>
                <w:color w:val="auto"/>
              </w:rPr>
              <w:t>66</w:t>
            </w:r>
          </w:p>
        </w:tc>
        <w:tc>
          <w:tcPr>
            <w:tcW w:w="2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9"/>
              </w:rPr>
              <w:t>2015</w:t>
            </w:r>
          </w:p>
        </w:tc>
        <w:tc>
          <w:tcPr>
            <w:tcW w:w="220" w:type="dxa"/>
            <w:vAlign w:val="bottom"/>
          </w:tcPr>
          <w:p>
            <w:pPr>
              <w:spacing w:after="0"/>
              <w:rPr>
                <w:sz w:val="22"/>
                <w:szCs w:val="22"/>
                <w:color w:val="auto"/>
              </w:rPr>
            </w:pPr>
          </w:p>
        </w:tc>
        <w:tc>
          <w:tcPr>
            <w:tcW w:w="2960" w:type="dxa"/>
            <w:vAlign w:val="bottom"/>
          </w:tcPr>
          <w:p>
            <w:pPr>
              <w:jc w:val="center"/>
              <w:spacing w:after="0"/>
              <w:rPr>
                <w:sz w:val="20"/>
                <w:szCs w:val="20"/>
                <w:color w:val="auto"/>
              </w:rPr>
            </w:pPr>
            <w:r>
              <w:rPr>
                <w:rFonts w:ascii="Arial" w:cs="Arial" w:eastAsia="Arial" w:hAnsi="Arial"/>
                <w:sz w:val="17"/>
                <w:szCs w:val="17"/>
                <w:color w:val="auto"/>
                <w:w w:val="97"/>
              </w:rPr>
              <w:t>Non-Executive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146685</wp:posOffset>
            </wp:positionV>
            <wp:extent cx="11696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340" w:lineRule="exact"/>
        <w:rPr>
          <w:sz w:val="20"/>
          <w:szCs w:val="20"/>
          <w:color w:val="auto"/>
        </w:rPr>
      </w:pPr>
    </w:p>
    <w:p>
      <w:pPr>
        <w:ind w:left="1540" w:hanging="344"/>
        <w:spacing w:after="0"/>
        <w:tabs>
          <w:tab w:leader="none" w:pos="1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Dr. Sinclair will retire at the conclusion of the AGM and not seek re-election.</w:t>
      </w:r>
    </w:p>
    <w:p>
      <w:pPr>
        <w:spacing w:after="0" w:line="150" w:lineRule="exact"/>
        <w:rPr>
          <w:sz w:val="20"/>
          <w:szCs w:val="20"/>
          <w:color w:val="auto"/>
        </w:rPr>
      </w:pPr>
    </w:p>
    <w:p>
      <w:pPr>
        <w:ind w:left="1200" w:right="759" w:firstLine="341"/>
        <w:spacing w:after="0"/>
        <w:rPr>
          <w:sz w:val="20"/>
          <w:szCs w:val="20"/>
          <w:color w:val="auto"/>
        </w:rPr>
      </w:pPr>
      <w:r>
        <w:rPr>
          <w:rFonts w:ascii="Arial" w:cs="Arial" w:eastAsia="Arial" w:hAnsi="Arial"/>
          <w:sz w:val="17"/>
          <w:szCs w:val="17"/>
          <w:color w:val="auto"/>
        </w:rPr>
        <w:t xml:space="preserve">Biographical information for </w:t>
      </w:r>
      <w:r>
        <w:rPr>
          <w:rFonts w:ascii="Arial" w:cs="Arial" w:eastAsia="Arial" w:hAnsi="Arial"/>
          <w:sz w:val="17"/>
          <w:szCs w:val="17"/>
          <w:i w:val="1"/>
          <w:iCs w:val="1"/>
          <w:color w:val="auto"/>
        </w:rPr>
        <w:t>Kenneth Cunningham, Rishi Gupta, Vikas Sinha and James Brady</w:t>
      </w:r>
      <w:r>
        <w:rPr>
          <w:rFonts w:ascii="Arial" w:cs="Arial" w:eastAsia="Arial" w:hAnsi="Arial"/>
          <w:sz w:val="17"/>
          <w:szCs w:val="17"/>
          <w:color w:val="auto"/>
        </w:rPr>
        <w:t xml:space="preserve"> , nominees to our Board of Directors, is set forth in </w:t>
      </w:r>
      <w:r>
        <w:rPr>
          <w:rFonts w:ascii="Arial" w:cs="Arial" w:eastAsia="Arial" w:hAnsi="Arial"/>
          <w:sz w:val="17"/>
          <w:szCs w:val="17"/>
          <w:i w:val="1"/>
          <w:iCs w:val="1"/>
          <w:color w:val="auto"/>
        </w:rPr>
        <w:t>“Proposal 1 — To re -elect Kenneth Cunningham as 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Director of the Company,” “Proposal 2 — To re-elect Rishi Gupta as a Director of the Company,” “Proposal 3 — To re-elect Vikas Sinha as a Director of the Company,” and “Proposal 4 — To re-elect James Brady as a Director of the Company,” </w:t>
      </w:r>
      <w:r>
        <w:rPr>
          <w:rFonts w:ascii="Arial" w:cs="Arial" w:eastAsia="Arial" w:hAnsi="Arial"/>
          <w:sz w:val="17"/>
          <w:szCs w:val="17"/>
          <w:color w:val="auto"/>
        </w:rPr>
        <w:t>respectively. Biographical information for our other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is set forth below under </w:t>
      </w:r>
      <w:r>
        <w:rPr>
          <w:rFonts w:ascii="Arial" w:cs="Arial" w:eastAsia="Arial" w:hAnsi="Arial"/>
          <w:sz w:val="17"/>
          <w:szCs w:val="17"/>
          <w:i w:val="1"/>
          <w:iCs w:val="1"/>
          <w:color w:val="auto"/>
        </w:rPr>
        <w:t>“Continuing Members of the Board of Directors</w:t>
      </w:r>
      <w:r>
        <w:rPr>
          <w:rFonts w:ascii="Arial" w:cs="Arial" w:eastAsia="Arial" w:hAnsi="Arial"/>
          <w:sz w:val="17"/>
          <w:szCs w:val="17"/>
          <w:color w:val="auto"/>
        </w:rPr>
        <w:t>.”</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CONTINUING MEMBERS OF THE BOARD OF DIRECTORS</w:t>
      </w:r>
    </w:p>
    <w:p>
      <w:pPr>
        <w:spacing w:after="0" w:line="150" w:lineRule="exact"/>
        <w:rPr>
          <w:sz w:val="20"/>
          <w:szCs w:val="20"/>
          <w:color w:val="auto"/>
        </w:rPr>
      </w:pPr>
    </w:p>
    <w:p>
      <w:pPr>
        <w:ind w:left="1200" w:right="759" w:firstLine="341"/>
        <w:spacing w:after="0" w:line="260" w:lineRule="auto"/>
        <w:rPr>
          <w:sz w:val="20"/>
          <w:szCs w:val="20"/>
          <w:color w:val="auto"/>
        </w:rPr>
      </w:pPr>
      <w:r>
        <w:rPr>
          <w:rFonts w:ascii="Arial" w:cs="Arial" w:eastAsia="Arial" w:hAnsi="Arial"/>
          <w:sz w:val="17"/>
          <w:szCs w:val="17"/>
          <w:color w:val="auto"/>
        </w:rPr>
        <w:t>Below is biographical information for those directors who are not standing for re-election at the AGM and who will continue on the Board of Directors following the AGM:</w:t>
      </w:r>
    </w:p>
    <w:p>
      <w:pPr>
        <w:spacing w:after="0" w:line="88" w:lineRule="exact"/>
        <w:rPr>
          <w:sz w:val="20"/>
          <w:szCs w:val="20"/>
          <w:color w:val="auto"/>
        </w:rPr>
      </w:pPr>
    </w:p>
    <w:p>
      <w:pPr>
        <w:ind w:left="1200" w:right="659" w:firstLine="341"/>
        <w:spacing w:after="0" w:line="268" w:lineRule="auto"/>
        <w:rPr>
          <w:sz w:val="20"/>
          <w:szCs w:val="20"/>
          <w:color w:val="auto"/>
        </w:rPr>
      </w:pPr>
      <w:r>
        <w:rPr>
          <w:rFonts w:ascii="Arial" w:cs="Arial" w:eastAsia="Arial" w:hAnsi="Arial"/>
          <w:sz w:val="16"/>
          <w:szCs w:val="16"/>
          <w:b w:val="1"/>
          <w:bCs w:val="1"/>
          <w:i w:val="1"/>
          <w:iCs w:val="1"/>
          <w:color w:val="auto"/>
        </w:rPr>
        <w:t xml:space="preserve">David Zaccardelli, Pharm.D. </w:t>
      </w:r>
      <w:r>
        <w:rPr>
          <w:rFonts w:ascii="Arial" w:cs="Arial" w:eastAsia="Arial" w:hAnsi="Arial"/>
          <w:sz w:val="16"/>
          <w:szCs w:val="16"/>
          <w:color w:val="auto"/>
        </w:rPr>
        <w:t>Dr. Zaccardelli has served as our President and Chief Executive Officer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our Board of Directors since February 2020. From December 2018 until its acquisition by Swedish Orphan Biovitrum in November 2019, Dr. Zaccardelli served as President and CEO of Dova Pharmaceuticals, a U.S. company developing therapeutics for rare diseases. Previously, he was Acting CEO of Cempra Pharmaceuticals, a pharmaceuticals company, from December 2016 until the company’s merger with Melinta Therapeutics in November 2017. From 2004 until 2016, Dr. Zaccardelli served in several senior management roles at United Therapeutics Corporation, a biotechnology company, including as Chief Operating Officer, Chief Manufacturing Officer and Executive Vice President, Pharmaceutical Development and Operations. Prior to United Therapeutics, he founded and led a start-up company focused on contract research positions and held a variety of clinical research positions at Burroughs Wellcome &amp; Co, a non-profit medical research organization, and pharmaceutical companies Glaxo Wellcome and Bausch &amp; Lomb Pharmaceutical. Dr. Zaccardelli received a Pharm.D. from the University of Michigan. We believe that</w:t>
      </w:r>
    </w:p>
    <w:p>
      <w:pPr>
        <w:spacing w:after="0" w:line="2" w:lineRule="exact"/>
        <w:rPr>
          <w:sz w:val="20"/>
          <w:szCs w:val="20"/>
          <w:color w:val="auto"/>
        </w:rPr>
      </w:pPr>
    </w:p>
    <w:p>
      <w:pPr>
        <w:ind w:left="1200" w:right="859"/>
        <w:spacing w:after="0" w:line="262" w:lineRule="auto"/>
        <w:rPr>
          <w:sz w:val="20"/>
          <w:szCs w:val="20"/>
          <w:color w:val="auto"/>
        </w:rPr>
      </w:pPr>
      <w:r>
        <w:rPr>
          <w:rFonts w:ascii="Arial" w:cs="Arial" w:eastAsia="Arial" w:hAnsi="Arial"/>
          <w:sz w:val="17"/>
          <w:szCs w:val="17"/>
          <w:color w:val="auto"/>
        </w:rPr>
        <w:t>Dr. Zaccardelli’s extensive leadership experience in the pharmaceutical industry qualifies him to serve on our Board of Directors.</w:t>
      </w:r>
    </w:p>
    <w:p>
      <w:pPr>
        <w:spacing w:after="0" w:line="112" w:lineRule="exact"/>
        <w:rPr>
          <w:sz w:val="20"/>
          <w:szCs w:val="20"/>
          <w:color w:val="auto"/>
        </w:rPr>
      </w:pPr>
    </w:p>
    <w:p>
      <w:pPr>
        <w:ind w:left="1200" w:right="699" w:firstLine="341"/>
        <w:spacing w:after="0" w:line="272" w:lineRule="auto"/>
        <w:rPr>
          <w:sz w:val="20"/>
          <w:szCs w:val="20"/>
          <w:color w:val="auto"/>
        </w:rPr>
      </w:pPr>
      <w:r>
        <w:rPr>
          <w:rFonts w:ascii="Arial" w:cs="Arial" w:eastAsia="Arial" w:hAnsi="Arial"/>
          <w:sz w:val="16"/>
          <w:szCs w:val="16"/>
          <w:b w:val="1"/>
          <w:bCs w:val="1"/>
          <w:i w:val="1"/>
          <w:iCs w:val="1"/>
          <w:color w:val="auto"/>
        </w:rPr>
        <w:t xml:space="preserve">David Ebsworth, Ph.D. </w:t>
      </w:r>
      <w:r>
        <w:rPr>
          <w:rFonts w:ascii="Arial" w:cs="Arial" w:eastAsia="Arial" w:hAnsi="Arial"/>
          <w:sz w:val="16"/>
          <w:szCs w:val="16"/>
          <w:color w:val="auto"/>
        </w:rPr>
        <w:t>Dr. Ebsworth has served as the Non-Executive Chairperson of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since December 2014. Dr. Ebsworth has served as a Visiting Professor at the University of Surrey Business School since April 2016. From October 2009 to August 2014, Dr. Ebsworth served as Chief Executive Officer of Vifor Pharma, the specialty pharma division of Galenica AG Group, a pharmaceutical wholesaler and retailer, and as a member of Galenica’s Executive Committee. In 2012, Dr. Ebsworth was also named as Chief Executive Officer of Galenica and as Chairperson of Galenica’s Executive Committee, positions he held until August 2014. From 2009 to 2014, he was the Chief Executive Officer of Vifor Pharma AG, a pharmaceutical company. In his earlier career, Dr. Ebsworth worked with Bayer AG for over 19 years, heading the Canadian, North American and global pharmaceutical business. He also served as</w:t>
      </w:r>
    </w:p>
    <w:p>
      <w:pPr>
        <w:spacing w:after="0" w:line="336"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21" w:name="page22"/>
    <w:bookmarkEnd w:id="21"/>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right="639"/>
        <w:spacing w:after="0" w:line="258" w:lineRule="auto"/>
        <w:rPr>
          <w:sz w:val="20"/>
          <w:szCs w:val="20"/>
          <w:color w:val="auto"/>
        </w:rPr>
      </w:pPr>
      <w:r>
        <w:rPr>
          <w:rFonts w:ascii="Arial" w:cs="Arial" w:eastAsia="Arial" w:hAnsi="Arial"/>
          <w:sz w:val="16"/>
          <w:szCs w:val="16"/>
          <w:color w:val="auto"/>
        </w:rPr>
        <w:t>Chief Executive Officer of Oxford Glycosciences, a biotech company, listed on the London Stock Exchange and Nasdaq, which was acquired by Celltech plc (now part of UCB, a global biopharmaceutical company) in 2003. Dr. Ebsworth has served on the boards of directors of Sartorius AG since January 2020 and Synlab AG since January 2021. Dr. Ebsworth received a B.Sc. and a Ph.D. in industrial relations from the University of Surrey. We believe that Dr. Ebsworth’s extensive experience in the pharmaceutical industry and his extensive leadership experience qualify him to serve on our Board of Directors.</w:t>
      </w:r>
    </w:p>
    <w:p>
      <w:pPr>
        <w:spacing w:after="0" w:line="92" w:lineRule="exact"/>
        <w:rPr>
          <w:sz w:val="20"/>
          <w:szCs w:val="20"/>
          <w:color w:val="auto"/>
        </w:rPr>
      </w:pPr>
    </w:p>
    <w:p>
      <w:pPr>
        <w:ind w:left="1200" w:right="679" w:firstLine="341"/>
        <w:spacing w:after="0" w:line="253" w:lineRule="auto"/>
        <w:rPr>
          <w:sz w:val="20"/>
          <w:szCs w:val="20"/>
          <w:color w:val="auto"/>
        </w:rPr>
      </w:pPr>
      <w:r>
        <w:rPr>
          <w:rFonts w:ascii="Arial" w:cs="Arial" w:eastAsia="Arial" w:hAnsi="Arial"/>
          <w:sz w:val="16"/>
          <w:szCs w:val="16"/>
          <w:b w:val="1"/>
          <w:bCs w:val="1"/>
          <w:i w:val="1"/>
          <w:iCs w:val="1"/>
          <w:color w:val="auto"/>
        </w:rPr>
        <w:t xml:space="preserve">Martin Edwards, M.D. </w:t>
      </w:r>
      <w:r>
        <w:rPr>
          <w:rFonts w:ascii="Arial" w:cs="Arial" w:eastAsia="Arial" w:hAnsi="Arial"/>
          <w:sz w:val="16"/>
          <w:szCs w:val="16"/>
          <w:color w:val="auto"/>
        </w:rPr>
        <w:t>Dr. Edwards has served as a Non-Executive Director on our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April 2019. From 2003 to September 2020, Dr. Edwards held various positions at Novo Ventures, a life sciences investment firm, most recently as Senior Partner. Earlier in his career, he was Corporate VP and Global Head of Drug Development for Novo Nordisk, where he led all aspects of pre-clinical and clinical drug development. Dr. Edwards currently serves on the boards of directors of Inozyme Pharma, KalVista Pharmaceuticals, Reata Pharmaceuticals, and Morphic Therapeutics, and previously served on the board of directors of CoLucid Pharmaceuticals from August 2014 to January 2017. Dr. Edwards trained in physiology and medicine at the University of Manchester. He is a Member of the Royal College of Physicians, a Member with distinction of the Royal College of General Practitioners, a Fellow of the Faculty of Pharmaceutical Medicine. He received his B.Sc. in physiology and MBChB in medicine from the University of Manchester and his M.B.A from the University of Warwick. We believe that Dr. Edward’s extensive experience in the pharmaceuticals industry and his experience in serving on the boards of public and private companies qualify him to serve on our Board of Directors.</w:t>
      </w:r>
    </w:p>
    <w:p>
      <w:pPr>
        <w:spacing w:after="0" w:line="114" w:lineRule="exact"/>
        <w:rPr>
          <w:sz w:val="20"/>
          <w:szCs w:val="20"/>
          <w:color w:val="auto"/>
        </w:rPr>
      </w:pPr>
    </w:p>
    <w:p>
      <w:pPr>
        <w:ind w:left="1200" w:right="639" w:firstLine="341"/>
        <w:spacing w:after="0" w:line="254" w:lineRule="auto"/>
        <w:rPr>
          <w:sz w:val="20"/>
          <w:szCs w:val="20"/>
          <w:color w:val="auto"/>
        </w:rPr>
      </w:pPr>
      <w:r>
        <w:rPr>
          <w:rFonts w:ascii="Arial" w:cs="Arial" w:eastAsia="Arial" w:hAnsi="Arial"/>
          <w:sz w:val="16"/>
          <w:szCs w:val="16"/>
          <w:b w:val="1"/>
          <w:bCs w:val="1"/>
          <w:i w:val="1"/>
          <w:iCs w:val="1"/>
          <w:color w:val="auto"/>
        </w:rPr>
        <w:t xml:space="preserve">Lisa Deschamps </w:t>
      </w:r>
      <w:r>
        <w:rPr>
          <w:rFonts w:ascii="Arial" w:cs="Arial" w:eastAsia="Arial" w:hAnsi="Arial"/>
          <w:sz w:val="16"/>
          <w:szCs w:val="16"/>
          <w:color w:val="auto"/>
        </w:rPr>
        <w:t>Ms. Deschamps has served as a Non-Executive Director on our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March 2021. Ms. Deschamps has served as Chief Executive Officer and an executive board member of AviadoBIO, a private gene therapy company, since October 2021. From December 1995 to October 2021, Ms. Deschamps served in various roles at Novartis Pharmaceuticals, a global healthcare company, most recently from September 2019 as the Senior Vice President &amp; Chief Business Officer of AveXis, a biotechnology company that develops treatments for rare neurological genetic disorders, a subsidiary of Novartis and which was renamed Novartis Gene Therapies in September 2020. Ms. Deschamps has an M.B.A. in General Management from NYU Stern School of Business and a B.B.A. in marketing from IONA College, Hagan School of Business. We believe that Ms. Deschamp’s extensive leadership experience in the healthcare industry qualifies her to serve on our Board of Directors.</w:t>
      </w:r>
    </w:p>
    <w:p>
      <w:pPr>
        <w:spacing w:after="0" w:line="112" w:lineRule="exact"/>
        <w:rPr>
          <w:sz w:val="20"/>
          <w:szCs w:val="20"/>
          <w:color w:val="auto"/>
        </w:rPr>
      </w:pPr>
    </w:p>
    <w:p>
      <w:pPr>
        <w:ind w:left="1200" w:right="639" w:firstLine="341"/>
        <w:spacing w:after="0" w:line="269" w:lineRule="auto"/>
        <w:rPr>
          <w:sz w:val="20"/>
          <w:szCs w:val="20"/>
          <w:color w:val="auto"/>
        </w:rPr>
      </w:pPr>
      <w:r>
        <w:rPr>
          <w:rFonts w:ascii="Arial" w:cs="Arial" w:eastAsia="Arial" w:hAnsi="Arial"/>
          <w:sz w:val="16"/>
          <w:szCs w:val="16"/>
          <w:b w:val="1"/>
          <w:bCs w:val="1"/>
          <w:i w:val="1"/>
          <w:iCs w:val="1"/>
          <w:color w:val="auto"/>
        </w:rPr>
        <w:t xml:space="preserve">Mahendra Shah, Ph.D. </w:t>
      </w:r>
      <w:r>
        <w:rPr>
          <w:rFonts w:ascii="Arial" w:cs="Arial" w:eastAsia="Arial" w:hAnsi="Arial"/>
          <w:sz w:val="16"/>
          <w:szCs w:val="16"/>
          <w:color w:val="auto"/>
        </w:rPr>
        <w:t>Dr. Shah has served as a Non-Executive Director on our Board of Directors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July 2016. Dr. Shah was designated for appointment to our Board of Directors by funds affiliated with Vivo Capital, a healthcare investment firm, pursuant to a relationship agreement that we entered into with such funds in June 2016. Although such agreement automatically terminated on the closing of the 2020 Private Placement, Dr. Shah continues to serve as a Non-Executive Director. Dr. Shah has served as a Senior Fellow of Vivo Capital since January 2021, where he previously served as Managing Director from March 2010 to January 2021. Dr. Shah is also the founder and Executive Chair of Semnur Pharmaceuticals (acquired by Scilex Pharmaceuticals, Inc.), a specialty pharmaceutical company. He previously served as a member of the board of directors of Homology Medicines, Soleno Therapeutics, AADI Bioscience, Inc. and Crinetics Pharmaceuticals, and currently serves as a member of the boards of directors of several private companies in the biopharmaceutical and biotechnology industries. Dr. Shah received his Ph.D. in industrial pharmacy from St. John’s University and his Bachelor’s and Master’s Degrees in Pharmacy from L.M. College of Pharmacy in Gujarat, India. We believe Dr. Shah’s experience in the biomedical and pharmaceutical industries and his experience in serving on the boards of public and private companies qualify him to serve on our Board of Directors.</w:t>
      </w:r>
    </w:p>
    <w:p>
      <w:pPr>
        <w:spacing w:after="0" w:line="105" w:lineRule="exact"/>
        <w:rPr>
          <w:sz w:val="20"/>
          <w:szCs w:val="20"/>
          <w:color w:val="auto"/>
        </w:rPr>
      </w:pPr>
    </w:p>
    <w:p>
      <w:pPr>
        <w:ind w:left="1200" w:right="639" w:firstLine="341"/>
        <w:spacing w:after="0" w:line="272" w:lineRule="auto"/>
        <w:rPr>
          <w:sz w:val="20"/>
          <w:szCs w:val="20"/>
          <w:color w:val="auto"/>
        </w:rPr>
      </w:pPr>
      <w:r>
        <w:rPr>
          <w:rFonts w:ascii="Arial" w:cs="Arial" w:eastAsia="Arial" w:hAnsi="Arial"/>
          <w:sz w:val="16"/>
          <w:szCs w:val="16"/>
          <w:b w:val="1"/>
          <w:bCs w:val="1"/>
          <w:i w:val="1"/>
          <w:iCs w:val="1"/>
          <w:color w:val="auto"/>
        </w:rPr>
        <w:t xml:space="preserve">Anders Ullman, M.D., Ph.D. </w:t>
      </w:r>
      <w:r>
        <w:rPr>
          <w:rFonts w:ascii="Arial" w:cs="Arial" w:eastAsia="Arial" w:hAnsi="Arial"/>
          <w:sz w:val="16"/>
          <w:szCs w:val="16"/>
          <w:color w:val="auto"/>
        </w:rPr>
        <w:t>Dr. Ullman has served as a Non-Executive Director on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since September 2015. Since January 2022, Dr. Ullman has served as Head of R&amp;D and Chief Medical Officer of Swedish Orphan Biovitrum AB (“Sobi”). From September 2015 to December 2018, Dr. Ullman served as Head of the chronic obstructive pulmonary disease (“COPD”) Centre at Sahlgrenska University Hospital, Sweden. From 2013 to 2014, he was Executive Vice President and Head of Research and Development in the BioScience business unit of Baxter International Inc., a healthcare company, which became Baxalta Inc. From 2007 to 2013, Dr. Ullman was Executive Vice President, Head of Research and Development at Nycomed Pharma Private Limited (now part of Takeda Pharmaceuticals Company Limited), where he led the development and approval of Daxas, the PDE4 inhibitor used to prevent COPD</w:t>
      </w:r>
    </w:p>
    <w:p>
      <w:pPr>
        <w:spacing w:after="0" w:line="349"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right="839"/>
        <w:spacing w:after="0"/>
        <w:rPr>
          <w:sz w:val="20"/>
          <w:szCs w:val="20"/>
          <w:color w:val="auto"/>
        </w:rPr>
      </w:pPr>
      <w:r>
        <w:rPr>
          <w:rFonts w:ascii="Arial" w:cs="Arial" w:eastAsia="Arial" w:hAnsi="Arial"/>
          <w:sz w:val="17"/>
          <w:szCs w:val="17"/>
          <w:color w:val="auto"/>
        </w:rPr>
        <w:t>exacerbations. Earlier in his career, he held a number of roles in AstraZeneca. Dr. Ullman served on the board of directors of Pexa AB, a company that develops and commercializes respiratory medicine technology, from January 2016 to May 2018 and on the board of directors of Sobi from May 2021 to December 2021. Dr. Ullman received a M.D. and a Ph.D. in clinical pharmacology from the University of Gothenburg. We believe that Dr. Ullman’s extensive experience in the healthcare and pharmaceuticals industries qualify him to serve on our Board of Directors.</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RETIRING MEMBERS OF THE BOARD OF DIRECTORS NOT STANDING FOR RE-ELECTION</w:t>
      </w:r>
    </w:p>
    <w:p>
      <w:pPr>
        <w:spacing w:after="0" w:line="137" w:lineRule="exact"/>
        <w:rPr>
          <w:sz w:val="20"/>
          <w:szCs w:val="20"/>
          <w:color w:val="auto"/>
        </w:rPr>
      </w:pPr>
    </w:p>
    <w:p>
      <w:pPr>
        <w:ind w:left="1200" w:right="639" w:firstLine="341"/>
        <w:spacing w:after="0" w:line="253" w:lineRule="auto"/>
        <w:rPr>
          <w:sz w:val="20"/>
          <w:szCs w:val="20"/>
          <w:color w:val="auto"/>
        </w:rPr>
      </w:pPr>
      <w:r>
        <w:rPr>
          <w:rFonts w:ascii="Arial" w:cs="Arial" w:eastAsia="Arial" w:hAnsi="Arial"/>
          <w:sz w:val="17"/>
          <w:szCs w:val="17"/>
          <w:b w:val="1"/>
          <w:bCs w:val="1"/>
          <w:i w:val="1"/>
          <w:iCs w:val="1"/>
          <w:color w:val="auto"/>
        </w:rPr>
        <w:t xml:space="preserve">Andrew Sinclair, Ph.D. </w:t>
      </w:r>
      <w:r>
        <w:rPr>
          <w:rFonts w:ascii="Arial" w:cs="Arial" w:eastAsia="Arial" w:hAnsi="Arial"/>
          <w:sz w:val="17"/>
          <w:szCs w:val="17"/>
          <w:color w:val="auto"/>
        </w:rPr>
        <w:t>Dr. Sinclair has served as a Non-Executive Director on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July 2016. Dr. Sinclair was designated for appointment to our Board of Directors by Abingworth Bioventures VI, LP, or Abingworth, pursuant to a relationship agreement that we entered into with Abingworth in June 2016. Although such agreement automatically terminated on the closing of the 2020 Private Placement, Dr. Sinclair continues to serve as a Non-Executive Director. Since 2008, Dr. Sinclair has held various positions at Abingworth LLP, a life sciences investment group, where he is currently a Partner and Portfolio Manager, a role he has held since December 2015. He has served as a member of the boards of directors of Soleno Therapeutics since January 2019, Sierra Oncology since November 2019 and Adicet Bio, Inc. since March 2021. Dr. Sinclair is a member of the Institute of Chartered Accountants in England and Wales and received a Ph.D. in chemistry and genetic engineering at the BBSRC Institute of Plant Science, Norwich, and a B.Sc. in microbiology from King’s College London. We believe Dr. Sinclair’s experience as a finance professional in the biomedical and pharmaceutical industries qualify him to serve on our Board of Directors.</w:t>
      </w:r>
    </w:p>
    <w:p>
      <w:pPr>
        <w:spacing w:after="0" w:line="18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BOARD DIVERSITY MATRIX</w:t>
      </w:r>
    </w:p>
    <w:p>
      <w:pPr>
        <w:spacing w:after="0" w:line="168"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Board Diversity Matrix (As of March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5693410</wp:posOffset>
            </wp:positionH>
            <wp:positionV relativeFrom="paragraph">
              <wp:posOffset>24130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tbl>
      <w:tblPr>
        <w:tblLayout w:type="fixed"/>
        <w:tblInd w:w="1200" w:type="dxa"/>
        <w:tblCellMar>
          <w:top w:w="0" w:type="dxa"/>
          <w:left w:w="0" w:type="dxa"/>
          <w:bottom w:w="0" w:type="dxa"/>
          <w:right w:w="0" w:type="dxa"/>
        </w:tblCellMar>
      </w:tblPr>
      <w:tr>
        <w:trPr>
          <w:trHeight w:val="256"/>
        </w:trPr>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Country of Principal Executive Offices</w:t>
            </w:r>
          </w:p>
        </w:tc>
        <w:tc>
          <w:tcPr>
            <w:tcW w:w="4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820" w:type="dxa"/>
            <w:vAlign w:val="bottom"/>
            <w:tcBorders>
              <w:top w:val="single" w:sz="8" w:color="auto"/>
            </w:tcBorders>
            <w:gridSpan w:val="3"/>
            <w:shd w:val="clear" w:color="auto" w:fill="CCEEFF"/>
          </w:tcPr>
          <w:p>
            <w:pPr>
              <w:jc w:val="center"/>
              <w:ind w:left="498"/>
              <w:spacing w:after="0"/>
              <w:rPr>
                <w:sz w:val="20"/>
                <w:szCs w:val="20"/>
                <w:color w:val="auto"/>
              </w:rPr>
            </w:pPr>
            <w:r>
              <w:rPr>
                <w:rFonts w:ascii="Arial" w:cs="Arial" w:eastAsia="Arial" w:hAnsi="Arial"/>
                <w:sz w:val="17"/>
                <w:szCs w:val="17"/>
                <w:color w:val="auto"/>
                <w:w w:val="99"/>
              </w:rPr>
              <w:t>United Kingdom</w:t>
            </w:r>
          </w:p>
        </w:tc>
        <w:tc>
          <w:tcPr>
            <w:tcW w:w="20" w:type="dxa"/>
            <w:vAlign w:val="bottom"/>
            <w:tcBorders>
              <w:top w:val="single" w:sz="8" w:color="CCEEFF"/>
            </w:tcBorders>
            <w:shd w:val="clear" w:color="auto" w:fill="CCEEFF"/>
          </w:tcPr>
          <w:p>
            <w:pPr>
              <w:spacing w:after="0"/>
              <w:rPr>
                <w:sz w:val="22"/>
                <w:szCs w:val="22"/>
                <w:color w:val="auto"/>
              </w:rPr>
            </w:pPr>
          </w:p>
        </w:tc>
      </w:tr>
      <w:tr>
        <w:trPr>
          <w:trHeight w:val="242"/>
        </w:trPr>
        <w:tc>
          <w:tcPr>
            <w:tcW w:w="4780" w:type="dxa"/>
            <w:vAlign w:val="bottom"/>
          </w:tcPr>
          <w:p>
            <w:pPr>
              <w:spacing w:after="0"/>
              <w:rPr>
                <w:sz w:val="20"/>
                <w:szCs w:val="20"/>
                <w:color w:val="auto"/>
              </w:rPr>
            </w:pPr>
            <w:r>
              <w:rPr>
                <w:rFonts w:ascii="Arial" w:cs="Arial" w:eastAsia="Arial" w:hAnsi="Arial"/>
                <w:sz w:val="17"/>
                <w:szCs w:val="17"/>
                <w:color w:val="auto"/>
              </w:rPr>
              <w:t>Foreign Private Issuer</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7"/>
                <w:szCs w:val="17"/>
                <w:color w:val="auto"/>
                <w:w w:val="91"/>
              </w:rPr>
              <w:t>No</w:t>
            </w:r>
          </w:p>
        </w:tc>
      </w:tr>
      <w:tr>
        <w:trPr>
          <w:trHeight w:val="244"/>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Disclosure Prohibited Under Home Country Law</w:t>
            </w:r>
          </w:p>
        </w:tc>
        <w:tc>
          <w:tcPr>
            <w:tcW w:w="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w w:val="91"/>
              </w:rPr>
              <w:t>No</w:t>
            </w:r>
          </w:p>
        </w:tc>
      </w:tr>
      <w:tr>
        <w:trPr>
          <w:trHeight w:val="255"/>
        </w:trPr>
        <w:tc>
          <w:tcPr>
            <w:tcW w:w="4780" w:type="dxa"/>
            <w:vAlign w:val="bottom"/>
          </w:tcPr>
          <w:p>
            <w:pPr>
              <w:spacing w:after="0"/>
              <w:rPr>
                <w:sz w:val="20"/>
                <w:szCs w:val="20"/>
                <w:color w:val="auto"/>
              </w:rPr>
            </w:pPr>
            <w:r>
              <w:rPr>
                <w:rFonts w:ascii="Arial" w:cs="Arial" w:eastAsia="Arial" w:hAnsi="Arial"/>
                <w:sz w:val="17"/>
                <w:szCs w:val="17"/>
                <w:color w:val="auto"/>
              </w:rPr>
              <w:t>Total Number of Directors</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center"/>
              <w:ind w:right="240"/>
              <w:spacing w:after="0"/>
              <w:rPr>
                <w:sz w:val="20"/>
                <w:szCs w:val="20"/>
                <w:color w:val="auto"/>
              </w:rPr>
            </w:pPr>
            <w:r>
              <w:rPr>
                <w:rFonts w:ascii="Arial" w:cs="Arial" w:eastAsia="Arial" w:hAnsi="Arial"/>
                <w:sz w:val="17"/>
                <w:szCs w:val="17"/>
                <w:color w:val="auto"/>
                <w:w w:val="84"/>
              </w:rPr>
              <w:t>11</w:t>
            </w:r>
          </w:p>
        </w:tc>
        <w:tc>
          <w:tcPr>
            <w:tcW w:w="20" w:type="dxa"/>
            <w:vAlign w:val="bottom"/>
          </w:tcPr>
          <w:p>
            <w:pPr>
              <w:spacing w:after="0"/>
              <w:rPr>
                <w:sz w:val="22"/>
                <w:szCs w:val="22"/>
                <w:color w:val="auto"/>
              </w:rPr>
            </w:pPr>
          </w:p>
        </w:tc>
      </w:tr>
      <w:tr>
        <w:trPr>
          <w:trHeight w:val="352"/>
        </w:trPr>
        <w:tc>
          <w:tcPr>
            <w:tcW w:w="4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Did Not</w:t>
            </w:r>
          </w:p>
        </w:tc>
      </w:tr>
      <w:tr>
        <w:trPr>
          <w:trHeight w:val="175"/>
        </w:trPr>
        <w:tc>
          <w:tcPr>
            <w:tcW w:w="4780" w:type="dxa"/>
            <w:vAlign w:val="bottom"/>
          </w:tcPr>
          <w:p>
            <w:pPr>
              <w:spacing w:after="0"/>
              <w:rPr>
                <w:sz w:val="15"/>
                <w:szCs w:val="15"/>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Female</w:t>
            </w:r>
          </w:p>
        </w:tc>
        <w:tc>
          <w:tcPr>
            <w:tcW w:w="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Male</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Non-Binary</w:t>
            </w: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Disclose Gender</w:t>
            </w:r>
          </w:p>
        </w:tc>
      </w:tr>
      <w:tr>
        <w:trPr>
          <w:trHeight w:val="24"/>
        </w:trPr>
        <w:tc>
          <w:tcPr>
            <w:tcW w:w="4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6"/>
        </w:trPr>
        <w:tc>
          <w:tcPr>
            <w:tcW w:w="4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Part I: Gender Identity</w:t>
            </w: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42"/>
        </w:trPr>
        <w:tc>
          <w:tcPr>
            <w:tcW w:w="4780" w:type="dxa"/>
            <w:vAlign w:val="bottom"/>
          </w:tcPr>
          <w:p>
            <w:pPr>
              <w:spacing w:after="0"/>
              <w:rPr>
                <w:sz w:val="20"/>
                <w:szCs w:val="20"/>
                <w:color w:val="auto"/>
              </w:rPr>
            </w:pPr>
            <w:r>
              <w:rPr>
                <w:rFonts w:ascii="Arial" w:cs="Arial" w:eastAsia="Arial" w:hAnsi="Arial"/>
                <w:sz w:val="17"/>
                <w:szCs w:val="17"/>
                <w:color w:val="auto"/>
              </w:rPr>
              <w:t>Directors</w:t>
            </w:r>
          </w:p>
        </w:tc>
        <w:tc>
          <w:tcPr>
            <w:tcW w:w="420" w:type="dxa"/>
            <w:vAlign w:val="bottom"/>
          </w:tcPr>
          <w:p>
            <w:pPr>
              <w:jc w:val="right"/>
              <w:ind w:right="103"/>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1"/>
                <w:szCs w:val="21"/>
                <w:color w:val="auto"/>
              </w:rPr>
            </w:pPr>
          </w:p>
        </w:tc>
        <w:tc>
          <w:tcPr>
            <w:tcW w:w="340" w:type="dxa"/>
            <w:vAlign w:val="bottom"/>
          </w:tcPr>
          <w:p>
            <w:pPr>
              <w:jc w:val="right"/>
              <w:ind w:right="23"/>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21"/>
                <w:szCs w:val="21"/>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center"/>
              <w:ind w:right="20"/>
              <w:spacing w:after="0"/>
              <w:rPr>
                <w:sz w:val="20"/>
                <w:szCs w:val="20"/>
                <w:color w:val="auto"/>
              </w:rPr>
            </w:pPr>
            <w:r>
              <w:rPr>
                <w:rFonts w:ascii="Arial" w:cs="Arial" w:eastAsia="Arial" w:hAnsi="Arial"/>
                <w:sz w:val="17"/>
                <w:szCs w:val="17"/>
                <w:color w:val="auto"/>
                <w:w w:val="93"/>
              </w:rPr>
              <w:t>—</w:t>
            </w:r>
          </w:p>
        </w:tc>
      </w:tr>
      <w:tr>
        <w:trPr>
          <w:trHeight w:val="244"/>
        </w:trPr>
        <w:tc>
          <w:tcPr>
            <w:tcW w:w="4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Part II: Demographic Background</w:t>
            </w:r>
          </w:p>
        </w:tc>
        <w:tc>
          <w:tcPr>
            <w:tcW w:w="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18"/>
        </w:trPr>
        <w:tc>
          <w:tcPr>
            <w:tcW w:w="4780" w:type="dxa"/>
            <w:vAlign w:val="bottom"/>
          </w:tcPr>
          <w:p>
            <w:pPr>
              <w:ind w:left="160"/>
              <w:spacing w:after="0"/>
              <w:rPr>
                <w:sz w:val="20"/>
                <w:szCs w:val="20"/>
                <w:color w:val="auto"/>
              </w:rPr>
            </w:pPr>
            <w:r>
              <w:rPr>
                <w:rFonts w:ascii="Arial" w:cs="Arial" w:eastAsia="Arial" w:hAnsi="Arial"/>
                <w:sz w:val="17"/>
                <w:szCs w:val="17"/>
                <w:color w:val="auto"/>
              </w:rPr>
              <w:t>Underrepresented Individual in Home Country</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4780" w:type="dxa"/>
            <w:vAlign w:val="bottom"/>
          </w:tcPr>
          <w:p>
            <w:pPr>
              <w:ind w:left="340"/>
              <w:spacing w:after="0"/>
              <w:rPr>
                <w:sz w:val="20"/>
                <w:szCs w:val="20"/>
                <w:color w:val="auto"/>
              </w:rPr>
            </w:pPr>
            <w:r>
              <w:rPr>
                <w:rFonts w:ascii="Arial" w:cs="Arial" w:eastAsia="Arial" w:hAnsi="Arial"/>
                <w:sz w:val="17"/>
                <w:szCs w:val="17"/>
                <w:color w:val="auto"/>
              </w:rPr>
              <w:t>Jurisdiction</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78"/>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4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LGBTQ+</w:t>
            </w:r>
          </w:p>
        </w:tc>
        <w:tc>
          <w:tcPr>
            <w:tcW w:w="4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5"/>
        </w:trPr>
        <w:tc>
          <w:tcPr>
            <w:tcW w:w="4780" w:type="dxa"/>
            <w:vAlign w:val="bottom"/>
          </w:tcPr>
          <w:p>
            <w:pPr>
              <w:ind w:left="160"/>
              <w:spacing w:after="0"/>
              <w:rPr>
                <w:sz w:val="20"/>
                <w:szCs w:val="20"/>
                <w:color w:val="auto"/>
              </w:rPr>
            </w:pPr>
            <w:r>
              <w:rPr>
                <w:rFonts w:ascii="Arial" w:cs="Arial" w:eastAsia="Arial" w:hAnsi="Arial"/>
                <w:sz w:val="17"/>
                <w:szCs w:val="17"/>
                <w:color w:val="auto"/>
              </w:rPr>
              <w:t>Did Not Disclose Demographic Background</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-1078865</wp:posOffset>
            </wp:positionV>
            <wp:extent cx="130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-1078865</wp:posOffset>
            </wp:positionV>
            <wp:extent cx="3768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68725" cy="8255"/>
                    </a:xfrm>
                    <a:prstGeom prst="rect">
                      <a:avLst/>
                    </a:prstGeom>
                    <a:noFill/>
                  </pic:spPr>
                </pic:pic>
              </a:graphicData>
            </a:graphic>
          </wp:anchor>
        </w:drawing>
      </w:r>
    </w:p>
    <w:p>
      <w:pPr>
        <w:spacing w:after="0" w:line="17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PROPOSAL 5.</w:t>
      </w:r>
    </w:p>
    <w:p>
      <w:pPr>
        <w:spacing w:after="0" w:line="20"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To receive and adopt the 2021 U.K. Annual Report</w:t>
      </w:r>
    </w:p>
    <w:p>
      <w:pPr>
        <w:spacing w:after="0" w:line="139" w:lineRule="exact"/>
        <w:rPr>
          <w:sz w:val="20"/>
          <w:szCs w:val="20"/>
          <w:color w:val="auto"/>
        </w:rPr>
      </w:pPr>
    </w:p>
    <w:p>
      <w:pPr>
        <w:ind w:left="1200" w:right="899" w:firstLine="341"/>
        <w:spacing w:after="0" w:line="263" w:lineRule="auto"/>
        <w:rPr>
          <w:sz w:val="20"/>
          <w:szCs w:val="20"/>
          <w:color w:val="auto"/>
        </w:rPr>
      </w:pPr>
      <w:r>
        <w:rPr>
          <w:rFonts w:ascii="Arial" w:cs="Arial" w:eastAsia="Arial" w:hAnsi="Arial"/>
          <w:sz w:val="17"/>
          <w:szCs w:val="17"/>
          <w:color w:val="auto"/>
        </w:rPr>
        <w:t>The Companies Act requires the directors of a public company to lay before the company in general meeting copies of the directors’ reports, the independent auditors’ report and the audited financial statements of the company in respect of each financial year.</w:t>
      </w:r>
    </w:p>
    <w:p>
      <w:pPr>
        <w:spacing w:after="0" w:line="99" w:lineRule="exact"/>
        <w:rPr>
          <w:sz w:val="20"/>
          <w:szCs w:val="20"/>
          <w:color w:val="auto"/>
        </w:rPr>
      </w:pPr>
    </w:p>
    <w:p>
      <w:pPr>
        <w:ind w:left="1200" w:right="639" w:firstLine="341"/>
        <w:spacing w:after="0" w:line="259" w:lineRule="auto"/>
        <w:rPr>
          <w:sz w:val="20"/>
          <w:szCs w:val="20"/>
          <w:color w:val="auto"/>
        </w:rPr>
      </w:pPr>
      <w:r>
        <w:rPr>
          <w:rFonts w:ascii="Arial" w:cs="Arial" w:eastAsia="Arial" w:hAnsi="Arial"/>
          <w:sz w:val="17"/>
          <w:szCs w:val="17"/>
          <w:color w:val="auto"/>
        </w:rPr>
        <w:t>At the AGM, our Board of Directors will present our U.K. statutory annual accounts and Directors’ reports for the year ended December 31, 2021 and the report of the auditors thereon (the “2021 U.K. Annual Report”). We will provide our shareholders with an opportunity to receive our 2021 U.K. Annual Report and to adopt it.</w:t>
      </w:r>
    </w:p>
    <w:p>
      <w:pPr>
        <w:spacing w:after="0" w:line="116" w:lineRule="exact"/>
        <w:rPr>
          <w:sz w:val="20"/>
          <w:szCs w:val="20"/>
          <w:color w:val="auto"/>
        </w:rPr>
      </w:pPr>
    </w:p>
    <w:p>
      <w:pPr>
        <w:ind w:left="1200" w:right="659" w:firstLine="341"/>
        <w:spacing w:after="0" w:line="276" w:lineRule="auto"/>
        <w:rPr>
          <w:sz w:val="20"/>
          <w:szCs w:val="20"/>
          <w:color w:val="auto"/>
        </w:rPr>
      </w:pPr>
      <w:r>
        <w:rPr>
          <w:rFonts w:ascii="Arial" w:cs="Arial" w:eastAsia="Arial" w:hAnsi="Arial"/>
          <w:sz w:val="17"/>
          <w:szCs w:val="17"/>
          <w:color w:val="auto"/>
        </w:rPr>
        <w:t>In accordance with best practice, the Company proposes an ordinary resolution to receive and adopt the 2021 U.K. Annual Report.</w:t>
      </w:r>
    </w:p>
    <w:p>
      <w:pPr>
        <w:spacing w:after="0" w:line="331"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right="779" w:firstLine="341"/>
        <w:spacing w:after="0" w:line="276" w:lineRule="auto"/>
        <w:rPr>
          <w:sz w:val="20"/>
          <w:szCs w:val="20"/>
          <w:color w:val="auto"/>
        </w:rPr>
      </w:pPr>
      <w:r>
        <w:rPr>
          <w:rFonts w:ascii="Arial" w:cs="Arial" w:eastAsia="Arial" w:hAnsi="Arial"/>
          <w:sz w:val="17"/>
          <w:szCs w:val="17"/>
          <w:color w:val="auto"/>
        </w:rPr>
        <w:t xml:space="preserve">The 2021 U.K. Annual Report is appended as Annex A to this proxy statement and may also be found on our investor relations website located at </w:t>
      </w:r>
      <w:r>
        <w:rPr>
          <w:rFonts w:ascii="Arial" w:cs="Arial" w:eastAsia="Arial" w:hAnsi="Arial"/>
          <w:sz w:val="17"/>
          <w:szCs w:val="17"/>
          <w:i w:val="1"/>
          <w:iCs w:val="1"/>
          <w:color w:val="auto"/>
        </w:rPr>
        <w:t>www.veronapharma.com/investors</w:t>
      </w:r>
      <w:r>
        <w:rPr>
          <w:rFonts w:ascii="Arial" w:cs="Arial" w:eastAsia="Arial" w:hAnsi="Arial"/>
          <w:sz w:val="17"/>
          <w:szCs w:val="17"/>
          <w:color w:val="auto"/>
        </w:rPr>
        <w:t>.</w:t>
      </w:r>
    </w:p>
    <w:p>
      <w:pPr>
        <w:spacing w:after="0" w:line="16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VOTE REQUIRED</w:t>
      </w:r>
    </w:p>
    <w:p>
      <w:pPr>
        <w:spacing w:after="0" w:line="137" w:lineRule="exact"/>
        <w:rPr>
          <w:sz w:val="20"/>
          <w:szCs w:val="20"/>
          <w:color w:val="auto"/>
        </w:rPr>
      </w:pPr>
    </w:p>
    <w:p>
      <w:pPr>
        <w:ind w:left="1200" w:right="699" w:firstLine="341"/>
        <w:spacing w:after="0" w:line="259" w:lineRule="auto"/>
        <w:rPr>
          <w:sz w:val="20"/>
          <w:szCs w:val="20"/>
          <w:color w:val="auto"/>
        </w:rPr>
      </w:pPr>
      <w:r>
        <w:rPr>
          <w:rFonts w:ascii="Arial" w:cs="Arial" w:eastAsia="Arial" w:hAnsi="Arial"/>
          <w:sz w:val="17"/>
          <w:szCs w:val="17"/>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7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RECOMMENDATION OF THE BOARD OF DIRECTORS</w:t>
      </w:r>
    </w:p>
    <w:p>
      <w:pPr>
        <w:spacing w:after="0" w:line="184" w:lineRule="exact"/>
        <w:rPr>
          <w:sz w:val="20"/>
          <w:szCs w:val="20"/>
          <w:color w:val="auto"/>
        </w:rPr>
      </w:pPr>
    </w:p>
    <w:p>
      <w:pPr>
        <w:ind w:left="2420" w:right="699"/>
        <w:spacing w:after="0" w:line="281" w:lineRule="auto"/>
        <w:rPr>
          <w:sz w:val="20"/>
          <w:szCs w:val="20"/>
          <w:color w:val="auto"/>
        </w:rPr>
      </w:pPr>
      <w:r>
        <w:rPr>
          <w:rFonts w:ascii="Arial" w:cs="Arial" w:eastAsia="Arial" w:hAnsi="Arial"/>
          <w:sz w:val="17"/>
          <w:szCs w:val="17"/>
          <w:b w:val="1"/>
          <w:bCs w:val="1"/>
          <w:color w:val="auto"/>
        </w:rPr>
        <w:t>The Board of Directors unanimously recommends a vote FOR the receipt and adoption of the 2021 U.K.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-279400</wp:posOffset>
            </wp:positionV>
            <wp:extent cx="13779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19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PROPOSAL 6.</w:t>
      </w:r>
    </w:p>
    <w:p>
      <w:pPr>
        <w:spacing w:after="0" w:line="20" w:lineRule="exact"/>
        <w:rPr>
          <w:sz w:val="20"/>
          <w:szCs w:val="20"/>
          <w:color w:val="auto"/>
        </w:rPr>
      </w:pPr>
    </w:p>
    <w:p>
      <w:pPr>
        <w:ind w:left="1200" w:right="799"/>
        <w:spacing w:after="0" w:line="262" w:lineRule="auto"/>
        <w:rPr>
          <w:sz w:val="20"/>
          <w:szCs w:val="20"/>
          <w:color w:val="auto"/>
        </w:rPr>
      </w:pPr>
      <w:r>
        <w:rPr>
          <w:rFonts w:ascii="Arial" w:cs="Arial" w:eastAsia="Arial" w:hAnsi="Arial"/>
          <w:sz w:val="17"/>
          <w:szCs w:val="17"/>
          <w:i w:val="1"/>
          <w:iCs w:val="1"/>
          <w:color w:val="auto"/>
        </w:rPr>
        <w:t>To receive and approve, as a non-binding advisory resolution, the U.K. statutory Directors’ Remuneration Report</w:t>
      </w:r>
    </w:p>
    <w:p>
      <w:pPr>
        <w:spacing w:after="0" w:line="99" w:lineRule="exact"/>
        <w:rPr>
          <w:sz w:val="20"/>
          <w:szCs w:val="20"/>
          <w:color w:val="auto"/>
        </w:rPr>
      </w:pPr>
    </w:p>
    <w:p>
      <w:pPr>
        <w:ind w:left="1200" w:right="739" w:firstLine="341"/>
        <w:spacing w:after="0" w:line="271" w:lineRule="auto"/>
        <w:rPr>
          <w:sz w:val="20"/>
          <w:szCs w:val="20"/>
          <w:color w:val="auto"/>
        </w:rPr>
      </w:pPr>
      <w:r>
        <w:rPr>
          <w:rFonts w:ascii="Arial" w:cs="Arial" w:eastAsia="Arial" w:hAnsi="Arial"/>
          <w:sz w:val="16"/>
          <w:szCs w:val="16"/>
          <w:color w:val="auto"/>
        </w:rPr>
        <w:t>At the AGM, our Board of Directors will present our U.K. statutory Directors’ Remuneration Report for the year ended December 31, 2021, as set out on pages 27 to 46 of the 2021 U.K. Annual Report appended as Annex A to this proxy statement. The U.K. statutory Directors’ Remuneration Report includes the annual report on remuneration. This document describes in detail our remuneration policies and procedures and explains how these policies and procedures help to achieve our compensation objectives with regard to our directors and the retention of high-quality directors. Our Board of Directors and the Remuneration Committee of the Board of Directors (the “Remuneration Committee”) believe that the policies and procedures as articulated in the directors’ remuneration report are effective and that as a result of these policies and procedures we have and will continue to have high-quality directors. Our Board of Directors has approved and signed the report in accordance with English law.</w:t>
      </w:r>
    </w:p>
    <w:p>
      <w:pPr>
        <w:spacing w:after="0" w:line="110" w:lineRule="exact"/>
        <w:rPr>
          <w:sz w:val="20"/>
          <w:szCs w:val="20"/>
          <w:color w:val="auto"/>
        </w:rPr>
      </w:pPr>
    </w:p>
    <w:p>
      <w:pPr>
        <w:ind w:left="1200" w:right="719" w:firstLine="341"/>
        <w:spacing w:after="0" w:line="257" w:lineRule="auto"/>
        <w:rPr>
          <w:sz w:val="20"/>
          <w:szCs w:val="20"/>
          <w:color w:val="auto"/>
        </w:rPr>
      </w:pPr>
      <w:r>
        <w:rPr>
          <w:rFonts w:ascii="Arial" w:cs="Arial" w:eastAsia="Arial" w:hAnsi="Arial"/>
          <w:sz w:val="17"/>
          <w:szCs w:val="17"/>
          <w:color w:val="auto"/>
        </w:rPr>
        <w:t>At the AGM, the shareholders will vote on the Director’s Remuneration Report. This vote is advisory and non-binding. Although non-binding, our Board of Directors and Remuneration Committee will review and consider the voting results when making future decisions regarding our director remuneration program. Following the AGM, and as required under English law, the Directors’ Remuneration Report will be delivered to the U.K. Registrar of Companies.</w:t>
      </w:r>
    </w:p>
    <w:p>
      <w:pPr>
        <w:spacing w:after="0" w:line="18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VOTE REQUIRED</w:t>
      </w:r>
    </w:p>
    <w:p>
      <w:pPr>
        <w:spacing w:after="0" w:line="150" w:lineRule="exact"/>
        <w:rPr>
          <w:sz w:val="20"/>
          <w:szCs w:val="20"/>
          <w:color w:val="auto"/>
        </w:rPr>
      </w:pPr>
    </w:p>
    <w:p>
      <w:pPr>
        <w:ind w:left="1200" w:right="699" w:firstLine="341"/>
        <w:spacing w:after="0" w:line="259" w:lineRule="auto"/>
        <w:rPr>
          <w:sz w:val="20"/>
          <w:szCs w:val="20"/>
          <w:color w:val="auto"/>
        </w:rPr>
      </w:pPr>
      <w:r>
        <w:rPr>
          <w:rFonts w:ascii="Arial" w:cs="Arial" w:eastAsia="Arial" w:hAnsi="Arial"/>
          <w:sz w:val="17"/>
          <w:szCs w:val="17"/>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7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RECOMMENDATION OF THE BOARD OF DIRECTORS</w:t>
      </w:r>
    </w:p>
    <w:p>
      <w:pPr>
        <w:spacing w:after="0" w:line="171" w:lineRule="exact"/>
        <w:rPr>
          <w:sz w:val="20"/>
          <w:szCs w:val="20"/>
          <w:color w:val="auto"/>
        </w:rPr>
      </w:pPr>
    </w:p>
    <w:p>
      <w:pPr>
        <w:ind w:left="2420" w:right="779"/>
        <w:spacing w:after="0" w:line="392" w:lineRule="auto"/>
        <w:rPr>
          <w:sz w:val="20"/>
          <w:szCs w:val="20"/>
          <w:color w:val="auto"/>
        </w:rPr>
      </w:pPr>
      <w:r>
        <w:rPr>
          <w:rFonts w:ascii="Arial" w:cs="Arial" w:eastAsia="Arial" w:hAnsi="Arial"/>
          <w:sz w:val="14"/>
          <w:szCs w:val="14"/>
          <w:b w:val="1"/>
          <w:bCs w:val="1"/>
          <w:color w:val="auto"/>
        </w:rPr>
        <w:t>The Board of Directors unanimously recommends a vote FOR the receipt and approval, as a non-binding advisory resolution, of the U.K. statutory Directors’ Remuneration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-322580</wp:posOffset>
            </wp:positionV>
            <wp:extent cx="13779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12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PROPOSAL 7.</w:t>
      </w:r>
    </w:p>
    <w:p>
      <w:pPr>
        <w:spacing w:after="0" w:line="20" w:lineRule="exact"/>
        <w:rPr>
          <w:sz w:val="20"/>
          <w:szCs w:val="20"/>
          <w:color w:val="auto"/>
        </w:rPr>
      </w:pPr>
    </w:p>
    <w:p>
      <w:pPr>
        <w:ind w:left="1200" w:right="699"/>
        <w:spacing w:after="0" w:line="262" w:lineRule="auto"/>
        <w:rPr>
          <w:sz w:val="20"/>
          <w:szCs w:val="20"/>
          <w:color w:val="auto"/>
        </w:rPr>
      </w:pPr>
      <w:r>
        <w:rPr>
          <w:rFonts w:ascii="Arial" w:cs="Arial" w:eastAsia="Arial" w:hAnsi="Arial"/>
          <w:sz w:val="17"/>
          <w:szCs w:val="17"/>
          <w:i w:val="1"/>
          <w:iCs w:val="1"/>
          <w:color w:val="auto"/>
        </w:rPr>
        <w:t>To re-appoint PwC as the Company’s auditors, to hold office until the conclusion of the next annual general meeting of shareholders</w:t>
      </w:r>
    </w:p>
    <w:p>
      <w:pPr>
        <w:spacing w:after="0" w:line="112" w:lineRule="exact"/>
        <w:rPr>
          <w:sz w:val="20"/>
          <w:szCs w:val="20"/>
          <w:color w:val="auto"/>
        </w:rPr>
      </w:pPr>
    </w:p>
    <w:p>
      <w:pPr>
        <w:ind w:left="1200" w:right="659" w:firstLine="341"/>
        <w:spacing w:after="0" w:line="277" w:lineRule="auto"/>
        <w:rPr>
          <w:sz w:val="20"/>
          <w:szCs w:val="20"/>
          <w:color w:val="auto"/>
        </w:rPr>
      </w:pPr>
      <w:r>
        <w:rPr>
          <w:rFonts w:ascii="Arial" w:cs="Arial" w:eastAsia="Arial" w:hAnsi="Arial"/>
          <w:sz w:val="16"/>
          <w:szCs w:val="16"/>
          <w:color w:val="auto"/>
        </w:rPr>
        <w:t>At each meeting at which the accounts are laid before shareholders, the Company is required to appoint U.K. statutory auditors to serve until the next such meeting of shareholders. Proposal 7 seeks your approval of the re-appointment of PricewaterhouseCoopers LLP (“PwC”), to serve as our U.K. statutory auditor, to hold office until the conclusion of the next annual general meeting of shareholders. In the event this proposal does not receive approval by holders representing a simple majority of the total voting rights of</w:t>
      </w:r>
    </w:p>
    <w:p>
      <w:pPr>
        <w:spacing w:after="0" w:line="33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right="1280"/>
        <w:spacing w:after="0" w:line="260" w:lineRule="auto"/>
        <w:rPr>
          <w:sz w:val="20"/>
          <w:szCs w:val="20"/>
          <w:color w:val="auto"/>
        </w:rPr>
      </w:pPr>
      <w:r>
        <w:rPr>
          <w:rFonts w:ascii="Arial" w:cs="Arial" w:eastAsia="Arial" w:hAnsi="Arial"/>
          <w:sz w:val="17"/>
          <w:szCs w:val="17"/>
          <w:color w:val="auto"/>
        </w:rPr>
        <w:t>shareholders present (in person or by proxy) who (being entitled to vote) vote on the proposal, the Board of Directors may appoint an auditor to fill the vacancy.</w:t>
      </w:r>
    </w:p>
    <w:p>
      <w:pPr>
        <w:spacing w:after="0" w:line="88" w:lineRule="exact"/>
        <w:rPr>
          <w:sz w:val="20"/>
          <w:szCs w:val="20"/>
          <w:color w:val="auto"/>
        </w:rPr>
      </w:pPr>
    </w:p>
    <w:p>
      <w:pPr>
        <w:ind w:left="1200" w:right="1320" w:firstLine="341"/>
        <w:spacing w:after="0" w:line="248" w:lineRule="auto"/>
        <w:rPr>
          <w:sz w:val="20"/>
          <w:szCs w:val="20"/>
          <w:color w:val="auto"/>
        </w:rPr>
      </w:pPr>
      <w:r>
        <w:rPr>
          <w:rFonts w:ascii="Arial" w:cs="Arial" w:eastAsia="Arial" w:hAnsi="Arial"/>
          <w:sz w:val="17"/>
          <w:szCs w:val="17"/>
          <w:color w:val="auto"/>
        </w:rPr>
        <w:t>PwC has indicated its willingness to act as the Company’s auditors. A representative of PwC is expected to be present at the AGM and will have an opportunity to make a statement if he or she desires to do so and to respond to appropriate questions from our shareholders.</w:t>
      </w:r>
    </w:p>
    <w:p>
      <w:pPr>
        <w:spacing w:after="0" w:line="4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VOTE REQUIRED</w:t>
      </w:r>
    </w:p>
    <w:p>
      <w:pPr>
        <w:spacing w:after="0" w:line="137" w:lineRule="exact"/>
        <w:rPr>
          <w:sz w:val="20"/>
          <w:szCs w:val="20"/>
          <w:color w:val="auto"/>
        </w:rPr>
      </w:pPr>
    </w:p>
    <w:p>
      <w:pPr>
        <w:ind w:left="1200" w:right="1260" w:firstLine="341"/>
        <w:spacing w:after="0" w:line="243" w:lineRule="auto"/>
        <w:rPr>
          <w:sz w:val="20"/>
          <w:szCs w:val="20"/>
          <w:color w:val="auto"/>
        </w:rPr>
      </w:pPr>
      <w:r>
        <w:rPr>
          <w:rFonts w:ascii="Arial" w:cs="Arial" w:eastAsia="Arial" w:hAnsi="Arial"/>
          <w:sz w:val="17"/>
          <w:szCs w:val="17"/>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5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RECOMMENDATION OF THE BOARD OF DIRECTORS</w:t>
      </w:r>
    </w:p>
    <w:p>
      <w:pPr>
        <w:spacing w:after="0" w:line="108" w:lineRule="exact"/>
        <w:rPr>
          <w:sz w:val="20"/>
          <w:szCs w:val="20"/>
          <w:color w:val="auto"/>
        </w:rPr>
      </w:pPr>
    </w:p>
    <w:p>
      <w:pPr>
        <w:ind w:left="2420" w:right="1300"/>
        <w:spacing w:after="0" w:line="281" w:lineRule="auto"/>
        <w:rPr>
          <w:sz w:val="20"/>
          <w:szCs w:val="20"/>
          <w:color w:val="auto"/>
        </w:rPr>
      </w:pPr>
      <w:r>
        <w:rPr>
          <w:rFonts w:ascii="Arial" w:cs="Arial" w:eastAsia="Arial" w:hAnsi="Arial"/>
          <w:sz w:val="17"/>
          <w:szCs w:val="17"/>
          <w:b w:val="1"/>
          <w:bCs w:val="1"/>
          <w:color w:val="auto"/>
        </w:rPr>
        <w:t>The Board of Directors unanimously recommends a vote FOR the re-appointment of PwC as the Company’s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-279400</wp:posOffset>
            </wp:positionV>
            <wp:extent cx="13779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51"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auto"/>
        </w:rPr>
        <w:t>Report of the Audit Committee of the Board of Directors</w:t>
      </w:r>
    </w:p>
    <w:p>
      <w:pPr>
        <w:spacing w:after="0" w:line="137" w:lineRule="exact"/>
        <w:rPr>
          <w:sz w:val="20"/>
          <w:szCs w:val="20"/>
          <w:color w:val="auto"/>
        </w:rPr>
      </w:pPr>
    </w:p>
    <w:p>
      <w:pPr>
        <w:ind w:left="1200" w:right="1280" w:firstLine="341"/>
        <w:spacing w:after="0" w:line="256" w:lineRule="auto"/>
        <w:rPr>
          <w:sz w:val="20"/>
          <w:szCs w:val="20"/>
          <w:color w:val="auto"/>
        </w:rPr>
      </w:pPr>
      <w:r>
        <w:rPr>
          <w:rFonts w:ascii="Arial" w:cs="Arial" w:eastAsia="Arial" w:hAnsi="Arial"/>
          <w:sz w:val="16"/>
          <w:szCs w:val="16"/>
          <w:color w:val="auto"/>
        </w:rPr>
        <w:t>The Audit and Risk Committee of the Board (“Audit Committee”) has reviewed the audited consolidated financial statements of Verona Pharma plc (the “Company”) for the fiscal year ended December 31, 2021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the applicable requirements of the Public Company Accounting Oversight Board (“PCAOB”) and the Securities and Exchange Commission.</w:t>
      </w:r>
    </w:p>
    <w:p>
      <w:pPr>
        <w:spacing w:after="0" w:line="106" w:lineRule="exact"/>
        <w:rPr>
          <w:sz w:val="20"/>
          <w:szCs w:val="20"/>
          <w:color w:val="auto"/>
        </w:rPr>
      </w:pPr>
    </w:p>
    <w:p>
      <w:pPr>
        <w:ind w:left="1200" w:right="1220" w:firstLine="341"/>
        <w:spacing w:after="0" w:line="239" w:lineRule="auto"/>
        <w:rPr>
          <w:sz w:val="20"/>
          <w:szCs w:val="20"/>
          <w:color w:val="auto"/>
        </w:rPr>
      </w:pPr>
      <w:r>
        <w:rPr>
          <w:rFonts w:ascii="Arial" w:cs="Arial" w:eastAsia="Arial" w:hAnsi="Arial"/>
          <w:sz w:val="17"/>
          <w:szCs w:val="17"/>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121" w:lineRule="exact"/>
        <w:rPr>
          <w:sz w:val="20"/>
          <w:szCs w:val="20"/>
          <w:color w:val="auto"/>
        </w:rPr>
      </w:pPr>
    </w:p>
    <w:p>
      <w:pPr>
        <w:ind w:left="1200" w:right="1300" w:firstLine="341"/>
        <w:spacing w:after="0" w:line="241" w:lineRule="auto"/>
        <w:rPr>
          <w:sz w:val="20"/>
          <w:szCs w:val="20"/>
          <w:color w:val="auto"/>
        </w:rPr>
      </w:pPr>
      <w:r>
        <w:rPr>
          <w:rFonts w:ascii="Arial" w:cs="Arial" w:eastAsia="Arial" w:hAnsi="Arial"/>
          <w:sz w:val="17"/>
          <w:szCs w:val="17"/>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2021.</w:t>
      </w:r>
    </w:p>
    <w:p>
      <w:pPr>
        <w:spacing w:after="0" w:line="10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Vikas Sinha (Chair)</w:t>
      </w:r>
    </w:p>
    <w:p>
      <w:pPr>
        <w:spacing w:after="0" w:line="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David Ebsworth, Ph.D.</w:t>
      </w:r>
    </w:p>
    <w:p>
      <w:pPr>
        <w:ind w:left="1200"/>
        <w:spacing w:after="0"/>
        <w:rPr>
          <w:sz w:val="20"/>
          <w:szCs w:val="20"/>
          <w:color w:val="auto"/>
        </w:rPr>
      </w:pPr>
      <w:r>
        <w:rPr>
          <w:rFonts w:ascii="Arial" w:cs="Arial" w:eastAsia="Arial" w:hAnsi="Arial"/>
          <w:sz w:val="17"/>
          <w:szCs w:val="17"/>
          <w:color w:val="auto"/>
        </w:rPr>
        <w:t>Andrew Sinclair, Ph.D.</w:t>
      </w:r>
    </w:p>
    <w:p>
      <w:pPr>
        <w:spacing w:after="0" w:line="59"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auto"/>
        </w:rPr>
        <w:t>Independent Registered Public Accounting Firm Fees</w:t>
      </w:r>
    </w:p>
    <w:p>
      <w:pPr>
        <w:spacing w:after="0" w:line="137" w:lineRule="exact"/>
        <w:rPr>
          <w:sz w:val="20"/>
          <w:szCs w:val="20"/>
          <w:color w:val="auto"/>
        </w:rPr>
      </w:pPr>
    </w:p>
    <w:p>
      <w:pPr>
        <w:ind w:left="1200" w:right="1420" w:firstLine="341"/>
        <w:spacing w:after="0" w:line="248" w:lineRule="auto"/>
        <w:rPr>
          <w:sz w:val="20"/>
          <w:szCs w:val="20"/>
          <w:color w:val="auto"/>
        </w:rPr>
      </w:pPr>
      <w:r>
        <w:rPr>
          <w:rFonts w:ascii="Arial" w:cs="Arial" w:eastAsia="Arial" w:hAnsi="Arial"/>
          <w:sz w:val="17"/>
          <w:szCs w:val="17"/>
          <w:color w:val="auto"/>
        </w:rPr>
        <w:t>The following table summarizes the fees of PwC, our independent registered public accounting firm, billed to us for each of the last two fiscal years for audit services and billed to us in each of the last two fiscal years for other services:</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3760" w:type="dxa"/>
            <w:vAlign w:val="bottom"/>
            <w:gridSpan w:val="2"/>
          </w:tcPr>
          <w:p>
            <w:pPr>
              <w:ind w:left="1180"/>
              <w:spacing w:after="0"/>
              <w:rPr>
                <w:sz w:val="20"/>
                <w:szCs w:val="20"/>
                <w:color w:val="auto"/>
              </w:rPr>
            </w:pPr>
            <w:r>
              <w:rPr>
                <w:rFonts w:ascii="Arial" w:cs="Arial" w:eastAsia="Arial" w:hAnsi="Arial"/>
                <w:sz w:val="14"/>
                <w:szCs w:val="14"/>
                <w:b w:val="1"/>
                <w:bCs w:val="1"/>
                <w:color w:val="auto"/>
              </w:rPr>
              <w:t>Fee Category</w:t>
            </w:r>
          </w:p>
        </w:tc>
        <w:tc>
          <w:tcPr>
            <w:tcW w:w="4320" w:type="dxa"/>
            <w:vAlign w:val="bottom"/>
            <w:gridSpan w:val="3"/>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88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1180" w:type="dxa"/>
            <w:vAlign w:val="bottom"/>
          </w:tcPr>
          <w:p>
            <w:pPr>
              <w:spacing w:after="0"/>
              <w:rPr>
                <w:sz w:val="15"/>
                <w:szCs w:val="15"/>
                <w:color w:val="auto"/>
              </w:rPr>
            </w:pPr>
          </w:p>
        </w:tc>
      </w:tr>
      <w:tr>
        <w:trPr>
          <w:trHeight w:val="24"/>
        </w:trPr>
        <w:tc>
          <w:tcPr>
            <w:tcW w:w="118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1180" w:type="dxa"/>
            <w:vAlign w:val="bottom"/>
          </w:tcPr>
          <w:p>
            <w:pPr>
              <w:spacing w:after="0"/>
              <w:rPr>
                <w:sz w:val="19"/>
                <w:szCs w:val="19"/>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Audit Fees</w:t>
            </w:r>
          </w:p>
        </w:tc>
        <w:tc>
          <w:tcPr>
            <w:tcW w:w="4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$453,000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$318,000</w:t>
            </w:r>
          </w:p>
        </w:tc>
        <w:tc>
          <w:tcPr>
            <w:tcW w:w="1180" w:type="dxa"/>
            <w:vAlign w:val="bottom"/>
          </w:tcPr>
          <w:p>
            <w:pPr>
              <w:spacing w:after="0"/>
              <w:rPr>
                <w:sz w:val="19"/>
                <w:szCs w:val="19"/>
                <w:color w:val="auto"/>
              </w:rPr>
            </w:pPr>
          </w:p>
        </w:tc>
      </w:tr>
      <w:tr>
        <w:trPr>
          <w:trHeight w:val="230"/>
        </w:trPr>
        <w:tc>
          <w:tcPr>
            <w:tcW w:w="3760" w:type="dxa"/>
            <w:vAlign w:val="bottom"/>
            <w:gridSpan w:val="2"/>
          </w:tcPr>
          <w:p>
            <w:pPr>
              <w:ind w:left="1180"/>
              <w:spacing w:after="0"/>
              <w:rPr>
                <w:sz w:val="20"/>
                <w:szCs w:val="20"/>
                <w:color w:val="auto"/>
              </w:rPr>
            </w:pPr>
            <w:r>
              <w:rPr>
                <w:rFonts w:ascii="Arial" w:cs="Arial" w:eastAsia="Arial" w:hAnsi="Arial"/>
                <w:sz w:val="17"/>
                <w:szCs w:val="17"/>
                <w:color w:val="auto"/>
              </w:rPr>
              <w:t>Audit-Related Fees</w:t>
            </w:r>
          </w:p>
        </w:tc>
        <w:tc>
          <w:tcPr>
            <w:tcW w:w="4320" w:type="dxa"/>
            <w:vAlign w:val="bottom"/>
            <w:gridSpan w:val="3"/>
          </w:tcPr>
          <w:p>
            <w:pPr>
              <w:jc w:val="right"/>
              <w:spacing w:after="0"/>
              <w:rPr>
                <w:sz w:val="20"/>
                <w:szCs w:val="20"/>
                <w:color w:val="auto"/>
              </w:rPr>
            </w:pPr>
            <w:r>
              <w:rPr>
                <w:rFonts w:ascii="Arial" w:cs="Arial" w:eastAsia="Arial" w:hAnsi="Arial"/>
                <w:sz w:val="17"/>
                <w:szCs w:val="17"/>
                <w:color w:val="auto"/>
              </w:rPr>
              <w:t>$162,000</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$348,000</w:t>
            </w:r>
          </w:p>
        </w:tc>
        <w:tc>
          <w:tcPr>
            <w:tcW w:w="1180" w:type="dxa"/>
            <w:vAlign w:val="bottom"/>
          </w:tcPr>
          <w:p>
            <w:pPr>
              <w:spacing w:after="0"/>
              <w:rPr>
                <w:sz w:val="20"/>
                <w:szCs w:val="20"/>
                <w:color w:val="auto"/>
              </w:rPr>
            </w:pPr>
          </w:p>
        </w:tc>
      </w:tr>
      <w:tr>
        <w:trPr>
          <w:trHeight w:val="230"/>
        </w:trPr>
        <w:tc>
          <w:tcPr>
            <w:tcW w:w="1180" w:type="dxa"/>
            <w:vAlign w:val="bottom"/>
          </w:tcPr>
          <w:p>
            <w:pPr>
              <w:spacing w:after="0"/>
              <w:rPr>
                <w:sz w:val="20"/>
                <w:szCs w:val="2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Tax Fees</w:t>
            </w:r>
          </w:p>
        </w:tc>
        <w:tc>
          <w:tcPr>
            <w:tcW w:w="34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20"/>
                <w:szCs w:val="20"/>
                <w:color w:val="auto"/>
              </w:rPr>
            </w:pPr>
          </w:p>
        </w:tc>
      </w:tr>
      <w:tr>
        <w:trPr>
          <w:trHeight w:val="262"/>
        </w:trPr>
        <w:tc>
          <w:tcPr>
            <w:tcW w:w="3760" w:type="dxa"/>
            <w:vAlign w:val="bottom"/>
            <w:gridSpan w:val="2"/>
          </w:tcPr>
          <w:p>
            <w:pPr>
              <w:ind w:left="1180"/>
              <w:spacing w:after="0"/>
              <w:rPr>
                <w:sz w:val="20"/>
                <w:szCs w:val="20"/>
                <w:color w:val="auto"/>
              </w:rPr>
            </w:pPr>
            <w:r>
              <w:rPr>
                <w:rFonts w:ascii="Arial" w:cs="Arial" w:eastAsia="Arial" w:hAnsi="Arial"/>
                <w:sz w:val="17"/>
                <w:szCs w:val="17"/>
                <w:color w:val="auto"/>
              </w:rPr>
              <w:t>All Other Fees</w:t>
            </w:r>
          </w:p>
        </w:tc>
        <w:tc>
          <w:tcPr>
            <w:tcW w:w="4320" w:type="dxa"/>
            <w:vAlign w:val="bottom"/>
            <w:gridSpan w:val="3"/>
          </w:tcPr>
          <w:p>
            <w:pPr>
              <w:jc w:val="right"/>
              <w:spacing w:after="0"/>
              <w:rPr>
                <w:sz w:val="20"/>
                <w:szCs w:val="20"/>
                <w:color w:val="auto"/>
              </w:rPr>
            </w:pPr>
            <w:r>
              <w:rPr>
                <w:rFonts w:ascii="Arial" w:cs="Arial" w:eastAsia="Arial" w:hAnsi="Arial"/>
                <w:sz w:val="17"/>
                <w:szCs w:val="17"/>
                <w:color w:val="auto"/>
              </w:rPr>
              <w:t>$231,000</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$198,000</w:t>
            </w:r>
          </w:p>
        </w:tc>
        <w:tc>
          <w:tcPr>
            <w:tcW w:w="1180" w:type="dxa"/>
            <w:vAlign w:val="bottom"/>
          </w:tcPr>
          <w:p>
            <w:pPr>
              <w:spacing w:after="0"/>
              <w:rPr>
                <w:sz w:val="22"/>
                <w:szCs w:val="22"/>
                <w:color w:val="auto"/>
              </w:rPr>
            </w:pPr>
          </w:p>
        </w:tc>
      </w:tr>
      <w:tr>
        <w:trPr>
          <w:trHeight w:val="20"/>
        </w:trPr>
        <w:tc>
          <w:tcPr>
            <w:tcW w:w="1180" w:type="dxa"/>
            <w:vAlign w:val="bottom"/>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68"/>
        </w:trPr>
        <w:tc>
          <w:tcPr>
            <w:tcW w:w="1180" w:type="dxa"/>
            <w:vAlign w:val="bottom"/>
          </w:tcPr>
          <w:p>
            <w:pPr>
              <w:spacing w:after="0"/>
              <w:rPr>
                <w:sz w:val="23"/>
                <w:szCs w:val="23"/>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Fees</w:t>
            </w:r>
          </w:p>
        </w:tc>
        <w:tc>
          <w:tcPr>
            <w:tcW w:w="432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$846,000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$864,000</w:t>
            </w:r>
          </w:p>
        </w:tc>
        <w:tc>
          <w:tcPr>
            <w:tcW w:w="1180" w:type="dxa"/>
            <w:vAlign w:val="bottom"/>
          </w:tcPr>
          <w:p>
            <w:pPr>
              <w:spacing w:after="0"/>
              <w:rPr>
                <w:sz w:val="23"/>
                <w:szCs w:val="23"/>
                <w:color w:val="auto"/>
              </w:rPr>
            </w:pPr>
          </w:p>
        </w:tc>
      </w:tr>
      <w:tr>
        <w:trPr>
          <w:trHeight w:val="587"/>
        </w:trPr>
        <w:tc>
          <w:tcPr>
            <w:tcW w:w="1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60" w:type="dxa"/>
            <w:vAlign w:val="bottom"/>
          </w:tcPr>
          <w:p>
            <w:pPr>
              <w:jc w:val="right"/>
              <w:ind w:right="2018"/>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11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-803275</wp:posOffset>
            </wp:positionV>
            <wp:extent cx="45243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24375" cy="8255"/>
                    </a:xfrm>
                    <a:prstGeom prst="rect">
                      <a:avLst/>
                    </a:prstGeom>
                    <a:noFill/>
                  </pic:spPr>
                </pic:pic>
              </a:graphicData>
            </a:graphic>
          </wp:anchor>
        </w:drawing>
        <w:drawing>
          <wp:anchor simplePos="0" relativeHeight="251657728" behindDoc="1" locked="0" layoutInCell="0" allowOverlap="1">
            <wp:simplePos x="0" y="0"/>
            <wp:positionH relativeFrom="column">
              <wp:posOffset>5149215</wp:posOffset>
            </wp:positionH>
            <wp:positionV relativeFrom="paragraph">
              <wp:posOffset>-1420495</wp:posOffset>
            </wp:positionV>
            <wp:extent cx="130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4596765</wp:posOffset>
            </wp:positionH>
            <wp:positionV relativeFrom="paragraph">
              <wp:posOffset>-1420495</wp:posOffset>
            </wp:positionV>
            <wp:extent cx="130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160"/>
          </w:cols>
          <w:pgMar w:left="860" w:top="131" w:right="879" w:bottom="1440" w:gutter="0" w:footer="0" w:header="0"/>
        </w:sectPr>
      </w:pPr>
    </w:p>
    <w:bookmarkStart w:id="25" w:name="page26"/>
    <w:bookmarkEnd w:id="25"/>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Audit Fees</w:t>
      </w:r>
    </w:p>
    <w:p>
      <w:pPr>
        <w:spacing w:after="0" w:line="137" w:lineRule="exact"/>
        <w:rPr>
          <w:sz w:val="20"/>
          <w:szCs w:val="20"/>
          <w:color w:val="auto"/>
        </w:rPr>
      </w:pPr>
    </w:p>
    <w:p>
      <w:pPr>
        <w:ind w:left="1200" w:right="899" w:firstLine="341"/>
        <w:spacing w:after="0" w:line="276" w:lineRule="auto"/>
        <w:rPr>
          <w:sz w:val="20"/>
          <w:szCs w:val="20"/>
          <w:color w:val="auto"/>
        </w:rPr>
      </w:pPr>
      <w:r>
        <w:rPr>
          <w:rFonts w:ascii="Arial" w:cs="Arial" w:eastAsia="Arial" w:hAnsi="Arial"/>
          <w:sz w:val="17"/>
          <w:szCs w:val="17"/>
          <w:color w:val="auto"/>
        </w:rPr>
        <w:t>Audit fees for the years ended December 31, 2021 and 2020, consisted of fees billed for the audit of Verona Pharma plc and its consolidated financial statements.</w:t>
      </w:r>
    </w:p>
    <w:p>
      <w:pPr>
        <w:spacing w:after="0" w:line="164"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Audit-Related Fees</w:t>
      </w:r>
    </w:p>
    <w:p>
      <w:pPr>
        <w:spacing w:after="0" w:line="150" w:lineRule="exact"/>
        <w:rPr>
          <w:sz w:val="20"/>
          <w:szCs w:val="20"/>
          <w:color w:val="auto"/>
        </w:rPr>
      </w:pPr>
    </w:p>
    <w:p>
      <w:pPr>
        <w:ind w:left="1200" w:right="1259" w:firstLine="341"/>
        <w:spacing w:after="0" w:line="276" w:lineRule="auto"/>
        <w:rPr>
          <w:sz w:val="20"/>
          <w:szCs w:val="20"/>
          <w:color w:val="auto"/>
        </w:rPr>
      </w:pPr>
      <w:r>
        <w:rPr>
          <w:rFonts w:ascii="Arial" w:cs="Arial" w:eastAsia="Arial" w:hAnsi="Arial"/>
          <w:sz w:val="17"/>
          <w:szCs w:val="17"/>
          <w:color w:val="auto"/>
        </w:rPr>
        <w:t>For the year ended December 31, 2021, audit-related services include fees for quarterly interim reviews.</w:t>
      </w:r>
    </w:p>
    <w:p>
      <w:pPr>
        <w:spacing w:after="0" w:line="100" w:lineRule="exact"/>
        <w:rPr>
          <w:sz w:val="20"/>
          <w:szCs w:val="20"/>
          <w:color w:val="auto"/>
        </w:rPr>
      </w:pPr>
    </w:p>
    <w:p>
      <w:pPr>
        <w:ind w:left="1200" w:right="659" w:firstLine="341"/>
        <w:spacing w:after="0" w:line="263" w:lineRule="auto"/>
        <w:rPr>
          <w:sz w:val="20"/>
          <w:szCs w:val="20"/>
          <w:color w:val="auto"/>
        </w:rPr>
      </w:pPr>
      <w:r>
        <w:rPr>
          <w:rFonts w:ascii="Arial" w:cs="Arial" w:eastAsia="Arial" w:hAnsi="Arial"/>
          <w:sz w:val="17"/>
          <w:szCs w:val="17"/>
          <w:color w:val="auto"/>
        </w:rPr>
        <w:t>For the year ended December 31, 2020, audit-related services include fees for quarterly interim reviews and the audit of conversion from International Financial Reporting Standards to U.S. Generally Accepted Accounting Principles for SEC filings.</w:t>
      </w:r>
    </w:p>
    <w:p>
      <w:pPr>
        <w:spacing w:after="0" w:line="176"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All Other Fees</w:t>
      </w:r>
    </w:p>
    <w:p>
      <w:pPr>
        <w:spacing w:after="0" w:line="137" w:lineRule="exact"/>
        <w:rPr>
          <w:sz w:val="20"/>
          <w:szCs w:val="20"/>
          <w:color w:val="auto"/>
        </w:rPr>
      </w:pPr>
    </w:p>
    <w:p>
      <w:pPr>
        <w:ind w:left="1200" w:right="679" w:firstLine="341"/>
        <w:spacing w:after="0" w:line="276" w:lineRule="auto"/>
        <w:rPr>
          <w:sz w:val="20"/>
          <w:szCs w:val="20"/>
          <w:color w:val="auto"/>
        </w:rPr>
      </w:pPr>
      <w:r>
        <w:rPr>
          <w:rFonts w:ascii="Arial" w:cs="Arial" w:eastAsia="Arial" w:hAnsi="Arial"/>
          <w:sz w:val="17"/>
          <w:szCs w:val="17"/>
          <w:color w:val="auto"/>
        </w:rPr>
        <w:t>For the year ended December 31, 2021, other services related to advice relating to comfort with respect to the at-the-market offering, and certain regulatory filings.</w:t>
      </w:r>
    </w:p>
    <w:p>
      <w:pPr>
        <w:spacing w:after="0" w:line="100" w:lineRule="exact"/>
        <w:rPr>
          <w:sz w:val="20"/>
          <w:szCs w:val="20"/>
          <w:color w:val="auto"/>
        </w:rPr>
      </w:pPr>
    </w:p>
    <w:p>
      <w:pPr>
        <w:ind w:left="1200" w:right="979" w:firstLine="341"/>
        <w:spacing w:after="0" w:line="276" w:lineRule="auto"/>
        <w:rPr>
          <w:sz w:val="20"/>
          <w:szCs w:val="20"/>
          <w:color w:val="auto"/>
        </w:rPr>
      </w:pPr>
      <w:r>
        <w:rPr>
          <w:rFonts w:ascii="Arial" w:cs="Arial" w:eastAsia="Arial" w:hAnsi="Arial"/>
          <w:sz w:val="17"/>
          <w:szCs w:val="17"/>
          <w:color w:val="auto"/>
        </w:rPr>
        <w:t>For the year ended December 31, 2020, other services related to advice relating to fund raising and certain regulatory filings.</w:t>
      </w:r>
    </w:p>
    <w:p>
      <w:pPr>
        <w:spacing w:after="0" w:line="164"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auto"/>
        </w:rPr>
        <w:t>Audit Committee Pre-Approval Policy and Procedures</w:t>
      </w:r>
    </w:p>
    <w:p>
      <w:pPr>
        <w:spacing w:after="0" w:line="150" w:lineRule="exact"/>
        <w:rPr>
          <w:sz w:val="20"/>
          <w:szCs w:val="20"/>
          <w:color w:val="auto"/>
        </w:rPr>
      </w:pPr>
    </w:p>
    <w:p>
      <w:pPr>
        <w:ind w:left="1200" w:right="639" w:firstLine="341"/>
        <w:spacing w:after="0" w:line="269" w:lineRule="auto"/>
        <w:rPr>
          <w:sz w:val="20"/>
          <w:szCs w:val="20"/>
          <w:color w:val="auto"/>
        </w:rPr>
      </w:pPr>
      <w:r>
        <w:rPr>
          <w:rFonts w:ascii="Arial" w:cs="Arial" w:eastAsia="Arial" w:hAnsi="Arial"/>
          <w:sz w:val="16"/>
          <w:szCs w:val="16"/>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PwC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our business, people, culture, accounting systems, risk profile and other factors, and whether the service might enhance our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17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PROPOSAL 8.</w:t>
      </w:r>
    </w:p>
    <w:p>
      <w:pPr>
        <w:spacing w:after="0" w:line="20" w:lineRule="exact"/>
        <w:rPr>
          <w:sz w:val="20"/>
          <w:szCs w:val="20"/>
          <w:color w:val="auto"/>
        </w:rPr>
      </w:pPr>
    </w:p>
    <w:p>
      <w:pPr>
        <w:ind w:left="1200" w:right="999"/>
        <w:spacing w:after="0" w:line="262" w:lineRule="auto"/>
        <w:rPr>
          <w:sz w:val="20"/>
          <w:szCs w:val="20"/>
          <w:color w:val="auto"/>
        </w:rPr>
      </w:pPr>
      <w:r>
        <w:rPr>
          <w:rFonts w:ascii="Arial" w:cs="Arial" w:eastAsia="Arial" w:hAnsi="Arial"/>
          <w:sz w:val="17"/>
          <w:szCs w:val="17"/>
          <w:i w:val="1"/>
          <w:iCs w:val="1"/>
          <w:color w:val="auto"/>
        </w:rPr>
        <w:t>To authorize the Audit and Risk Committee to determine the auditors’ remuneration for the year ending December 31, 2022</w:t>
      </w:r>
    </w:p>
    <w:p>
      <w:pPr>
        <w:spacing w:after="0" w:line="99" w:lineRule="exact"/>
        <w:rPr>
          <w:sz w:val="20"/>
          <w:szCs w:val="20"/>
          <w:color w:val="auto"/>
        </w:rPr>
      </w:pPr>
    </w:p>
    <w:p>
      <w:pPr>
        <w:ind w:left="1200" w:right="759" w:firstLine="341"/>
        <w:spacing w:after="0" w:line="259" w:lineRule="auto"/>
        <w:rPr>
          <w:sz w:val="20"/>
          <w:szCs w:val="20"/>
          <w:color w:val="auto"/>
        </w:rPr>
      </w:pPr>
      <w:r>
        <w:rPr>
          <w:rFonts w:ascii="Arial" w:cs="Arial" w:eastAsia="Arial" w:hAnsi="Arial"/>
          <w:sz w:val="17"/>
          <w:szCs w:val="17"/>
          <w:color w:val="auto"/>
        </w:rPr>
        <w:t>Proposal 8 authorizes the Audit Committee to determine our auditors’ remuneration for the fiscal year ending December 31, 2022. Fees for PwC in respect of the years ended December 31, 2021 and December 31, 2020, are set forth above under “</w:t>
      </w:r>
      <w:r>
        <w:rPr>
          <w:rFonts w:ascii="Arial" w:cs="Arial" w:eastAsia="Arial" w:hAnsi="Arial"/>
          <w:sz w:val="17"/>
          <w:szCs w:val="17"/>
          <w:i w:val="1"/>
          <w:iCs w:val="1"/>
          <w:color w:val="auto"/>
        </w:rPr>
        <w:t>Independent Registered Public Accounting Firm Fees and</w:t>
      </w:r>
      <w:r>
        <w:rPr>
          <w:rFonts w:ascii="Arial" w:cs="Arial" w:eastAsia="Arial" w:hAnsi="Arial"/>
          <w:sz w:val="17"/>
          <w:szCs w:val="17"/>
          <w:color w:val="auto"/>
        </w:rPr>
        <w:t xml:space="preserve"> </w:t>
      </w:r>
      <w:r>
        <w:rPr>
          <w:rFonts w:ascii="Arial" w:cs="Arial" w:eastAsia="Arial" w:hAnsi="Arial"/>
          <w:sz w:val="17"/>
          <w:szCs w:val="17"/>
          <w:i w:val="1"/>
          <w:iCs w:val="1"/>
          <w:color w:val="auto"/>
        </w:rPr>
        <w:t>Other Matters</w:t>
      </w:r>
      <w:r>
        <w:rPr>
          <w:rFonts w:ascii="Arial" w:cs="Arial" w:eastAsia="Arial" w:hAnsi="Arial"/>
          <w:sz w:val="17"/>
          <w:szCs w:val="17"/>
          <w:color w:val="auto"/>
        </w:rPr>
        <w:t>.”</w:t>
      </w:r>
    </w:p>
    <w:p>
      <w:pPr>
        <w:spacing w:after="0" w:line="17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VOTE REQUIRED</w:t>
      </w:r>
    </w:p>
    <w:p>
      <w:pPr>
        <w:spacing w:after="0" w:line="150" w:lineRule="exact"/>
        <w:rPr>
          <w:sz w:val="20"/>
          <w:szCs w:val="20"/>
          <w:color w:val="auto"/>
        </w:rPr>
      </w:pPr>
    </w:p>
    <w:p>
      <w:pPr>
        <w:ind w:left="1200" w:right="699" w:firstLine="341"/>
        <w:spacing w:after="0" w:line="259" w:lineRule="auto"/>
        <w:rPr>
          <w:sz w:val="20"/>
          <w:szCs w:val="20"/>
          <w:color w:val="auto"/>
        </w:rPr>
      </w:pPr>
      <w:r>
        <w:rPr>
          <w:rFonts w:ascii="Arial" w:cs="Arial" w:eastAsia="Arial" w:hAnsi="Arial"/>
          <w:sz w:val="17"/>
          <w:szCs w:val="17"/>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346"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RECOMMENDATION OF THE BOARD OF DIRECTORS</w:t>
      </w:r>
    </w:p>
    <w:p>
      <w:pPr>
        <w:spacing w:after="0" w:line="171" w:lineRule="exact"/>
        <w:rPr>
          <w:sz w:val="20"/>
          <w:szCs w:val="20"/>
          <w:color w:val="auto"/>
        </w:rPr>
      </w:pPr>
    </w:p>
    <w:p>
      <w:pPr>
        <w:ind w:left="2420"/>
        <w:spacing w:after="0"/>
        <w:rPr>
          <w:sz w:val="20"/>
          <w:szCs w:val="20"/>
          <w:color w:val="auto"/>
        </w:rPr>
      </w:pPr>
      <w:r>
        <w:rPr>
          <w:rFonts w:ascii="Arial" w:cs="Arial" w:eastAsia="Arial" w:hAnsi="Arial"/>
          <w:sz w:val="15"/>
          <w:szCs w:val="15"/>
          <w:b w:val="1"/>
          <w:bCs w:val="1"/>
          <w:color w:val="auto"/>
        </w:rPr>
        <w:t>The Board of Directors unanimously recommends a vote FOR authorization of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-98425</wp:posOffset>
            </wp:positionV>
            <wp:extent cx="13779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27" w:lineRule="exact"/>
        <w:rPr>
          <w:sz w:val="20"/>
          <w:szCs w:val="20"/>
          <w:color w:val="auto"/>
        </w:rPr>
      </w:pPr>
    </w:p>
    <w:p>
      <w:pPr>
        <w:ind w:left="2420"/>
        <w:spacing w:after="0"/>
        <w:rPr>
          <w:sz w:val="20"/>
          <w:szCs w:val="20"/>
          <w:color w:val="auto"/>
        </w:rPr>
      </w:pPr>
      <w:r>
        <w:rPr>
          <w:rFonts w:ascii="Arial" w:cs="Arial" w:eastAsia="Arial" w:hAnsi="Arial"/>
          <w:sz w:val="16"/>
          <w:szCs w:val="16"/>
          <w:b w:val="1"/>
          <w:bCs w:val="1"/>
          <w:color w:val="auto"/>
        </w:rPr>
        <w:t>Committee to determine PwC’s remuneration for the year ending December 31, 2022</w:t>
      </w:r>
    </w:p>
    <w:p>
      <w:pPr>
        <w:spacing w:after="0" w:line="26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PROPOSAL 9.</w:t>
      </w:r>
    </w:p>
    <w:p>
      <w:pPr>
        <w:spacing w:after="0" w:line="20" w:lineRule="exact"/>
        <w:rPr>
          <w:sz w:val="20"/>
          <w:szCs w:val="20"/>
          <w:color w:val="auto"/>
        </w:rPr>
      </w:pPr>
    </w:p>
    <w:p>
      <w:pPr>
        <w:ind w:left="1200" w:right="939"/>
        <w:spacing w:after="0" w:line="256" w:lineRule="auto"/>
        <w:rPr>
          <w:sz w:val="20"/>
          <w:szCs w:val="20"/>
          <w:color w:val="auto"/>
        </w:rPr>
      </w:pPr>
      <w:r>
        <w:rPr>
          <w:rFonts w:ascii="Arial" w:cs="Arial" w:eastAsia="Arial" w:hAnsi="Arial"/>
          <w:sz w:val="17"/>
          <w:szCs w:val="17"/>
          <w:i w:val="1"/>
          <w:iCs w:val="1"/>
          <w:color w:val="auto"/>
        </w:rPr>
        <w:t>To authorize the Board of Directors to exercise all the powers of the Company to allot shares in the Company or grant rights to subscribe for or to convert any security into shares in the Company up to an aggregate nominal amount of £24,702,912.</w:t>
      </w:r>
    </w:p>
    <w:p>
      <w:pPr>
        <w:spacing w:after="0" w:line="118" w:lineRule="exact"/>
        <w:rPr>
          <w:sz w:val="20"/>
          <w:szCs w:val="20"/>
          <w:color w:val="auto"/>
        </w:rPr>
      </w:pPr>
    </w:p>
    <w:p>
      <w:pPr>
        <w:ind w:left="1200" w:right="639" w:firstLine="341"/>
        <w:spacing w:after="0" w:line="257" w:lineRule="auto"/>
        <w:rPr>
          <w:sz w:val="20"/>
          <w:szCs w:val="20"/>
          <w:color w:val="auto"/>
        </w:rPr>
      </w:pPr>
      <w:r>
        <w:rPr>
          <w:rFonts w:ascii="Arial" w:cs="Arial" w:eastAsia="Arial" w:hAnsi="Arial"/>
          <w:sz w:val="17"/>
          <w:szCs w:val="17"/>
          <w:color w:val="auto"/>
        </w:rPr>
        <w:t>To authorize the Board of Directors generally and unconditionally for the purposes of Section 551 of the Companies Act to exercise all the powers of the Company to allot shares in the Company or grant rights to subscribe for or to convert any security into shares in the Company (“Rights”) up to an aggregate nominal amount of £24,702,912 to such persons at such times and upon such conditions as the directors may determine (subject to the Company’s Articles of Association).</w:t>
      </w:r>
    </w:p>
    <w:p>
      <w:pPr>
        <w:spacing w:after="0" w:line="105" w:lineRule="exact"/>
        <w:rPr>
          <w:sz w:val="20"/>
          <w:szCs w:val="20"/>
          <w:color w:val="auto"/>
        </w:rPr>
      </w:pPr>
    </w:p>
    <w:p>
      <w:pPr>
        <w:ind w:left="1200" w:right="639" w:firstLine="341"/>
        <w:spacing w:after="0" w:line="256" w:lineRule="auto"/>
        <w:rPr>
          <w:sz w:val="20"/>
          <w:szCs w:val="20"/>
          <w:color w:val="auto"/>
        </w:rPr>
      </w:pPr>
      <w:r>
        <w:rPr>
          <w:rFonts w:ascii="Arial" w:cs="Arial" w:eastAsia="Arial" w:hAnsi="Arial"/>
          <w:sz w:val="17"/>
          <w:szCs w:val="17"/>
          <w:color w:val="auto"/>
        </w:rPr>
        <w:t>This authority will replace any existing authorities to the extent not utilized at the date this resolution is passed and will, unless previously renewed, revoked or varied by the Company in general meeting, expire on June 1, 2023, provided that the Company may, at any time before such expiry, make an offer or enter into an agreement that would or might require shares to be allotted or Rights to be granted after such expiry and the Board of Directors may allot such shares or grant Rights pursuant to any such offer or agreement as if the authority conferred hereby had not expired.</w:t>
      </w:r>
    </w:p>
    <w:p>
      <w:pPr>
        <w:spacing w:after="0" w:line="18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VOTE REQUIRED</w:t>
      </w:r>
    </w:p>
    <w:p>
      <w:pPr>
        <w:spacing w:after="0" w:line="150" w:lineRule="exact"/>
        <w:rPr>
          <w:sz w:val="20"/>
          <w:szCs w:val="20"/>
          <w:color w:val="auto"/>
        </w:rPr>
      </w:pPr>
    </w:p>
    <w:p>
      <w:pPr>
        <w:ind w:left="1200" w:right="699" w:firstLine="341"/>
        <w:spacing w:after="0" w:line="259" w:lineRule="auto"/>
        <w:rPr>
          <w:sz w:val="20"/>
          <w:szCs w:val="20"/>
          <w:color w:val="auto"/>
        </w:rPr>
      </w:pPr>
      <w:r>
        <w:rPr>
          <w:rFonts w:ascii="Arial" w:cs="Arial" w:eastAsia="Arial" w:hAnsi="Arial"/>
          <w:sz w:val="17"/>
          <w:szCs w:val="17"/>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7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RECOMMENDATION OF THE BOARD OF DIRECTORS</w:t>
      </w:r>
    </w:p>
    <w:p>
      <w:pPr>
        <w:spacing w:after="0" w:line="171" w:lineRule="exact"/>
        <w:rPr>
          <w:sz w:val="20"/>
          <w:szCs w:val="20"/>
          <w:color w:val="auto"/>
        </w:rPr>
      </w:pPr>
    </w:p>
    <w:p>
      <w:pPr>
        <w:ind w:left="2420" w:right="639"/>
        <w:spacing w:after="0" w:line="266" w:lineRule="auto"/>
        <w:rPr>
          <w:sz w:val="20"/>
          <w:szCs w:val="20"/>
          <w:color w:val="auto"/>
        </w:rPr>
      </w:pPr>
      <w:r>
        <w:rPr>
          <w:rFonts w:ascii="Arial" w:cs="Arial" w:eastAsia="Arial" w:hAnsi="Arial"/>
          <w:sz w:val="17"/>
          <w:szCs w:val="17"/>
          <w:b w:val="1"/>
          <w:bCs w:val="1"/>
          <w:color w:val="auto"/>
        </w:rPr>
        <w:t>The Board of Directors unanimously recommends a vote FOR the authorization of Directors to exercise all the powers to the Company to allot shares in the Company or grant Rights up to an aggregate nominal amount of £24,702,912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-401955</wp:posOffset>
            </wp:positionV>
            <wp:extent cx="13779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16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PROPOSAL 10.</w:t>
      </w:r>
    </w:p>
    <w:p>
      <w:pPr>
        <w:spacing w:after="0" w:line="20" w:lineRule="exact"/>
        <w:rPr>
          <w:sz w:val="20"/>
          <w:szCs w:val="20"/>
          <w:color w:val="auto"/>
        </w:rPr>
      </w:pPr>
    </w:p>
    <w:p>
      <w:pPr>
        <w:ind w:left="1200" w:right="719"/>
        <w:spacing w:after="0" w:line="256" w:lineRule="auto"/>
        <w:rPr>
          <w:sz w:val="20"/>
          <w:szCs w:val="20"/>
          <w:color w:val="auto"/>
        </w:rPr>
      </w:pPr>
      <w:r>
        <w:rPr>
          <w:rFonts w:ascii="Arial" w:cs="Arial" w:eastAsia="Arial" w:hAnsi="Arial"/>
          <w:sz w:val="17"/>
          <w:szCs w:val="17"/>
          <w:i w:val="1"/>
          <w:iCs w:val="1"/>
          <w:color w:val="auto"/>
        </w:rPr>
        <w:t>To authorize the Board of Directors to allot equity securities for cash and/or to sell ordinary shares held by the Company as treasury shares for cash as if Section 561(1) of the Companies Act does not apply to any such allotment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As a U.K.-incorporated company, the Company’s ordinary shareholders are entitled, under</w:t>
      </w:r>
    </w:p>
    <w:p>
      <w:pPr>
        <w:spacing w:after="0" w:line="20" w:lineRule="exact"/>
        <w:rPr>
          <w:sz w:val="20"/>
          <w:szCs w:val="20"/>
          <w:color w:val="auto"/>
        </w:rPr>
      </w:pPr>
    </w:p>
    <w:p>
      <w:pPr>
        <w:ind w:left="1200" w:right="679"/>
        <w:spacing w:after="0" w:line="280" w:lineRule="auto"/>
        <w:rPr>
          <w:sz w:val="20"/>
          <w:szCs w:val="20"/>
          <w:color w:val="auto"/>
        </w:rPr>
      </w:pPr>
      <w:r>
        <w:rPr>
          <w:rFonts w:ascii="Arial" w:cs="Arial" w:eastAsia="Arial" w:hAnsi="Arial"/>
          <w:sz w:val="16"/>
          <w:szCs w:val="16"/>
          <w:color w:val="auto"/>
        </w:rPr>
        <w:t>Section 561(1) of the Companies Act, to pre-emption rights, whereby, in the event that the Company wishes to allot new equity securities for cash, those securities must first be offered to existing shareholders in proportion to the number of ordinary shares they each hold before they can be offered to new shareholders.</w:t>
      </w:r>
    </w:p>
    <w:p>
      <w:pPr>
        <w:spacing w:after="0" w:line="99" w:lineRule="exact"/>
        <w:rPr>
          <w:sz w:val="20"/>
          <w:szCs w:val="20"/>
          <w:color w:val="auto"/>
        </w:rPr>
      </w:pPr>
    </w:p>
    <w:p>
      <w:pPr>
        <w:ind w:left="1200" w:right="659" w:firstLine="341"/>
        <w:spacing w:after="0" w:line="253" w:lineRule="auto"/>
        <w:rPr>
          <w:sz w:val="20"/>
          <w:szCs w:val="20"/>
          <w:color w:val="auto"/>
        </w:rPr>
      </w:pPr>
      <w:r>
        <w:rPr>
          <w:rFonts w:ascii="Arial" w:cs="Arial" w:eastAsia="Arial" w:hAnsi="Arial"/>
          <w:sz w:val="17"/>
          <w:szCs w:val="17"/>
          <w:color w:val="auto"/>
        </w:rPr>
        <w:t>Subject to and conditioned upon the passing of Proposal 9 above, this Proposal 10 authorizes the Board of Directors pursuant to Section 570 and 573 of the Companies Act to allot equity securities (as defined in Section 560 of the Companies Act) for cash pursuant to the authority conferred by Proposal 9 above and/or to sell ordinary shares held by the Company as treasury shares for cash, as if Section 561(1) of the Companies Act did not apply to any such allotment or sale, provided that this power will be limited to the allotment of equity securities or sale of treasury shares up to an aggregate nominal amount of £24,702,912, will replace any existing disapplication of Section 561 of the Companies Act to the extent not utilized at the date this resolution is passed and will expire on June 1, 2023, unless previously renewed, varied or revoked by the Company in general meeting, provided that the Company may, before such expiry, make an offer or agreement which would or might require shares in the Company or rights to be allotted or granted or treasury shares to be sold after this authority expires and that the Directors may allot shares in the Company or</w:t>
      </w:r>
    </w:p>
    <w:p>
      <w:pPr>
        <w:spacing w:after="0" w:line="354"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right="919"/>
        <w:spacing w:after="0" w:line="276" w:lineRule="auto"/>
        <w:rPr>
          <w:sz w:val="20"/>
          <w:szCs w:val="20"/>
          <w:color w:val="auto"/>
        </w:rPr>
      </w:pPr>
      <w:r>
        <w:rPr>
          <w:rFonts w:ascii="Arial" w:cs="Arial" w:eastAsia="Arial" w:hAnsi="Arial"/>
          <w:sz w:val="17"/>
          <w:szCs w:val="17"/>
          <w:color w:val="auto"/>
        </w:rPr>
        <w:t>grant rights or sell treasury shares pursuant to such an offer or agreement as if the authority conferred by this resolution had not expired.</w:t>
      </w:r>
    </w:p>
    <w:p>
      <w:pPr>
        <w:spacing w:after="0" w:line="88" w:lineRule="exact"/>
        <w:rPr>
          <w:sz w:val="20"/>
          <w:szCs w:val="20"/>
          <w:color w:val="auto"/>
        </w:rPr>
      </w:pPr>
    </w:p>
    <w:p>
      <w:pPr>
        <w:jc w:val="both"/>
        <w:ind w:left="1200" w:right="679" w:firstLine="341"/>
        <w:spacing w:after="0" w:line="280" w:lineRule="auto"/>
        <w:rPr>
          <w:sz w:val="20"/>
          <w:szCs w:val="20"/>
          <w:color w:val="auto"/>
        </w:rPr>
      </w:pPr>
      <w:r>
        <w:rPr>
          <w:rFonts w:ascii="Arial" w:cs="Arial" w:eastAsia="Arial" w:hAnsi="Arial"/>
          <w:sz w:val="16"/>
          <w:szCs w:val="16"/>
          <w:color w:val="auto"/>
        </w:rPr>
        <w:t>The Board of Directors considers that, at this stage of the development of the Company, the ability to raise new equity funds at relatively short notice and at low cost is vital to the continuing financial health of the business. We believe that it is in the best interests of the Company and our shareholders for the Board of Directors to seek to retain the ability to readily raise new equity funds at the appropriate time.</w:t>
      </w:r>
    </w:p>
    <w:p>
      <w:pPr>
        <w:spacing w:after="0" w:line="165"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auto"/>
        </w:rPr>
        <w:t>Anti-takeover Effects of Proposal 10</w:t>
      </w:r>
    </w:p>
    <w:p>
      <w:pPr>
        <w:spacing w:after="0" w:line="150" w:lineRule="exact"/>
        <w:rPr>
          <w:sz w:val="20"/>
          <w:szCs w:val="20"/>
          <w:color w:val="auto"/>
        </w:rPr>
      </w:pPr>
    </w:p>
    <w:p>
      <w:pPr>
        <w:ind w:left="1200" w:right="819" w:firstLine="341"/>
        <w:spacing w:after="0" w:line="272" w:lineRule="auto"/>
        <w:rPr>
          <w:sz w:val="20"/>
          <w:szCs w:val="20"/>
          <w:color w:val="auto"/>
        </w:rPr>
      </w:pPr>
      <w:r>
        <w:rPr>
          <w:rFonts w:ascii="Arial" w:cs="Arial" w:eastAsia="Arial" w:hAnsi="Arial"/>
          <w:sz w:val="16"/>
          <w:szCs w:val="16"/>
          <w:color w:val="auto"/>
        </w:rPr>
        <w:t>Release No. 34-15230 of the staff of the SEC requires disclosure and discussion of the effects of any action that may be used as an anti-takeover mechanism. Because this Proposal 10, if approved, will authorize the Board of Directors to allot new equity securities for cash without first offering them to existing shareholders, it could, under certain circumstances, have an anti-takeover effect, although this is not the purpose or intent of our Board of Directors. A relative increase in the number of our issued shares offered to new shareholders could enable the Board to render more difficult or discourage an attempt by a party attempting to obtain control of the Company. Moreover, the issuance of equity securities to persons friendly to the Board of Directors could make it more difficult to remove incumbent officers and directors from office even if such change were favorable to shareholders generally.</w:t>
      </w:r>
    </w:p>
    <w:p>
      <w:pPr>
        <w:spacing w:after="0" w:line="106" w:lineRule="exact"/>
        <w:rPr>
          <w:sz w:val="20"/>
          <w:szCs w:val="20"/>
          <w:color w:val="auto"/>
        </w:rPr>
      </w:pPr>
    </w:p>
    <w:p>
      <w:pPr>
        <w:ind w:left="1200" w:right="659" w:firstLine="341"/>
        <w:spacing w:after="0" w:line="273" w:lineRule="auto"/>
        <w:rPr>
          <w:sz w:val="20"/>
          <w:szCs w:val="20"/>
          <w:color w:val="auto"/>
        </w:rPr>
      </w:pPr>
      <w:r>
        <w:rPr>
          <w:rFonts w:ascii="Arial" w:cs="Arial" w:eastAsia="Arial" w:hAnsi="Arial"/>
          <w:sz w:val="16"/>
          <w:szCs w:val="16"/>
          <w:color w:val="auto"/>
        </w:rPr>
        <w:t>As stated above, the Company has no present intent to use any relative increase in the number of issued shares of our equity securities offered to new shareholders for anti-takeover purposes, and Proposal 10 is not part of a plan by the Board of Directors to adopt a series of anti-takeover provisions; however, if Proposal 10 is approved by the shareholders, then a greater number of our equity securities would be available for such purpose than is currently available. The Company is not aware of any pending or threatened efforts to obtain control of the Company, and the Board has no present intent to authorize the issuance of additional ordinary shares to discourage such efforts if they were to arise.</w:t>
      </w:r>
    </w:p>
    <w:p>
      <w:pPr>
        <w:spacing w:after="0" w:line="17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VOTE REQUIRED</w:t>
      </w:r>
    </w:p>
    <w:p>
      <w:pPr>
        <w:spacing w:after="0" w:line="137" w:lineRule="exact"/>
        <w:rPr>
          <w:sz w:val="20"/>
          <w:szCs w:val="20"/>
          <w:color w:val="auto"/>
        </w:rPr>
      </w:pPr>
    </w:p>
    <w:p>
      <w:pPr>
        <w:ind w:left="1200" w:right="659" w:firstLine="341"/>
        <w:spacing w:after="0" w:line="259" w:lineRule="auto"/>
        <w:rPr>
          <w:sz w:val="20"/>
          <w:szCs w:val="20"/>
          <w:color w:val="auto"/>
        </w:rPr>
      </w:pPr>
      <w:r>
        <w:rPr>
          <w:rFonts w:ascii="Arial" w:cs="Arial" w:eastAsia="Arial" w:hAnsi="Arial"/>
          <w:sz w:val="17"/>
          <w:szCs w:val="17"/>
          <w:color w:val="auto"/>
        </w:rPr>
        <w:t>This proposal requires approval by holders representing not less than 75% of the total voting rights of shareholders present (in person or by proxy) who (being entitled to vote) vote on the proposal. Votes withheld are not considered to be votes cast and, accordingly, will have no effect on the outcome of the vote on this proposal.</w:t>
      </w:r>
    </w:p>
    <w:p>
      <w:pPr>
        <w:spacing w:after="0" w:line="17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RECOMMENDATION OF THE BOARD OF DIRECTORS</w:t>
      </w:r>
    </w:p>
    <w:p>
      <w:pPr>
        <w:spacing w:after="0" w:line="184" w:lineRule="exact"/>
        <w:rPr>
          <w:sz w:val="20"/>
          <w:szCs w:val="20"/>
          <w:color w:val="auto"/>
        </w:rPr>
      </w:pPr>
    </w:p>
    <w:p>
      <w:pPr>
        <w:ind w:left="2420" w:right="759"/>
        <w:spacing w:after="0" w:line="261" w:lineRule="auto"/>
        <w:rPr>
          <w:sz w:val="20"/>
          <w:szCs w:val="20"/>
          <w:color w:val="auto"/>
        </w:rPr>
      </w:pPr>
      <w:r>
        <w:rPr>
          <w:rFonts w:ascii="Arial" w:cs="Arial" w:eastAsia="Arial" w:hAnsi="Arial"/>
          <w:sz w:val="17"/>
          <w:szCs w:val="17"/>
          <w:b w:val="1"/>
          <w:bCs w:val="1"/>
          <w:color w:val="auto"/>
        </w:rPr>
        <w:t>The Board of Directors unanimously recommends a vote FOR the authorization of Directors to allot equity securities for cash and/or to sell ordinary shares held by the Company as treasury shares for cash as if Section 561(1) of the Companies Act does not apply to any such allotment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-528955</wp:posOffset>
            </wp:positionV>
            <wp:extent cx="13779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Executive Officers</w:t>
      </w:r>
    </w:p>
    <w:p>
      <w:pPr>
        <w:spacing w:after="0" w:line="14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The following table identifies our current executive officers:</w:t>
      </w:r>
    </w:p>
    <w:p>
      <w:pPr>
        <w:spacing w:after="0" w:line="168" w:lineRule="exact"/>
        <w:rPr>
          <w:sz w:val="20"/>
          <w:szCs w:val="20"/>
          <w:color w:val="auto"/>
        </w:rPr>
      </w:pPr>
    </w:p>
    <w:tbl>
      <w:tblPr>
        <w:tblLayout w:type="fixed"/>
        <w:tblInd w:w="1200" w:type="dxa"/>
        <w:tblCellMar>
          <w:top w:w="0" w:type="dxa"/>
          <w:left w:w="0" w:type="dxa"/>
          <w:bottom w:w="0" w:type="dxa"/>
          <w:right w:w="0" w:type="dxa"/>
        </w:tblCellMar>
      </w:tblPr>
      <w:tr>
        <w:trPr>
          <w:trHeight w:val="175"/>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w w:val="90"/>
              </w:rPr>
              <w:t>Age</w:t>
            </w:r>
          </w:p>
        </w:tc>
        <w:tc>
          <w:tcPr>
            <w:tcW w:w="200" w:type="dxa"/>
            <w:vAlign w:val="bottom"/>
          </w:tcPr>
          <w:p>
            <w:pPr>
              <w:spacing w:after="0"/>
              <w:rPr>
                <w:sz w:val="15"/>
                <w:szCs w:val="15"/>
                <w:color w:val="auto"/>
              </w:rPr>
            </w:pPr>
          </w:p>
        </w:tc>
        <w:tc>
          <w:tcPr>
            <w:tcW w:w="4200" w:type="dxa"/>
            <w:vAlign w:val="bottom"/>
          </w:tcPr>
          <w:p>
            <w:pPr>
              <w:ind w:left="1880"/>
              <w:spacing w:after="0"/>
              <w:rPr>
                <w:sz w:val="20"/>
                <w:szCs w:val="20"/>
                <w:color w:val="auto"/>
              </w:rPr>
            </w:pPr>
            <w:r>
              <w:rPr>
                <w:rFonts w:ascii="Arial" w:cs="Arial" w:eastAsia="Arial" w:hAnsi="Arial"/>
                <w:sz w:val="14"/>
                <w:szCs w:val="14"/>
                <w:b w:val="1"/>
                <w:bCs w:val="1"/>
                <w:color w:val="auto"/>
              </w:rPr>
              <w:t>Position</w:t>
            </w:r>
          </w:p>
        </w:tc>
      </w:tr>
      <w:tr>
        <w:trPr>
          <w:trHeight w:val="24"/>
        </w:trPr>
        <w:tc>
          <w:tcPr>
            <w:tcW w:w="2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70"/>
        </w:trPr>
        <w:tc>
          <w:tcPr>
            <w:tcW w:w="3080" w:type="dxa"/>
            <w:vAlign w:val="bottom"/>
            <w:gridSpan w:val="2"/>
          </w:tcPr>
          <w:p>
            <w:pPr>
              <w:spacing w:after="0"/>
              <w:rPr>
                <w:sz w:val="20"/>
                <w:szCs w:val="20"/>
                <w:color w:val="auto"/>
              </w:rPr>
            </w:pPr>
            <w:r>
              <w:rPr>
                <w:rFonts w:ascii="Arial" w:cs="Arial" w:eastAsia="Arial" w:hAnsi="Arial"/>
                <w:sz w:val="17"/>
                <w:szCs w:val="17"/>
                <w:color w:val="auto"/>
              </w:rPr>
              <w:t>David Zaccardelli, Pharm.D.</w:t>
            </w:r>
            <w:r>
              <w:rPr>
                <w:rFonts w:ascii="Arial" w:cs="Arial" w:eastAsia="Arial" w:hAnsi="Arial"/>
                <w:sz w:val="22"/>
                <w:szCs w:val="22"/>
                <w:color w:val="auto"/>
                <w:vertAlign w:val="superscript"/>
              </w:rPr>
              <w:t>(1)</w:t>
            </w:r>
          </w:p>
        </w:tc>
        <w:tc>
          <w:tcPr>
            <w:tcW w:w="280" w:type="dxa"/>
            <w:vAlign w:val="bottom"/>
          </w:tcPr>
          <w:p>
            <w:pPr>
              <w:ind w:left="40"/>
              <w:spacing w:after="0"/>
              <w:rPr>
                <w:sz w:val="20"/>
                <w:szCs w:val="20"/>
                <w:color w:val="auto"/>
              </w:rPr>
            </w:pPr>
            <w:r>
              <w:rPr>
                <w:rFonts w:ascii="Arial" w:cs="Arial" w:eastAsia="Arial" w:hAnsi="Arial"/>
                <w:sz w:val="17"/>
                <w:szCs w:val="17"/>
                <w:color w:val="auto"/>
              </w:rPr>
              <w:t>57</w:t>
            </w:r>
          </w:p>
        </w:tc>
        <w:tc>
          <w:tcPr>
            <w:tcW w:w="4400" w:type="dxa"/>
            <w:vAlign w:val="bottom"/>
            <w:gridSpan w:val="2"/>
          </w:tcPr>
          <w:p>
            <w:pPr>
              <w:ind w:left="200"/>
              <w:spacing w:after="0"/>
              <w:rPr>
                <w:sz w:val="20"/>
                <w:szCs w:val="20"/>
                <w:color w:val="auto"/>
              </w:rPr>
            </w:pPr>
            <w:r>
              <w:rPr>
                <w:rFonts w:ascii="Arial" w:cs="Arial" w:eastAsia="Arial" w:hAnsi="Arial"/>
                <w:sz w:val="17"/>
                <w:szCs w:val="17"/>
                <w:color w:val="auto"/>
                <w:w w:val="97"/>
              </w:rPr>
              <w:t>President, Chief Executive Officer and Executive Director</w:t>
            </w:r>
          </w:p>
        </w:tc>
      </w:tr>
      <w:tr>
        <w:trPr>
          <w:trHeight w:val="269"/>
        </w:trPr>
        <w:tc>
          <w:tcPr>
            <w:tcW w:w="3080" w:type="dxa"/>
            <w:vAlign w:val="bottom"/>
            <w:gridSpan w:val="2"/>
          </w:tcPr>
          <w:p>
            <w:pPr>
              <w:spacing w:after="0"/>
              <w:rPr>
                <w:sz w:val="20"/>
                <w:szCs w:val="20"/>
                <w:color w:val="auto"/>
              </w:rPr>
            </w:pPr>
            <w:r>
              <w:rPr>
                <w:rFonts w:ascii="Arial" w:cs="Arial" w:eastAsia="Arial" w:hAnsi="Arial"/>
                <w:sz w:val="17"/>
                <w:szCs w:val="17"/>
                <w:color w:val="auto"/>
              </w:rPr>
              <w:t>Mark W. Hahn</w:t>
            </w:r>
            <w:r>
              <w:rPr>
                <w:rFonts w:ascii="Arial" w:cs="Arial" w:eastAsia="Arial" w:hAnsi="Arial"/>
                <w:sz w:val="22"/>
                <w:szCs w:val="22"/>
                <w:color w:val="auto"/>
                <w:vertAlign w:val="superscript"/>
              </w:rPr>
              <w:t>(2)</w:t>
            </w:r>
          </w:p>
        </w:tc>
        <w:tc>
          <w:tcPr>
            <w:tcW w:w="280" w:type="dxa"/>
            <w:vAlign w:val="bottom"/>
          </w:tcPr>
          <w:p>
            <w:pPr>
              <w:ind w:left="40"/>
              <w:spacing w:after="0"/>
              <w:rPr>
                <w:sz w:val="20"/>
                <w:szCs w:val="20"/>
                <w:color w:val="auto"/>
              </w:rPr>
            </w:pPr>
            <w:r>
              <w:rPr>
                <w:rFonts w:ascii="Arial" w:cs="Arial" w:eastAsia="Arial" w:hAnsi="Arial"/>
                <w:sz w:val="17"/>
                <w:szCs w:val="17"/>
                <w:color w:val="auto"/>
              </w:rPr>
              <w:t>59</w:t>
            </w:r>
          </w:p>
        </w:tc>
        <w:tc>
          <w:tcPr>
            <w:tcW w:w="4400" w:type="dxa"/>
            <w:vAlign w:val="bottom"/>
            <w:gridSpan w:val="2"/>
          </w:tcPr>
          <w:p>
            <w:pPr>
              <w:ind w:left="200"/>
              <w:spacing w:after="0"/>
              <w:rPr>
                <w:sz w:val="20"/>
                <w:szCs w:val="20"/>
                <w:color w:val="auto"/>
              </w:rPr>
            </w:pPr>
            <w:r>
              <w:rPr>
                <w:rFonts w:ascii="Arial" w:cs="Arial" w:eastAsia="Arial" w:hAnsi="Arial"/>
                <w:sz w:val="17"/>
                <w:szCs w:val="17"/>
                <w:color w:val="auto"/>
              </w:rPr>
              <w:t>Chief Financial Officer</w:t>
            </w:r>
          </w:p>
        </w:tc>
      </w:tr>
      <w:tr>
        <w:trPr>
          <w:trHeight w:val="269"/>
        </w:trPr>
        <w:tc>
          <w:tcPr>
            <w:tcW w:w="3080" w:type="dxa"/>
            <w:vAlign w:val="bottom"/>
            <w:gridSpan w:val="2"/>
          </w:tcPr>
          <w:p>
            <w:pPr>
              <w:spacing w:after="0"/>
              <w:rPr>
                <w:sz w:val="20"/>
                <w:szCs w:val="20"/>
                <w:color w:val="auto"/>
              </w:rPr>
            </w:pPr>
            <w:r>
              <w:rPr>
                <w:rFonts w:ascii="Arial" w:cs="Arial" w:eastAsia="Arial" w:hAnsi="Arial"/>
                <w:sz w:val="17"/>
                <w:szCs w:val="17"/>
                <w:color w:val="auto"/>
              </w:rPr>
              <w:t>Claire Poll</w:t>
            </w:r>
            <w:r>
              <w:rPr>
                <w:rFonts w:ascii="Arial" w:cs="Arial" w:eastAsia="Arial" w:hAnsi="Arial"/>
                <w:sz w:val="22"/>
                <w:szCs w:val="22"/>
                <w:color w:val="auto"/>
                <w:vertAlign w:val="superscript"/>
              </w:rPr>
              <w:t>(3)</w:t>
            </w:r>
          </w:p>
        </w:tc>
        <w:tc>
          <w:tcPr>
            <w:tcW w:w="280" w:type="dxa"/>
            <w:vAlign w:val="bottom"/>
          </w:tcPr>
          <w:p>
            <w:pPr>
              <w:ind w:left="40"/>
              <w:spacing w:after="0"/>
              <w:rPr>
                <w:sz w:val="20"/>
                <w:szCs w:val="20"/>
                <w:color w:val="auto"/>
              </w:rPr>
            </w:pPr>
            <w:r>
              <w:rPr>
                <w:rFonts w:ascii="Arial" w:cs="Arial" w:eastAsia="Arial" w:hAnsi="Arial"/>
                <w:sz w:val="17"/>
                <w:szCs w:val="17"/>
                <w:color w:val="auto"/>
              </w:rPr>
              <w:t>55</w:t>
            </w:r>
          </w:p>
        </w:tc>
        <w:tc>
          <w:tcPr>
            <w:tcW w:w="4400" w:type="dxa"/>
            <w:vAlign w:val="bottom"/>
            <w:gridSpan w:val="2"/>
          </w:tcPr>
          <w:p>
            <w:pPr>
              <w:ind w:left="200"/>
              <w:spacing w:after="0"/>
              <w:rPr>
                <w:sz w:val="20"/>
                <w:szCs w:val="20"/>
                <w:color w:val="auto"/>
              </w:rPr>
            </w:pPr>
            <w:r>
              <w:rPr>
                <w:rFonts w:ascii="Arial" w:cs="Arial" w:eastAsia="Arial" w:hAnsi="Arial"/>
                <w:sz w:val="17"/>
                <w:szCs w:val="17"/>
                <w:color w:val="auto"/>
              </w:rPr>
              <w:t>General Counsel</w:t>
            </w:r>
          </w:p>
        </w:tc>
      </w:tr>
      <w:tr>
        <w:trPr>
          <w:trHeight w:val="287"/>
        </w:trPr>
        <w:tc>
          <w:tcPr>
            <w:tcW w:w="3080" w:type="dxa"/>
            <w:vAlign w:val="bottom"/>
            <w:gridSpan w:val="2"/>
          </w:tcPr>
          <w:p>
            <w:pPr>
              <w:spacing w:after="0"/>
              <w:rPr>
                <w:sz w:val="20"/>
                <w:szCs w:val="20"/>
                <w:color w:val="auto"/>
              </w:rPr>
            </w:pPr>
            <w:r>
              <w:rPr>
                <w:rFonts w:ascii="Arial" w:cs="Arial" w:eastAsia="Arial" w:hAnsi="Arial"/>
                <w:sz w:val="17"/>
                <w:szCs w:val="17"/>
                <w:color w:val="auto"/>
              </w:rPr>
              <w:t>Kathleen Rickard, M.D.</w:t>
            </w:r>
            <w:r>
              <w:rPr>
                <w:rFonts w:ascii="Arial" w:cs="Arial" w:eastAsia="Arial" w:hAnsi="Arial"/>
                <w:sz w:val="22"/>
                <w:szCs w:val="22"/>
                <w:color w:val="auto"/>
                <w:vertAlign w:val="superscript"/>
              </w:rPr>
              <w:t>(4)</w:t>
            </w:r>
          </w:p>
        </w:tc>
        <w:tc>
          <w:tcPr>
            <w:tcW w:w="280" w:type="dxa"/>
            <w:vAlign w:val="bottom"/>
          </w:tcPr>
          <w:p>
            <w:pPr>
              <w:ind w:left="40"/>
              <w:spacing w:after="0"/>
              <w:rPr>
                <w:sz w:val="20"/>
                <w:szCs w:val="20"/>
                <w:color w:val="auto"/>
              </w:rPr>
            </w:pPr>
            <w:r>
              <w:rPr>
                <w:rFonts w:ascii="Arial" w:cs="Arial" w:eastAsia="Arial" w:hAnsi="Arial"/>
                <w:sz w:val="17"/>
                <w:szCs w:val="17"/>
                <w:color w:val="auto"/>
              </w:rPr>
              <w:t>63</w:t>
            </w:r>
          </w:p>
        </w:tc>
        <w:tc>
          <w:tcPr>
            <w:tcW w:w="4400" w:type="dxa"/>
            <w:vAlign w:val="bottom"/>
            <w:gridSpan w:val="2"/>
          </w:tcPr>
          <w:p>
            <w:pPr>
              <w:ind w:left="200"/>
              <w:spacing w:after="0"/>
              <w:rPr>
                <w:sz w:val="20"/>
                <w:szCs w:val="20"/>
                <w:color w:val="auto"/>
              </w:rPr>
            </w:pPr>
            <w:r>
              <w:rPr>
                <w:rFonts w:ascii="Arial" w:cs="Arial" w:eastAsia="Arial" w:hAnsi="Arial"/>
                <w:sz w:val="17"/>
                <w:szCs w:val="17"/>
                <w:color w:val="auto"/>
              </w:rPr>
              <w:t>Chief Medical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121285</wp:posOffset>
            </wp:positionV>
            <wp:extent cx="11696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325" w:lineRule="exact"/>
        <w:rPr>
          <w:sz w:val="20"/>
          <w:szCs w:val="20"/>
          <w:color w:val="auto"/>
        </w:rPr>
      </w:pPr>
    </w:p>
    <w:p>
      <w:pPr>
        <w:ind w:left="1540" w:hanging="344"/>
        <w:spacing w:after="0"/>
        <w:tabs>
          <w:tab w:leader="none" w:pos="1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See biography on page 10 of this proxy statement.</w:t>
      </w:r>
    </w:p>
    <w:p>
      <w:pPr>
        <w:spacing w:after="0" w:line="94" w:lineRule="exact"/>
        <w:rPr>
          <w:rFonts w:ascii="Arial" w:cs="Arial" w:eastAsia="Arial" w:hAnsi="Arial"/>
          <w:sz w:val="17"/>
          <w:szCs w:val="17"/>
          <w:color w:val="auto"/>
        </w:rPr>
      </w:pPr>
    </w:p>
    <w:p>
      <w:pPr>
        <w:ind w:left="1540" w:right="739" w:hanging="344"/>
        <w:spacing w:after="0" w:line="255" w:lineRule="auto"/>
        <w:tabs>
          <w:tab w:leader="none" w:pos="154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Mark Hahn</w:t>
      </w:r>
      <w:r>
        <w:rPr>
          <w:rFonts w:ascii="Arial" w:cs="Arial" w:eastAsia="Arial" w:hAnsi="Arial"/>
          <w:sz w:val="17"/>
          <w:szCs w:val="17"/>
          <w:color w:val="auto"/>
        </w:rPr>
        <w:t>. Mr. Hahn has served as our Chief Financial Officer since February 2020. From</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2018 until its acquisition by Swedish Orphan Biovitrum for up to $915 million in November 2019, Mr. Hahn served as CFO of Dova Pharmaceuticals, a company developing therapeutics for rare diseases. Previously, from 2010 until its acquisition by Melinta Therapeutics in November 2017, Mr. Hahn was CFO of Cempra, Inc. Mr. Hahn has served on the board of directors of ALSP Orchid Acquisition Corporation I since November 2021. Mr. Hahn received a B.B.A. degree in Accounting and Finance from the University of Wisconsin-Milwaukee and is a Certified Public Accountant in Maryland and North Carolina.</w:t>
      </w:r>
    </w:p>
    <w:p>
      <w:pPr>
        <w:spacing w:after="0" w:line="52" w:lineRule="exact"/>
        <w:rPr>
          <w:rFonts w:ascii="Arial" w:cs="Arial" w:eastAsia="Arial" w:hAnsi="Arial"/>
          <w:sz w:val="17"/>
          <w:szCs w:val="17"/>
          <w:color w:val="auto"/>
        </w:rPr>
      </w:pPr>
    </w:p>
    <w:p>
      <w:pPr>
        <w:ind w:left="1540" w:right="659" w:hanging="344"/>
        <w:spacing w:after="0" w:line="278" w:lineRule="auto"/>
        <w:tabs>
          <w:tab w:leader="none" w:pos="154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Claire Poll</w:t>
      </w:r>
      <w:r>
        <w:rPr>
          <w:rFonts w:ascii="Arial" w:cs="Arial" w:eastAsia="Arial" w:hAnsi="Arial"/>
          <w:sz w:val="16"/>
          <w:szCs w:val="16"/>
          <w:color w:val="auto"/>
        </w:rPr>
        <w:t>. Ms. Poll has served as General Counsel since September 2016. From September 2015 to</w:t>
      </w:r>
      <w:r>
        <w:rPr>
          <w:rFonts w:ascii="Arial" w:cs="Arial" w:eastAsia="Arial" w:hAnsi="Arial"/>
          <w:sz w:val="16"/>
          <w:szCs w:val="16"/>
          <w:b w:val="1"/>
          <w:bCs w:val="1"/>
          <w:color w:val="auto"/>
        </w:rPr>
        <w:t xml:space="preserve"> </w:t>
      </w:r>
      <w:r>
        <w:rPr>
          <w:rFonts w:ascii="Arial" w:cs="Arial" w:eastAsia="Arial" w:hAnsi="Arial"/>
          <w:sz w:val="16"/>
          <w:szCs w:val="16"/>
          <w:color w:val="auto"/>
        </w:rPr>
        <w:t>August 2016, Ms. Poll served as an advisor to us on legal, general corporate and financing matters. She also served as an Executive Director on our Board of Directors from September 2006 until September 2015. Ms. Poll received a Bachelor of Laws from the University of Western Australia and a Diploma in Applied Finance and Investment from the Securities Institute of Australia.</w:t>
      </w:r>
    </w:p>
    <w:p>
      <w:pPr>
        <w:spacing w:after="0" w:line="111" w:lineRule="exact"/>
        <w:rPr>
          <w:rFonts w:ascii="Arial" w:cs="Arial" w:eastAsia="Arial" w:hAnsi="Arial"/>
          <w:sz w:val="16"/>
          <w:szCs w:val="16"/>
          <w:color w:val="auto"/>
        </w:rPr>
      </w:pPr>
    </w:p>
    <w:p>
      <w:pPr>
        <w:ind w:left="1540" w:right="659" w:hanging="344"/>
        <w:spacing w:after="0" w:line="273" w:lineRule="auto"/>
        <w:tabs>
          <w:tab w:leader="none" w:pos="154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Kathleen Rickard, M.D. </w:t>
      </w:r>
      <w:r>
        <w:rPr>
          <w:rFonts w:ascii="Arial" w:cs="Arial" w:eastAsia="Arial" w:hAnsi="Arial"/>
          <w:sz w:val="16"/>
          <w:szCs w:val="16"/>
          <w:color w:val="auto"/>
        </w:rPr>
        <w:t>Dr. Rickard has served as our Chief Medical Officer since February 2019. Prior</w:t>
      </w:r>
      <w:r>
        <w:rPr>
          <w:rFonts w:ascii="Arial" w:cs="Arial" w:eastAsia="Arial" w:hAnsi="Arial"/>
          <w:sz w:val="16"/>
          <w:szCs w:val="16"/>
          <w:b w:val="1"/>
          <w:bCs w:val="1"/>
          <w:color w:val="auto"/>
        </w:rPr>
        <w:t xml:space="preserve"> </w:t>
      </w:r>
      <w:r>
        <w:rPr>
          <w:rFonts w:ascii="Arial" w:cs="Arial" w:eastAsia="Arial" w:hAnsi="Arial"/>
          <w:sz w:val="16"/>
          <w:szCs w:val="16"/>
          <w:color w:val="auto"/>
        </w:rPr>
        <w:t>to joining Verona Pharma, Dr. Rickard served in multiple roles at Aerocrine AB, a medical diagnostics product company, including as Chief Medical Officer from April 2011 to January 2019, and as Chief Compliance Officer from April 2014 to January 2019. Prior to Aerocrine, Dr. Rickard was Vice President Clinical Development and Medical Affairs of the Respiratory Medicines Development Centre at GlaxoSmithKline, a pharmaceutical company, and, over a period of 15 years, held a number of other leadership positions in clinical development across GlaxoSmithKline’s global respiratory franchise. Dr. Rickard received an M.D. from Hahnemann University Hospital, Philadelphia.</w:t>
      </w:r>
    </w:p>
    <w:p>
      <w:pPr>
        <w:spacing w:after="0" w:line="107"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7"/>
          <w:szCs w:val="17"/>
          <w:color w:val="auto"/>
        </w:rPr>
        <w:t>There are no family relationships among any of our executive officers or directors.</w:t>
      </w:r>
    </w:p>
    <w:p>
      <w:pPr>
        <w:spacing w:after="0" w:line="201"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Corporate Governance</w:t>
      </w:r>
    </w:p>
    <w:p>
      <w:pPr>
        <w:spacing w:after="0" w:line="2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GENERAL</w:t>
      </w:r>
    </w:p>
    <w:p>
      <w:pPr>
        <w:spacing w:after="0" w:line="137" w:lineRule="exact"/>
        <w:rPr>
          <w:sz w:val="20"/>
          <w:szCs w:val="20"/>
          <w:color w:val="auto"/>
        </w:rPr>
      </w:pPr>
    </w:p>
    <w:p>
      <w:pPr>
        <w:ind w:left="1200" w:right="679" w:firstLine="341"/>
        <w:spacing w:after="0" w:line="254" w:lineRule="auto"/>
        <w:rPr>
          <w:sz w:val="20"/>
          <w:szCs w:val="20"/>
          <w:color w:val="auto"/>
        </w:rPr>
      </w:pPr>
      <w:r>
        <w:rPr>
          <w:rFonts w:ascii="Arial" w:cs="Arial" w:eastAsia="Arial" w:hAnsi="Arial"/>
          <w:sz w:val="17"/>
          <w:szCs w:val="17"/>
          <w:color w:val="auto"/>
        </w:rPr>
        <w:t xml:space="preserve">Our Board of Directors has adopted, among other policies, Corporate Governance Guidelines, a Code of Business Conduct and Ethics, an Insider Trading Compliance Policy, a Whistleblowing Policy and terms of reference for the Nomination and Corporate Governance Committee, Audit Committee, and Remuneration Committee to assist the Board in the exercise of its responsibilities and to serve as a framework for the effective governance of our Company. You can access our current committee terms of reference, our Corporate Governance Guidelines, Whistleblowing Policy and our Code of Business Conduct and Ethics in the “Corporate Governance” section of our investor relations website located at </w:t>
      </w:r>
      <w:r>
        <w:rPr>
          <w:rFonts w:ascii="Arial" w:cs="Arial" w:eastAsia="Arial" w:hAnsi="Arial"/>
          <w:sz w:val="17"/>
          <w:szCs w:val="17"/>
          <w:i w:val="1"/>
          <w:iCs w:val="1"/>
          <w:color w:val="auto"/>
        </w:rPr>
        <w:t>www.veronapharma.com/investors</w:t>
      </w:r>
      <w:r>
        <w:rPr>
          <w:rFonts w:ascii="Arial" w:cs="Arial" w:eastAsia="Arial" w:hAnsi="Arial"/>
          <w:sz w:val="17"/>
          <w:szCs w:val="17"/>
          <w:color w:val="auto"/>
        </w:rPr>
        <w:t>.</w:t>
      </w:r>
    </w:p>
    <w:p>
      <w:pPr>
        <w:spacing w:after="0" w:line="18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BOARD COMPOSITION</w:t>
      </w:r>
    </w:p>
    <w:p>
      <w:pPr>
        <w:spacing w:after="0" w:line="150" w:lineRule="exact"/>
        <w:rPr>
          <w:sz w:val="20"/>
          <w:szCs w:val="20"/>
          <w:color w:val="auto"/>
        </w:rPr>
      </w:pPr>
    </w:p>
    <w:p>
      <w:pPr>
        <w:ind w:left="1200" w:right="719" w:firstLine="341"/>
        <w:spacing w:after="0" w:line="263" w:lineRule="auto"/>
        <w:rPr>
          <w:sz w:val="20"/>
          <w:szCs w:val="20"/>
          <w:color w:val="auto"/>
        </w:rPr>
      </w:pPr>
      <w:r>
        <w:rPr>
          <w:rFonts w:ascii="Arial" w:cs="Arial" w:eastAsia="Arial" w:hAnsi="Arial"/>
          <w:sz w:val="17"/>
          <w:szCs w:val="17"/>
          <w:color w:val="auto"/>
        </w:rPr>
        <w:t>Our Board of Directors currently consists of eleven members, including one executive director and ten non-executive directors. One non-executive director, Dr. Andrew Sinclair, will retire at the AGM and not seek re-election.</w:t>
      </w:r>
    </w:p>
    <w:p>
      <w:pPr>
        <w:spacing w:after="0" w:line="34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244475</wp:posOffset>
            </wp:positionV>
            <wp:extent cx="646620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right="819" w:firstLine="341"/>
        <w:spacing w:after="0" w:line="287" w:lineRule="auto"/>
        <w:rPr>
          <w:sz w:val="20"/>
          <w:szCs w:val="20"/>
          <w:color w:val="auto"/>
        </w:rPr>
      </w:pPr>
      <w:r>
        <w:rPr>
          <w:rFonts w:ascii="Arial" w:cs="Arial" w:eastAsia="Arial" w:hAnsi="Arial"/>
          <w:sz w:val="16"/>
          <w:szCs w:val="16"/>
          <w:color w:val="auto"/>
        </w:rPr>
        <w:t>Our Articles of Association require that those directors who were appointed by the Board since our 2021 AGM of shareholders must retire from office and may offer themselves for re-election. Accordingly, James Brady will retire from office and offer himself for re-election by our shareholders at the AGM.</w:t>
      </w:r>
    </w:p>
    <w:p>
      <w:pPr>
        <w:spacing w:after="0" w:line="82" w:lineRule="exact"/>
        <w:rPr>
          <w:sz w:val="20"/>
          <w:szCs w:val="20"/>
          <w:color w:val="auto"/>
        </w:rPr>
      </w:pPr>
    </w:p>
    <w:p>
      <w:pPr>
        <w:ind w:left="1200" w:right="659" w:firstLine="341"/>
        <w:spacing w:after="0" w:line="254" w:lineRule="auto"/>
        <w:rPr>
          <w:sz w:val="20"/>
          <w:szCs w:val="20"/>
          <w:color w:val="auto"/>
        </w:rPr>
      </w:pPr>
      <w:r>
        <w:rPr>
          <w:rFonts w:ascii="Arial" w:cs="Arial" w:eastAsia="Arial" w:hAnsi="Arial"/>
          <w:sz w:val="17"/>
          <w:szCs w:val="17"/>
          <w:color w:val="auto"/>
        </w:rPr>
        <w:t>In accordance with our Articles of Association, one-third (or such number nearest to but not exceeding one-third) of the Company’s directors retire from office at every annual general meeting of shareholders. Retiring directors are eligible for re-election and, if no other director is elected to fill his or her position and the director is willing, shall be re-elected by default. The directors to retire at the AGM in every year shall include (so far as necessary to obtain the number required) any director who wishes to retire and not to offer himself or herself for re-election. Any further directors so to retire shall be the directors who have been longest in office since their last election. As between directors of equal seniority, the directors to retire shall in the absence of agreement be selected from among them by lot. Of the ten directors subject to retirement by rotation, Kenneth Cunningham, M.D., Rishi Gupta and Vikas Sinha will, on this occasion, retire from office and stand for re-election by our shareholders.</w:t>
      </w:r>
    </w:p>
    <w:p>
      <w:pPr>
        <w:spacing w:after="0" w:line="119" w:lineRule="exact"/>
        <w:rPr>
          <w:sz w:val="20"/>
          <w:szCs w:val="20"/>
          <w:color w:val="auto"/>
        </w:rPr>
      </w:pPr>
    </w:p>
    <w:p>
      <w:pPr>
        <w:ind w:left="1200" w:right="659" w:firstLine="341"/>
        <w:spacing w:after="0" w:line="256" w:lineRule="auto"/>
        <w:rPr>
          <w:sz w:val="20"/>
          <w:szCs w:val="20"/>
          <w:color w:val="auto"/>
        </w:rPr>
      </w:pPr>
      <w:r>
        <w:rPr>
          <w:rFonts w:ascii="Arial" w:cs="Arial" w:eastAsia="Arial" w:hAnsi="Arial"/>
          <w:sz w:val="17"/>
          <w:szCs w:val="17"/>
          <w:color w:val="auto"/>
        </w:rPr>
        <w:t>Having carried out an evaluation of the individual performance of each of Kenneth Cunningham, M.D., Rishi Gupta, Vikas Sinha and James Brady with the support of the Nomination and Corporate Governance Committee, our Board of Directors is satisfied that their performance continues to be effective and that they continue to demonstrate commitment to their roles. The Board of Directors considers that it is entirely appropriate for each of Kenneth Cunningham, M.D., Rishi Gupta, Vikas Sinha and James Brady to seek re-election at the AGM.</w:t>
      </w:r>
    </w:p>
    <w:p>
      <w:pPr>
        <w:spacing w:after="0" w:line="118" w:lineRule="exact"/>
        <w:rPr>
          <w:sz w:val="20"/>
          <w:szCs w:val="20"/>
          <w:color w:val="auto"/>
        </w:rPr>
      </w:pPr>
    </w:p>
    <w:p>
      <w:pPr>
        <w:jc w:val="both"/>
        <w:ind w:left="1200" w:right="819" w:firstLine="341"/>
        <w:spacing w:after="0" w:line="280" w:lineRule="auto"/>
        <w:rPr>
          <w:sz w:val="20"/>
          <w:szCs w:val="20"/>
          <w:color w:val="auto"/>
        </w:rPr>
      </w:pPr>
      <w:r>
        <w:rPr>
          <w:rFonts w:ascii="Arial" w:cs="Arial" w:eastAsia="Arial" w:hAnsi="Arial"/>
          <w:sz w:val="16"/>
          <w:szCs w:val="16"/>
          <w:color w:val="auto"/>
        </w:rPr>
        <w:t>Each of the above directors has been nominated for re-election and no other nominees for directors have been presented. Therefore, it is anticipated that following the AGM, upon the retirement of Andrew Sinclair, Ph.D., if all of the above directors are re-elected, the Board of Directors will be comprised of ten members, including one executive director and nine non-executive directors.</w:t>
      </w:r>
    </w:p>
    <w:p>
      <w:pPr>
        <w:spacing w:after="0" w:line="16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DIRECTOR INDEPENDENCE</w:t>
      </w:r>
    </w:p>
    <w:p>
      <w:pPr>
        <w:spacing w:after="0" w:line="137" w:lineRule="exact"/>
        <w:rPr>
          <w:sz w:val="20"/>
          <w:szCs w:val="20"/>
          <w:color w:val="auto"/>
        </w:rPr>
      </w:pPr>
    </w:p>
    <w:p>
      <w:pPr>
        <w:ind w:left="1200" w:right="679" w:firstLine="341"/>
        <w:spacing w:after="0" w:line="270" w:lineRule="auto"/>
        <w:rPr>
          <w:sz w:val="20"/>
          <w:szCs w:val="20"/>
          <w:color w:val="auto"/>
        </w:rPr>
      </w:pPr>
      <w:r>
        <w:rPr>
          <w:rFonts w:ascii="Arial" w:cs="Arial" w:eastAsia="Arial" w:hAnsi="Arial"/>
          <w:sz w:val="16"/>
          <w:szCs w:val="16"/>
          <w:color w:val="auto"/>
        </w:rPr>
        <w:t>All of our directors, other than David Zaccardelli, Pharm.D., qualify as “independent” in accordance with Nasdaq listing requirements.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that Mr. Gupta and Dr. Shah are affiliated with certain of our significant stockholders. Dr. Zaccardelli is not independent because he is the President and Chief Executive Officer of our Company.</w:t>
      </w:r>
    </w:p>
    <w:p>
      <w:pPr>
        <w:spacing w:after="0" w:line="17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DIRECTOR CANDIDATES</w:t>
      </w:r>
    </w:p>
    <w:p>
      <w:pPr>
        <w:spacing w:after="0" w:line="214"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auto"/>
        </w:rPr>
        <w:t>Director Nomination Process</w:t>
      </w:r>
    </w:p>
    <w:p>
      <w:pPr>
        <w:spacing w:after="0" w:line="150" w:lineRule="exact"/>
        <w:rPr>
          <w:sz w:val="20"/>
          <w:szCs w:val="20"/>
          <w:color w:val="auto"/>
        </w:rPr>
      </w:pPr>
    </w:p>
    <w:p>
      <w:pPr>
        <w:ind w:left="1200" w:right="759" w:firstLine="341"/>
        <w:spacing w:after="0" w:line="271" w:lineRule="auto"/>
        <w:rPr>
          <w:sz w:val="20"/>
          <w:szCs w:val="20"/>
          <w:color w:val="auto"/>
        </w:rPr>
      </w:pPr>
      <w:r>
        <w:rPr>
          <w:rFonts w:ascii="Arial" w:cs="Arial" w:eastAsia="Arial" w:hAnsi="Arial"/>
          <w:sz w:val="16"/>
          <w:szCs w:val="16"/>
          <w:color w:val="auto"/>
        </w:rPr>
        <w:t>The Nomination and Corporate Governance Committee is primarily responsible for searching for qualified director candidates for election to the Board and filling vacancies on the Board of Directors. To facilitate the search process, the Nomination and Corporate Governance Committee may solicit current directors and executives of the Company for the names of potentially qualified candidates or ask directors and executives to pursue their own business contacts for the names of potentially qualified candidates. The Nomination and Corporate Governance Committee may also consult with outside advisors or retain search firms to assist in the search for qualified candidates, or consider director candidates recommended by our shareholders. Once potential candidates are identified, the Nomination and Corporate Governance Committee reviews the backgrounds of those candidates, evaluates candidates’ independence from the Company and potential conflicts of interest and determines if candidates meet the qualifications desired by</w:t>
      </w:r>
    </w:p>
    <w:p>
      <w:pPr>
        <w:spacing w:after="0" w:line="340"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right="939"/>
        <w:spacing w:after="0" w:line="263" w:lineRule="auto"/>
        <w:rPr>
          <w:sz w:val="20"/>
          <w:szCs w:val="20"/>
          <w:color w:val="auto"/>
        </w:rPr>
      </w:pPr>
      <w:r>
        <w:rPr>
          <w:rFonts w:ascii="Arial" w:cs="Arial" w:eastAsia="Arial" w:hAnsi="Arial"/>
          <w:sz w:val="17"/>
          <w:szCs w:val="17"/>
          <w:color w:val="auto"/>
        </w:rPr>
        <w:t>the Nomination and Corporate Governance Committee for candidates for election as a director. James Brady, one of our non-executive director nominees, was identified and recommended by one of our non-executive directors.</w:t>
      </w:r>
    </w:p>
    <w:p>
      <w:pPr>
        <w:spacing w:after="0" w:line="99" w:lineRule="exact"/>
        <w:rPr>
          <w:sz w:val="20"/>
          <w:szCs w:val="20"/>
          <w:color w:val="auto"/>
        </w:rPr>
      </w:pPr>
    </w:p>
    <w:p>
      <w:pPr>
        <w:ind w:left="1200" w:right="639" w:firstLine="341"/>
        <w:spacing w:after="0" w:line="269" w:lineRule="auto"/>
        <w:rPr>
          <w:sz w:val="20"/>
          <w:szCs w:val="20"/>
          <w:color w:val="auto"/>
        </w:rPr>
      </w:pPr>
      <w:r>
        <w:rPr>
          <w:rFonts w:ascii="Arial" w:cs="Arial" w:eastAsia="Arial" w:hAnsi="Arial"/>
          <w:sz w:val="16"/>
          <w:szCs w:val="16"/>
          <w:color w:val="auto"/>
        </w:rPr>
        <w:t>In evaluating the suitability of individual candidates (both new candidates and current Board members), the Nomination and Corporate Governance Committee, in recommending candidates for election, and the Board of Directors, in approving (and, in the case of vacancies, appointing) such candidates, may take into account many factors, including but not limited to: personal and professional integrity, ethics and values; experience in corporate management, such as serving as an officer or former officer of a publicly held company; strong finance experience; relevant social policy concerns;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of Directors evaluates each individual in the context of the Board of Directors as a whole, with the objective of assembling a group that can best perpetuate the success of the business and represent shareholder interests through the exercise of sound judgment using its diversity of experience in these various areas. In determining whether to recommend a director for re-election, the Nomination and Corporate Governance Committee may also consider the director’s past attendance at meetings and participation in and contributions to the activities of the Board of Directors.</w:t>
      </w:r>
    </w:p>
    <w:p>
      <w:pPr>
        <w:spacing w:after="0" w:line="177"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auto"/>
        </w:rPr>
        <w:t>Shareholder Recommendations and Nominees</w:t>
      </w:r>
    </w:p>
    <w:p>
      <w:pPr>
        <w:spacing w:after="0" w:line="150" w:lineRule="exact"/>
        <w:rPr>
          <w:sz w:val="20"/>
          <w:szCs w:val="20"/>
          <w:color w:val="auto"/>
        </w:rPr>
      </w:pPr>
    </w:p>
    <w:p>
      <w:pPr>
        <w:ind w:left="1200" w:right="659" w:firstLine="341"/>
        <w:spacing w:after="0" w:line="256" w:lineRule="auto"/>
        <w:rPr>
          <w:sz w:val="20"/>
          <w:szCs w:val="20"/>
          <w:color w:val="auto"/>
        </w:rPr>
      </w:pPr>
      <w:r>
        <w:rPr>
          <w:rFonts w:ascii="Arial" w:cs="Arial" w:eastAsia="Arial" w:hAnsi="Arial"/>
          <w:sz w:val="17"/>
          <w:szCs w:val="17"/>
          <w:color w:val="auto"/>
        </w:rPr>
        <w:t>The Nomination and Corporate Governance Committee and the Board have not established a formal policy with regard to the consideration of director candidates recommended by shareholders. This is due to the following factors: (i) the limited number of such recommendations, (ii) the need to evaluate such recommendations on a case-by-case basis, and (iii) the expectation that recommendations from shareholders would be considered in the same manner as recommendations by directors, officers, outside advisors or search firms in the event of a vacancy on the Board.</w:t>
      </w:r>
    </w:p>
    <w:p>
      <w:pPr>
        <w:spacing w:after="0" w:line="118" w:lineRule="exact"/>
        <w:rPr>
          <w:sz w:val="20"/>
          <w:szCs w:val="20"/>
          <w:color w:val="auto"/>
        </w:rPr>
      </w:pPr>
    </w:p>
    <w:p>
      <w:pPr>
        <w:ind w:left="1200" w:right="639" w:firstLine="341"/>
        <w:spacing w:after="0" w:line="255" w:lineRule="auto"/>
        <w:rPr>
          <w:sz w:val="20"/>
          <w:szCs w:val="20"/>
          <w:color w:val="auto"/>
        </w:rPr>
      </w:pPr>
      <w:r>
        <w:rPr>
          <w:rFonts w:ascii="Arial" w:cs="Arial" w:eastAsia="Arial" w:hAnsi="Arial"/>
          <w:sz w:val="17"/>
          <w:szCs w:val="17"/>
          <w:color w:val="auto"/>
        </w:rPr>
        <w:t>Shareholders who desire to nominate persons directly for election to the Board of Directors at an annual general meeting of shareholders must meet the deadlines and other requirements set forth under “Additional Information — Shareholder Proposals for 2023 Annual General Meeting.” Any vacancies on the Board of Directors occurring between our annual general meetings of shareholders may be filled by a majority of the directors then in office, in which case any director so elected will serve until the next annual general meeting of shareholders when such director will offer himself or herself for re-election, or by ordinary resolution of the shareholders of the Company.</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COMMUNICATIONS FROM SHAREHOLDERS</w:t>
      </w:r>
    </w:p>
    <w:p>
      <w:pPr>
        <w:spacing w:after="0" w:line="137" w:lineRule="exact"/>
        <w:rPr>
          <w:sz w:val="20"/>
          <w:szCs w:val="20"/>
          <w:color w:val="auto"/>
        </w:rPr>
      </w:pPr>
    </w:p>
    <w:p>
      <w:pPr>
        <w:ind w:left="1200" w:right="679" w:firstLine="341"/>
        <w:spacing w:after="0" w:line="259" w:lineRule="auto"/>
        <w:rPr>
          <w:sz w:val="20"/>
          <w:szCs w:val="20"/>
          <w:color w:val="auto"/>
        </w:rPr>
      </w:pPr>
      <w:r>
        <w:rPr>
          <w:rFonts w:ascii="Arial" w:cs="Arial" w:eastAsia="Arial" w:hAnsi="Arial"/>
          <w:sz w:val="17"/>
          <w:szCs w:val="17"/>
          <w:color w:val="auto"/>
        </w:rPr>
        <w:t>The Board of Directors will give appropriate attention to written communications that are submitted by shareholders, and will respond if and as appropriate. Our Company Secretary and General Counsel are primarily responsible for monitoring communications from shareholders and for providing copies or summaries to the directors as they consider appropriate.</w:t>
      </w:r>
    </w:p>
    <w:p>
      <w:pPr>
        <w:spacing w:after="0" w:line="116" w:lineRule="exact"/>
        <w:rPr>
          <w:sz w:val="20"/>
          <w:szCs w:val="20"/>
          <w:color w:val="auto"/>
        </w:rPr>
      </w:pPr>
    </w:p>
    <w:p>
      <w:pPr>
        <w:ind w:left="1200" w:right="659" w:firstLine="341"/>
        <w:spacing w:after="0" w:line="269" w:lineRule="auto"/>
        <w:rPr>
          <w:sz w:val="20"/>
          <w:szCs w:val="20"/>
          <w:color w:val="auto"/>
        </w:rPr>
      </w:pPr>
      <w:r>
        <w:rPr>
          <w:rFonts w:ascii="Arial" w:cs="Arial" w:eastAsia="Arial" w:hAnsi="Arial"/>
          <w:sz w:val="16"/>
          <w:szCs w:val="16"/>
          <w:color w:val="auto"/>
        </w:rPr>
        <w:t>Communications are forwarded to all directors if they relate to important substantive matters and include suggestions or comments that our Company Secretary or General Counsel and Chairperson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Shareholders who wish to send communications on any topic to the Board of Directors should address such communications to the Board of Directors in writing: c/o Company Secretary, Verona Pharma plc, c/o Shakespeare Martineau LLP, 6</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Floor, 60 Gracechurch Street, London, EC3V 0HR.</w:t>
      </w:r>
    </w:p>
    <w:p>
      <w:pPr>
        <w:spacing w:after="0" w:line="268"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BOARD LEADERSHIP STRUCTURE AND ROLE IN RISK OVERSIGHT</w:t>
      </w:r>
    </w:p>
    <w:p>
      <w:pPr>
        <w:spacing w:after="0" w:line="137" w:lineRule="exact"/>
        <w:rPr>
          <w:sz w:val="20"/>
          <w:szCs w:val="20"/>
          <w:color w:val="auto"/>
        </w:rPr>
      </w:pPr>
    </w:p>
    <w:p>
      <w:pPr>
        <w:ind w:left="1200" w:right="819" w:firstLine="341"/>
        <w:spacing w:after="0" w:line="257" w:lineRule="auto"/>
        <w:rPr>
          <w:sz w:val="20"/>
          <w:szCs w:val="20"/>
          <w:color w:val="auto"/>
        </w:rPr>
      </w:pPr>
      <w:r>
        <w:rPr>
          <w:rFonts w:ascii="Arial" w:cs="Arial" w:eastAsia="Arial" w:hAnsi="Arial"/>
          <w:sz w:val="17"/>
          <w:szCs w:val="17"/>
          <w:color w:val="auto"/>
        </w:rPr>
        <w:t>Our Corporate Governance Guidelines provide our Board of Directors with flexibility to combine or separate the positions of Chairperson of the Board and Chief Executive Officer in accordance with its determination that utilizing one or the other structure would be in the best interests of our Company based on the circumstances at that time. We recognize that different board leadership structures may be appropriate for companies in different situations.</w:t>
      </w:r>
    </w:p>
    <w:p>
      <w:pPr>
        <w:spacing w:after="0" w:line="117" w:lineRule="exact"/>
        <w:rPr>
          <w:sz w:val="20"/>
          <w:szCs w:val="20"/>
          <w:color w:val="auto"/>
        </w:rPr>
      </w:pPr>
    </w:p>
    <w:p>
      <w:pPr>
        <w:ind w:left="1200" w:right="1419" w:firstLine="341"/>
        <w:spacing w:after="0" w:line="274" w:lineRule="auto"/>
        <w:rPr>
          <w:sz w:val="20"/>
          <w:szCs w:val="20"/>
          <w:color w:val="auto"/>
        </w:rPr>
      </w:pPr>
      <w:r>
        <w:rPr>
          <w:rFonts w:ascii="Arial" w:cs="Arial" w:eastAsia="Arial" w:hAnsi="Arial"/>
          <w:sz w:val="16"/>
          <w:szCs w:val="16"/>
          <w:color w:val="auto"/>
        </w:rPr>
        <w:t>Based on the Company’s present circumstances, the Board believes that the Company and its shareholders are best served by having Dr. Ebsworth serve as its Chairperson of the Board and</w:t>
      </w:r>
    </w:p>
    <w:p>
      <w:pPr>
        <w:ind w:left="1200" w:right="659"/>
        <w:spacing w:after="0" w:line="254" w:lineRule="auto"/>
        <w:rPr>
          <w:sz w:val="20"/>
          <w:szCs w:val="20"/>
          <w:color w:val="auto"/>
        </w:rPr>
      </w:pPr>
      <w:r>
        <w:rPr>
          <w:rFonts w:ascii="Arial" w:cs="Arial" w:eastAsia="Arial" w:hAnsi="Arial"/>
          <w:sz w:val="17"/>
          <w:szCs w:val="17"/>
          <w:color w:val="auto"/>
        </w:rPr>
        <w:t>Dr. Zaccardelli serve as its Chief Executive Officer. Our current leadership structure permits Dr. Zaccardelli to focus his attention on managing our Company and permits Dr. Ebsworth to manage the Board of Directors. Accordingly, we believe our current leadership structure is the optimal structure for us at this time. However, our Board of Directors will continue to periodically review our leadership structure and may make such changes in the future as it deems appropriate.</w:t>
      </w:r>
    </w:p>
    <w:p>
      <w:pPr>
        <w:spacing w:after="0" w:line="118" w:lineRule="exact"/>
        <w:rPr>
          <w:sz w:val="20"/>
          <w:szCs w:val="20"/>
          <w:color w:val="auto"/>
        </w:rPr>
      </w:pPr>
    </w:p>
    <w:p>
      <w:pPr>
        <w:ind w:left="1200" w:right="639" w:firstLine="341"/>
        <w:spacing w:after="0" w:line="268" w:lineRule="auto"/>
        <w:rPr>
          <w:sz w:val="20"/>
          <w:szCs w:val="20"/>
          <w:color w:val="auto"/>
        </w:rPr>
      </w:pPr>
      <w:r>
        <w:rPr>
          <w:rFonts w:ascii="Arial" w:cs="Arial" w:eastAsia="Arial" w:hAnsi="Arial"/>
          <w:sz w:val="16"/>
          <w:szCs w:val="16"/>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Audit Committee or Board of Directors at regular meetings as part of management presentations that focus on particular business functions, operations or strategies, and presents the steps taken by management to mitigate or eliminate such risks. As provided in the terms of reference of the Audit Committee, the Audit Committee is responsible for discussing the Company’s policies with respect to risk assessment and risk management, including guidelines and policies to govern the process by which the Company’s exposure to risk is handled. In accordance with those policies, the Board and the Board committees have an active role in overseeing management of the Company’s risks inherent in their respective areas of oversight. In particular, our Board of Directors is responsible for monitoring and assessing strategic risk exposure, including business continuity risks, such as risks relating to the COVID-19 pandemic. The Audit Committee monitors compliance with legal and regulatory requirements, discusses the Company’s policies with respect to risk assessment and risk management, including guidelines and policies to govern the process by which the Company’s exposure to risk is handled, oversees management of the Company’s financial and cybersecurity risks, and considers and approves or disapproves any related person transactions. Our Nomination and Corporate Governance Committee monitors the risks relating to our corporate governance framework and succession planning for our Board of Directors and senior management. Our Remuneration Committee assesses and monitors whether any of our remuneration policies and programs has the potential to encourage excessive risk-taking. While each committee is responsible for evaluating certain risks and overseeing the management of such risks, the entire Board has an active role in overseeing management of the Company’s risks and is regularly informed through committee reports about such risks. The Board does not believe that its role in the oversight of our risks adversely affects the Board’s leadership.</w:t>
      </w:r>
    </w:p>
    <w:p>
      <w:pPr>
        <w:spacing w:after="0" w:line="18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PERIODIC BOARD EVALUATION</w:t>
      </w:r>
    </w:p>
    <w:p>
      <w:pPr>
        <w:spacing w:after="0" w:line="137" w:lineRule="exact"/>
        <w:rPr>
          <w:sz w:val="20"/>
          <w:szCs w:val="20"/>
          <w:color w:val="auto"/>
        </w:rPr>
      </w:pPr>
    </w:p>
    <w:p>
      <w:pPr>
        <w:ind w:left="1200" w:right="799" w:firstLine="341"/>
        <w:spacing w:after="0" w:line="276" w:lineRule="auto"/>
        <w:rPr>
          <w:sz w:val="20"/>
          <w:szCs w:val="20"/>
          <w:color w:val="auto"/>
        </w:rPr>
      </w:pPr>
      <w:r>
        <w:rPr>
          <w:rFonts w:ascii="Arial" w:cs="Arial" w:eastAsia="Arial" w:hAnsi="Arial"/>
          <w:sz w:val="17"/>
          <w:szCs w:val="17"/>
          <w:color w:val="auto"/>
        </w:rPr>
        <w:t>Our Corporate Governance Guidelines require the Nomination and Corporate Governance Committee to oversee a periodic assessment of the Board and its committees.</w:t>
      </w:r>
    </w:p>
    <w:p>
      <w:pPr>
        <w:spacing w:after="0" w:line="16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CODE OF BUSINESS CONDUCT AND ETHICS</w:t>
      </w:r>
    </w:p>
    <w:p>
      <w:pPr>
        <w:spacing w:after="0" w:line="150" w:lineRule="exact"/>
        <w:rPr>
          <w:sz w:val="20"/>
          <w:szCs w:val="20"/>
          <w:color w:val="auto"/>
        </w:rPr>
      </w:pPr>
    </w:p>
    <w:p>
      <w:pPr>
        <w:ind w:left="1200" w:right="679" w:firstLine="341"/>
        <w:spacing w:after="0" w:line="273" w:lineRule="auto"/>
        <w:rPr>
          <w:sz w:val="20"/>
          <w:szCs w:val="20"/>
          <w:color w:val="auto"/>
        </w:rPr>
      </w:pPr>
      <w:r>
        <w:rPr>
          <w:rFonts w:ascii="Arial" w:cs="Arial" w:eastAsia="Arial" w:hAnsi="Arial"/>
          <w:sz w:val="16"/>
          <w:szCs w:val="16"/>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and others temporarily assigned to perform work or services for us. We have posted a current copy of the Code of Business Conduct and Ethics in the “Corporate Governance” section of our investor relations website at </w:t>
      </w:r>
      <w:r>
        <w:rPr>
          <w:rFonts w:ascii="Arial" w:cs="Arial" w:eastAsia="Arial" w:hAnsi="Arial"/>
          <w:sz w:val="16"/>
          <w:szCs w:val="16"/>
          <w:i w:val="1"/>
          <w:iCs w:val="1"/>
          <w:color w:val="auto"/>
        </w:rPr>
        <w:t>www.veronapharma.com/investors</w:t>
      </w:r>
      <w:r>
        <w:rPr>
          <w:rFonts w:ascii="Arial" w:cs="Arial" w:eastAsia="Arial" w:hAnsi="Arial"/>
          <w:sz w:val="16"/>
          <w:szCs w:val="16"/>
          <w:color w:val="auto"/>
        </w:rPr>
        <w:t>. Our Board of Directors is responsible for administering the Code of Business Conduct and Ethics. The Board of Directors is allowed to amend, alter or terminate the Code of Business Conduct and Ethics. In addition,</w:t>
      </w:r>
    </w:p>
    <w:p>
      <w:pPr>
        <w:spacing w:after="0" w:line="339"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right="699"/>
        <w:spacing w:after="0" w:line="291" w:lineRule="auto"/>
        <w:rPr>
          <w:sz w:val="20"/>
          <w:szCs w:val="20"/>
          <w:color w:val="auto"/>
        </w:rPr>
      </w:pPr>
      <w:r>
        <w:rPr>
          <w:rFonts w:ascii="Arial" w:cs="Arial" w:eastAsia="Arial" w:hAnsi="Arial"/>
          <w:sz w:val="16"/>
          <w:szCs w:val="16"/>
          <w:color w:val="auto"/>
        </w:rPr>
        <w:t>we intend to post on our website all disclosures that are required by law or the Nasdaq rules concerning any amendments to, or waivers from, any provision of the Code of Business Conduct and Ethics.</w:t>
      </w:r>
    </w:p>
    <w:p>
      <w:pPr>
        <w:spacing w:after="0" w:line="14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ANTI-HEDGING POLICY</w:t>
      </w:r>
    </w:p>
    <w:p>
      <w:pPr>
        <w:spacing w:after="0" w:line="137" w:lineRule="exact"/>
        <w:rPr>
          <w:sz w:val="20"/>
          <w:szCs w:val="20"/>
          <w:color w:val="auto"/>
        </w:rPr>
      </w:pPr>
    </w:p>
    <w:p>
      <w:pPr>
        <w:ind w:left="1200" w:right="699" w:firstLine="341"/>
        <w:spacing w:after="0" w:line="239" w:lineRule="auto"/>
        <w:rPr>
          <w:sz w:val="20"/>
          <w:szCs w:val="20"/>
          <w:color w:val="auto"/>
        </w:rPr>
      </w:pPr>
      <w:r>
        <w:rPr>
          <w:rFonts w:ascii="Arial" w:cs="Arial" w:eastAsia="Arial" w:hAnsi="Arial"/>
          <w:sz w:val="17"/>
          <w:szCs w:val="17"/>
          <w:color w:val="auto"/>
        </w:rPr>
        <w:t>Our Board of Directors has adopted an Insider Trading Compliance Policy, which applies to all of our directors, officers and employees. The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shareholders.</w:t>
      </w:r>
    </w:p>
    <w:p>
      <w:pPr>
        <w:spacing w:after="0" w:line="18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ATTENDANCE BY MEMBERS OF THE BOARD OF DIRECTORS AT MEETINGS</w:t>
      </w:r>
    </w:p>
    <w:p>
      <w:pPr>
        <w:spacing w:after="0" w:line="150" w:lineRule="exact"/>
        <w:rPr>
          <w:sz w:val="20"/>
          <w:szCs w:val="20"/>
          <w:color w:val="auto"/>
        </w:rPr>
      </w:pPr>
    </w:p>
    <w:p>
      <w:pPr>
        <w:ind w:left="1200" w:right="719" w:firstLine="341"/>
        <w:spacing w:after="0" w:line="243" w:lineRule="auto"/>
        <w:rPr>
          <w:sz w:val="20"/>
          <w:szCs w:val="20"/>
          <w:color w:val="auto"/>
        </w:rPr>
      </w:pPr>
      <w:r>
        <w:rPr>
          <w:rFonts w:ascii="Arial" w:cs="Arial" w:eastAsia="Arial" w:hAnsi="Arial"/>
          <w:sz w:val="17"/>
          <w:szCs w:val="17"/>
          <w:color w:val="auto"/>
        </w:rPr>
        <w:t>There were 8 meetings of the Board of Directors during the fiscal year ended December 31, 2021. During the fiscal year ended December 31, 2021, each director attended at least 75% of the aggregate of all meetings of the Board of Directors and meetings of the committees on which the director served during the period in which he or she served as a director.</w:t>
      </w:r>
    </w:p>
    <w:p>
      <w:pPr>
        <w:spacing w:after="0" w:line="116" w:lineRule="exact"/>
        <w:rPr>
          <w:sz w:val="20"/>
          <w:szCs w:val="20"/>
          <w:color w:val="auto"/>
        </w:rPr>
      </w:pPr>
    </w:p>
    <w:p>
      <w:pPr>
        <w:ind w:left="1200" w:right="699" w:firstLine="341"/>
        <w:spacing w:after="0" w:line="248" w:lineRule="auto"/>
        <w:rPr>
          <w:sz w:val="20"/>
          <w:szCs w:val="20"/>
          <w:color w:val="auto"/>
        </w:rPr>
      </w:pPr>
      <w:r>
        <w:rPr>
          <w:rFonts w:ascii="Arial" w:cs="Arial" w:eastAsia="Arial" w:hAnsi="Arial"/>
          <w:sz w:val="17"/>
          <w:szCs w:val="17"/>
          <w:color w:val="auto"/>
        </w:rPr>
        <w:t>Currently, we do not maintain a formal policy regarding director attendance at the AGM; however, it is expected that directors will attend absent compelling circumstances. All of our then-serving directors attended our annual general meeting of shareholders held in 2021.</w:t>
      </w:r>
    </w:p>
    <w:p>
      <w:pPr>
        <w:spacing w:after="0" w:line="161"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Committees of the Board</w:t>
      </w:r>
    </w:p>
    <w:p>
      <w:pPr>
        <w:spacing w:after="0" w:line="141" w:lineRule="exact"/>
        <w:rPr>
          <w:sz w:val="20"/>
          <w:szCs w:val="20"/>
          <w:color w:val="auto"/>
        </w:rPr>
      </w:pPr>
    </w:p>
    <w:p>
      <w:pPr>
        <w:ind w:left="1200" w:right="679" w:firstLine="341"/>
        <w:spacing w:after="0" w:line="254" w:lineRule="auto"/>
        <w:rPr>
          <w:sz w:val="20"/>
          <w:szCs w:val="20"/>
          <w:color w:val="auto"/>
        </w:rPr>
      </w:pPr>
      <w:r>
        <w:rPr>
          <w:rFonts w:ascii="Arial" w:cs="Arial" w:eastAsia="Arial" w:hAnsi="Arial"/>
          <w:sz w:val="16"/>
          <w:szCs w:val="16"/>
          <w:color w:val="auto"/>
        </w:rPr>
        <w:t xml:space="preserve">Our Board of Directors has established an Audit Committee, Remuneration Committee, and Nomination and Corporate Governance Committee, each of which operates under written terms of reference that have been approved by our Board and that are available in the “Corporate Governance” section of our investor relations website at </w:t>
      </w:r>
      <w:r>
        <w:rPr>
          <w:rFonts w:ascii="Arial" w:cs="Arial" w:eastAsia="Arial" w:hAnsi="Arial"/>
          <w:sz w:val="16"/>
          <w:szCs w:val="16"/>
          <w:i w:val="1"/>
          <w:iCs w:val="1"/>
          <w:color w:val="auto"/>
        </w:rPr>
        <w:t>www.veronapharma.com/investors</w:t>
      </w:r>
      <w:r>
        <w:rPr>
          <w:rFonts w:ascii="Arial" w:cs="Arial" w:eastAsia="Arial" w:hAnsi="Arial"/>
          <w:sz w:val="16"/>
          <w:szCs w:val="16"/>
          <w:color w:val="auto"/>
        </w:rPr>
        <w:t xml:space="preserve"> . All of the members of each of these committees are independent as defined under the Nasdaq rules. Our Board of Directors has determined that David Ebsworth, Ph.D., Andrew Sinclair, Ph.D., Vikas Sinha and James Brady meet the independence requirements of Rule 10A-3 under the Securities Exchange Act of 1934, as amended (the “Exchange Act”). All members of the Remuneration Committee meet the heightened standard for independence specific to members of a compensation committee under the Nasdaq rules and each qualifies as a “non-employee director” as defined in Rule 16b-3 of the Exchange Act. All members of the Nomination and Corporate Governance Committee are independent under the Nasdaq rules.</w:t>
      </w:r>
    </w:p>
    <w:p>
      <w:pPr>
        <w:spacing w:after="0" w:line="109" w:lineRule="exact"/>
        <w:rPr>
          <w:sz w:val="20"/>
          <w:szCs w:val="20"/>
          <w:color w:val="auto"/>
        </w:rPr>
      </w:pPr>
    </w:p>
    <w:p>
      <w:pPr>
        <w:ind w:left="1200" w:right="1359" w:firstLine="341"/>
        <w:spacing w:after="0" w:line="260" w:lineRule="auto"/>
        <w:rPr>
          <w:sz w:val="20"/>
          <w:szCs w:val="20"/>
          <w:color w:val="auto"/>
        </w:rPr>
      </w:pPr>
      <w:r>
        <w:rPr>
          <w:rFonts w:ascii="Arial" w:cs="Arial" w:eastAsia="Arial" w:hAnsi="Arial"/>
          <w:sz w:val="17"/>
          <w:szCs w:val="17"/>
          <w:color w:val="auto"/>
        </w:rPr>
        <w:t>The members of each of the Audit, Remuneration and Nomination and Corporate Governance Committees and the committee Chairs are set forth in the following chart.</w:t>
      </w:r>
    </w:p>
    <w:p>
      <w:pPr>
        <w:spacing w:after="0" w:line="111"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85"/>
              </w:rPr>
              <w:t>Nomination and</w:t>
            </w:r>
          </w:p>
        </w:tc>
      </w:tr>
      <w:tr>
        <w:trPr>
          <w:trHeight w:val="153"/>
        </w:trPr>
        <w:tc>
          <w:tcPr>
            <w:tcW w:w="4800" w:type="dxa"/>
            <w:vAlign w:val="bottom"/>
          </w:tcPr>
          <w:p>
            <w:pPr>
              <w:spacing w:after="0"/>
              <w:rPr>
                <w:sz w:val="13"/>
                <w:szCs w:val="13"/>
                <w:color w:val="auto"/>
              </w:rPr>
            </w:pPr>
          </w:p>
        </w:tc>
        <w:tc>
          <w:tcPr>
            <w:tcW w:w="800" w:type="dxa"/>
            <w:vAlign w:val="bottom"/>
            <w:gridSpan w:val="2"/>
          </w:tcPr>
          <w:p>
            <w:pPr>
              <w:jc w:val="center"/>
              <w:ind w:left="92"/>
              <w:spacing w:after="0" w:line="153" w:lineRule="exact"/>
              <w:rPr>
                <w:sz w:val="20"/>
                <w:szCs w:val="20"/>
                <w:color w:val="auto"/>
              </w:rPr>
            </w:pPr>
            <w:r>
              <w:rPr>
                <w:rFonts w:ascii="Arial" w:cs="Arial" w:eastAsia="Arial" w:hAnsi="Arial"/>
                <w:sz w:val="14"/>
                <w:szCs w:val="14"/>
                <w:b w:val="1"/>
                <w:bCs w:val="1"/>
                <w:color w:val="auto"/>
                <w:w w:val="86"/>
              </w:rPr>
              <w:t>Audit and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6"/>
              </w:rPr>
              <w:t>Corporate</w:t>
            </w:r>
          </w:p>
        </w:tc>
      </w:tr>
      <w:tr>
        <w:trPr>
          <w:trHeight w:val="175"/>
        </w:trPr>
        <w:tc>
          <w:tcPr>
            <w:tcW w:w="48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1"/>
              </w:rPr>
              <w:t>Risk</w:t>
            </w:r>
          </w:p>
        </w:tc>
        <w:tc>
          <w:tcPr>
            <w:tcW w:w="102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87"/>
              </w:rPr>
              <w:t>Remuneration</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Governance</w:t>
            </w:r>
          </w:p>
        </w:tc>
      </w:tr>
      <w:tr>
        <w:trPr>
          <w:trHeight w:val="24"/>
        </w:trPr>
        <w:tc>
          <w:tcPr>
            <w:tcW w:w="4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6"/>
        </w:trPr>
        <w:tc>
          <w:tcPr>
            <w:tcW w:w="4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Ken Cunningham, M.D.</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Chair</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42"/>
        </w:trPr>
        <w:tc>
          <w:tcPr>
            <w:tcW w:w="4800" w:type="dxa"/>
            <w:vAlign w:val="bottom"/>
          </w:tcPr>
          <w:p>
            <w:pPr>
              <w:jc w:val="center"/>
              <w:spacing w:after="0"/>
              <w:rPr>
                <w:sz w:val="20"/>
                <w:szCs w:val="20"/>
                <w:color w:val="auto"/>
              </w:rPr>
            </w:pPr>
            <w:r>
              <w:rPr>
                <w:rFonts w:ascii="Arial" w:cs="Arial" w:eastAsia="Arial" w:hAnsi="Arial"/>
                <w:sz w:val="17"/>
                <w:szCs w:val="17"/>
                <w:color w:val="auto"/>
                <w:w w:val="90"/>
              </w:rPr>
              <w:t>James Brady</w:t>
            </w:r>
          </w:p>
        </w:tc>
        <w:tc>
          <w:tcPr>
            <w:tcW w:w="20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X</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4"/>
        </w:trPr>
        <w:tc>
          <w:tcPr>
            <w:tcW w:w="4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Lisa Deschamps</w:t>
            </w: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r>
      <w:tr>
        <w:trPr>
          <w:trHeight w:val="242"/>
        </w:trPr>
        <w:tc>
          <w:tcPr>
            <w:tcW w:w="4800" w:type="dxa"/>
            <w:vAlign w:val="bottom"/>
          </w:tcPr>
          <w:p>
            <w:pPr>
              <w:jc w:val="center"/>
              <w:spacing w:after="0"/>
              <w:rPr>
                <w:sz w:val="20"/>
                <w:szCs w:val="20"/>
                <w:color w:val="auto"/>
              </w:rPr>
            </w:pPr>
            <w:r>
              <w:rPr>
                <w:rFonts w:ascii="Arial" w:cs="Arial" w:eastAsia="Arial" w:hAnsi="Arial"/>
                <w:sz w:val="17"/>
                <w:szCs w:val="17"/>
                <w:color w:val="auto"/>
                <w:w w:val="97"/>
              </w:rPr>
              <w:t>David Ebsworth, Ph.D.</w:t>
            </w:r>
          </w:p>
        </w:tc>
        <w:tc>
          <w:tcPr>
            <w:tcW w:w="20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X</w:t>
            </w:r>
          </w:p>
        </w:tc>
        <w:tc>
          <w:tcPr>
            <w:tcW w:w="2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rPr>
              <w:t>X</w:t>
            </w:r>
          </w:p>
        </w:tc>
        <w:tc>
          <w:tcPr>
            <w:tcW w:w="22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8"/>
              </w:rPr>
              <w:t>Chair</w:t>
            </w:r>
          </w:p>
        </w:tc>
      </w:tr>
      <w:tr>
        <w:trPr>
          <w:trHeight w:val="256"/>
        </w:trPr>
        <w:tc>
          <w:tcPr>
            <w:tcW w:w="4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Rishi Gupta</w:t>
            </w: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5"/>
        </w:trPr>
        <w:tc>
          <w:tcPr>
            <w:tcW w:w="4800" w:type="dxa"/>
            <w:vAlign w:val="bottom"/>
          </w:tcPr>
          <w:p>
            <w:pPr>
              <w:jc w:val="center"/>
              <w:spacing w:after="0"/>
              <w:rPr>
                <w:sz w:val="20"/>
                <w:szCs w:val="20"/>
                <w:color w:val="auto"/>
              </w:rPr>
            </w:pPr>
            <w:r>
              <w:rPr>
                <w:rFonts w:ascii="Arial" w:cs="Arial" w:eastAsia="Arial" w:hAnsi="Arial"/>
                <w:sz w:val="17"/>
                <w:szCs w:val="17"/>
                <w:color w:val="auto"/>
                <w:w w:val="93"/>
              </w:rPr>
              <w:t>Mahendra Shah, Ph.D.</w:t>
            </w: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56"/>
        </w:trPr>
        <w:tc>
          <w:tcPr>
            <w:tcW w:w="4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Andrew Sinclair, Ph.D.*</w:t>
            </w: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5"/>
        </w:trPr>
        <w:tc>
          <w:tcPr>
            <w:tcW w:w="4800" w:type="dxa"/>
            <w:vAlign w:val="bottom"/>
          </w:tcPr>
          <w:p>
            <w:pPr>
              <w:jc w:val="center"/>
              <w:spacing w:after="0"/>
              <w:rPr>
                <w:sz w:val="20"/>
                <w:szCs w:val="20"/>
                <w:color w:val="auto"/>
              </w:rPr>
            </w:pPr>
            <w:r>
              <w:rPr>
                <w:rFonts w:ascii="Arial" w:cs="Arial" w:eastAsia="Arial" w:hAnsi="Arial"/>
                <w:sz w:val="17"/>
                <w:szCs w:val="17"/>
                <w:color w:val="auto"/>
                <w:w w:val="95"/>
              </w:rPr>
              <w:t>Vikas Sinha</w:t>
            </w:r>
          </w:p>
        </w:tc>
        <w:tc>
          <w:tcPr>
            <w:tcW w:w="2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w w:val="98"/>
              </w:rPr>
              <w:t>Chair</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-1273810</wp:posOffset>
            </wp:positionV>
            <wp:extent cx="1301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-1273810</wp:posOffset>
            </wp:positionV>
            <wp:extent cx="1301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3809365</wp:posOffset>
            </wp:positionH>
            <wp:positionV relativeFrom="paragraph">
              <wp:posOffset>-1273810</wp:posOffset>
            </wp:positionV>
            <wp:extent cx="1301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139065</wp:posOffset>
            </wp:positionV>
            <wp:extent cx="11696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327" w:lineRule="exact"/>
        <w:rPr>
          <w:sz w:val="20"/>
          <w:szCs w:val="20"/>
          <w:color w:val="auto"/>
        </w:rPr>
      </w:pPr>
    </w:p>
    <w:p>
      <w:pPr>
        <w:ind w:left="1540" w:hanging="344"/>
        <w:spacing w:after="0"/>
        <w:tabs>
          <w:tab w:leader="none" w:pos="1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Dr. Sinclair will retire at the conclusion of the AGM and not seek re-election.</w:t>
      </w:r>
    </w:p>
    <w:p>
      <w:pPr>
        <w:spacing w:after="0" w:line="21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AUDIT AND RISK COMMITTEE</w:t>
      </w:r>
    </w:p>
    <w:p>
      <w:pPr>
        <w:spacing w:after="0" w:line="150"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The Audit Committee’s responsibilities include, among other things:</w:t>
      </w:r>
    </w:p>
    <w:p>
      <w:pPr>
        <w:spacing w:after="0" w:line="380"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700" w:right="699" w:hanging="163"/>
        <w:spacing w:after="0" w:line="263" w:lineRule="auto"/>
        <w:tabs>
          <w:tab w:leader="none" w:pos="1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monitoring the integrity of the financial statements of the Company, including its annual and interim reports, preliminary results’ announcements and any other formal announcement relating to its financial performance;</w:t>
      </w:r>
    </w:p>
    <w:p>
      <w:pPr>
        <w:spacing w:after="0" w:line="73" w:lineRule="exact"/>
        <w:rPr>
          <w:rFonts w:ascii="Arial" w:cs="Arial" w:eastAsia="Arial" w:hAnsi="Arial"/>
          <w:sz w:val="17"/>
          <w:szCs w:val="17"/>
          <w:color w:val="auto"/>
        </w:rPr>
      </w:pPr>
    </w:p>
    <w:p>
      <w:pPr>
        <w:ind w:left="1700" w:hanging="163"/>
        <w:spacing w:after="0"/>
        <w:tabs>
          <w:tab w:leader="none" w:pos="1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reviewing significant financial reporting issues and judgments that they contain;</w:t>
      </w:r>
    </w:p>
    <w:p>
      <w:pPr>
        <w:spacing w:after="0" w:line="111" w:lineRule="exact"/>
        <w:rPr>
          <w:rFonts w:ascii="Arial" w:cs="Arial" w:eastAsia="Arial" w:hAnsi="Arial"/>
          <w:sz w:val="17"/>
          <w:szCs w:val="17"/>
          <w:color w:val="auto"/>
        </w:rPr>
      </w:pPr>
    </w:p>
    <w:p>
      <w:pPr>
        <w:ind w:left="1700" w:right="899" w:hanging="163"/>
        <w:spacing w:after="0" w:line="277" w:lineRule="auto"/>
        <w:tabs>
          <w:tab w:leader="none" w:pos="1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reviewing and discussing with the Company’s management and external auditor the Company’s audited financial statements and quarterly financial statements to be filed with the SEC, including disclosures under the caption “management’s discussion and analysis of financial condition and results of operation” and the matters required to be discussed by applicable Public Company Accounting Oversight Board (the “PCAOB”) standards and SEC rules;</w:t>
      </w:r>
    </w:p>
    <w:p>
      <w:pPr>
        <w:spacing w:after="0" w:line="63" w:lineRule="exact"/>
        <w:rPr>
          <w:rFonts w:ascii="Arial" w:cs="Arial" w:eastAsia="Arial" w:hAnsi="Arial"/>
          <w:sz w:val="16"/>
          <w:szCs w:val="16"/>
          <w:color w:val="auto"/>
        </w:rPr>
      </w:pPr>
    </w:p>
    <w:p>
      <w:pPr>
        <w:ind w:left="1700" w:right="1239" w:hanging="163"/>
        <w:spacing w:after="0" w:line="276" w:lineRule="auto"/>
        <w:tabs>
          <w:tab w:leader="none" w:pos="1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considering whether it will recommend to the Board of Directors that the Company’s audited financial statements be included in the Company’s Annual Report on Form 10-K;</w:t>
      </w:r>
    </w:p>
    <w:p>
      <w:pPr>
        <w:spacing w:after="0" w:line="62" w:lineRule="exact"/>
        <w:rPr>
          <w:rFonts w:ascii="Arial" w:cs="Arial" w:eastAsia="Arial" w:hAnsi="Arial"/>
          <w:sz w:val="17"/>
          <w:szCs w:val="17"/>
          <w:color w:val="auto"/>
        </w:rPr>
      </w:pPr>
    </w:p>
    <w:p>
      <w:pPr>
        <w:ind w:left="1700" w:right="939" w:hanging="163"/>
        <w:spacing w:after="0" w:line="276" w:lineRule="auto"/>
        <w:tabs>
          <w:tab w:leader="none" w:pos="1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preparing an annual committee report for inclusion where necessary in the proxy statement of the Company relating to its annual general meeting of shareholders;</w:t>
      </w:r>
    </w:p>
    <w:p>
      <w:pPr>
        <w:spacing w:after="0" w:line="74" w:lineRule="exact"/>
        <w:rPr>
          <w:rFonts w:ascii="Arial" w:cs="Arial" w:eastAsia="Arial" w:hAnsi="Arial"/>
          <w:sz w:val="17"/>
          <w:szCs w:val="17"/>
          <w:color w:val="auto"/>
        </w:rPr>
      </w:pPr>
    </w:p>
    <w:p>
      <w:pPr>
        <w:ind w:left="1700" w:hanging="163"/>
        <w:spacing w:after="0"/>
        <w:tabs>
          <w:tab w:leader="none" w:pos="1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overseeing the appointment, re-appointment, and removal of the Company’s external auditor;</w:t>
      </w:r>
    </w:p>
    <w:p>
      <w:pPr>
        <w:spacing w:after="0" w:line="111" w:lineRule="exact"/>
        <w:rPr>
          <w:rFonts w:ascii="Arial" w:cs="Arial" w:eastAsia="Arial" w:hAnsi="Arial"/>
          <w:sz w:val="17"/>
          <w:szCs w:val="17"/>
          <w:color w:val="auto"/>
        </w:rPr>
      </w:pPr>
    </w:p>
    <w:p>
      <w:pPr>
        <w:ind w:left="1700" w:hanging="163"/>
        <w:spacing w:after="0"/>
        <w:tabs>
          <w:tab w:leader="none" w:pos="1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reviewing and approving the annual audit plan;</w:t>
      </w:r>
    </w:p>
    <w:p>
      <w:pPr>
        <w:spacing w:after="0" w:line="111" w:lineRule="exact"/>
        <w:rPr>
          <w:rFonts w:ascii="Arial" w:cs="Arial" w:eastAsia="Arial" w:hAnsi="Arial"/>
          <w:sz w:val="17"/>
          <w:szCs w:val="17"/>
          <w:color w:val="auto"/>
        </w:rPr>
      </w:pPr>
    </w:p>
    <w:p>
      <w:pPr>
        <w:ind w:left="1700" w:right="1079" w:hanging="163"/>
        <w:spacing w:after="0" w:line="276" w:lineRule="auto"/>
        <w:tabs>
          <w:tab w:leader="none" w:pos="1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coordinating the Board of Directors’ oversight of the Company’s internal control over financial reporting and disclosure controls and procedures;</w:t>
      </w:r>
    </w:p>
    <w:p>
      <w:pPr>
        <w:spacing w:after="0" w:line="62" w:lineRule="exact"/>
        <w:rPr>
          <w:rFonts w:ascii="Arial" w:cs="Arial" w:eastAsia="Arial" w:hAnsi="Arial"/>
          <w:sz w:val="17"/>
          <w:szCs w:val="17"/>
          <w:color w:val="auto"/>
        </w:rPr>
      </w:pPr>
    </w:p>
    <w:p>
      <w:pPr>
        <w:ind w:left="1700" w:hanging="163"/>
        <w:spacing w:after="0"/>
        <w:tabs>
          <w:tab w:leader="none" w:pos="1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discussing the Company’s policies with respect to risk assessment and risk management;</w:t>
      </w:r>
    </w:p>
    <w:p>
      <w:pPr>
        <w:spacing w:after="0" w:line="111" w:lineRule="exact"/>
        <w:rPr>
          <w:rFonts w:ascii="Arial" w:cs="Arial" w:eastAsia="Arial" w:hAnsi="Arial"/>
          <w:sz w:val="17"/>
          <w:szCs w:val="17"/>
          <w:color w:val="auto"/>
        </w:rPr>
      </w:pPr>
    </w:p>
    <w:p>
      <w:pPr>
        <w:ind w:left="1700" w:right="679" w:hanging="163"/>
        <w:spacing w:after="0" w:line="308" w:lineRule="auto"/>
        <w:tabs>
          <w:tab w:leader="none" w:pos="1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establishing the Company’s arrangements for the receipt, retention and treatment of complaints received by the Company regarding accounting, internal accounting controls or auditing matters; and</w:t>
      </w:r>
    </w:p>
    <w:p>
      <w:pPr>
        <w:spacing w:after="0" w:line="39" w:lineRule="exact"/>
        <w:rPr>
          <w:rFonts w:ascii="Arial" w:cs="Arial" w:eastAsia="Arial" w:hAnsi="Arial"/>
          <w:sz w:val="16"/>
          <w:szCs w:val="16"/>
          <w:color w:val="auto"/>
        </w:rPr>
      </w:pPr>
    </w:p>
    <w:p>
      <w:pPr>
        <w:ind w:left="1700" w:right="859" w:hanging="163"/>
        <w:spacing w:after="0" w:line="276" w:lineRule="auto"/>
        <w:tabs>
          <w:tab w:leader="none" w:pos="1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reviewing the Company’s policies and procedures for reviewing and approving or ratifying related person transactions.</w:t>
      </w:r>
    </w:p>
    <w:p>
      <w:pPr>
        <w:spacing w:after="0" w:line="100" w:lineRule="exact"/>
        <w:rPr>
          <w:sz w:val="20"/>
          <w:szCs w:val="20"/>
          <w:color w:val="auto"/>
        </w:rPr>
      </w:pPr>
    </w:p>
    <w:p>
      <w:pPr>
        <w:ind w:left="1200" w:right="679" w:firstLine="341"/>
        <w:spacing w:after="0" w:line="275" w:lineRule="auto"/>
        <w:rPr>
          <w:sz w:val="20"/>
          <w:szCs w:val="20"/>
          <w:color w:val="auto"/>
        </w:rPr>
      </w:pPr>
      <w:r>
        <w:rPr>
          <w:rFonts w:ascii="Arial" w:cs="Arial" w:eastAsia="Arial" w:hAnsi="Arial"/>
          <w:sz w:val="16"/>
          <w:szCs w:val="16"/>
          <w:color w:val="auto"/>
        </w:rPr>
        <w:t>The current members of the Audit Committee are James Brady, David Ebsworth, Ph.D., Andrew Sinclair, Ph.D. and Vikas Sinha. Mr. Sinha serves as the Chairperson of the Audit Committee. The members of our Audit Committee meet the requirements for financial literacy under the applicable rules of Nasdaq. Our Board of Directors has determined that each of Vikas Sinha and James Brady is an “audit committee financial expert” as defined by Item 407(d)(5)(ii) of Regulation S-K. Dr. Sinclair will retire at the conclusion of the AGM and not seek re-election, and will at that time also retire from the Audit Committee.</w:t>
      </w:r>
    </w:p>
    <w:p>
      <w:pPr>
        <w:spacing w:after="0" w:line="104" w:lineRule="exact"/>
        <w:rPr>
          <w:sz w:val="20"/>
          <w:szCs w:val="20"/>
          <w:color w:val="auto"/>
        </w:rPr>
      </w:pPr>
    </w:p>
    <w:p>
      <w:pPr>
        <w:jc w:val="both"/>
        <w:ind w:left="1200" w:right="699" w:firstLine="341"/>
        <w:spacing w:after="0" w:line="259" w:lineRule="auto"/>
        <w:rPr>
          <w:sz w:val="20"/>
          <w:szCs w:val="20"/>
          <w:color w:val="auto"/>
        </w:rPr>
      </w:pPr>
      <w:r>
        <w:rPr>
          <w:rFonts w:ascii="Arial" w:cs="Arial" w:eastAsia="Arial" w:hAnsi="Arial"/>
          <w:sz w:val="17"/>
          <w:szCs w:val="17"/>
          <w:color w:val="auto"/>
        </w:rPr>
        <w:t>The Audit Committee meets as often as one or more members of the Audit Committee deem necessary, but in any event, meets at least four times per year. The Audit Committee meets at least once per year with our independent accountant, without our management being present. The Audit Committee met seven times in 2021.</w:t>
      </w:r>
    </w:p>
    <w:p>
      <w:pPr>
        <w:spacing w:after="0" w:line="17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REMUNERATION COMMITTEE</w:t>
      </w:r>
    </w:p>
    <w:p>
      <w:pPr>
        <w:spacing w:after="0" w:line="137"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The Remuneration Committee’s responsibilities include, among other things:</w:t>
      </w:r>
    </w:p>
    <w:p>
      <w:pPr>
        <w:spacing w:after="0" w:line="112" w:lineRule="exact"/>
        <w:rPr>
          <w:sz w:val="20"/>
          <w:szCs w:val="20"/>
          <w:color w:val="auto"/>
        </w:rPr>
      </w:pPr>
    </w:p>
    <w:p>
      <w:pPr>
        <w:jc w:val="both"/>
        <w:ind w:left="1700" w:right="939" w:hanging="163"/>
        <w:spacing w:after="0" w:line="263" w:lineRule="auto"/>
        <w:tabs>
          <w:tab w:leader="none" w:pos="1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determining and agreeing with the Board of Directors the framework for the remuneration of the Company’s chief executive, chairperson, the executive directors, the company secretary and such other members of the Company’s management as it is designated to consider;</w:t>
      </w:r>
    </w:p>
    <w:p>
      <w:pPr>
        <w:spacing w:after="0" w:line="73" w:lineRule="exact"/>
        <w:rPr>
          <w:rFonts w:ascii="Arial" w:cs="Arial" w:eastAsia="Arial" w:hAnsi="Arial"/>
          <w:sz w:val="17"/>
          <w:szCs w:val="17"/>
          <w:color w:val="auto"/>
        </w:rPr>
      </w:pPr>
    </w:p>
    <w:p>
      <w:pPr>
        <w:ind w:left="1700" w:right="739" w:hanging="163"/>
        <w:spacing w:after="0" w:line="276" w:lineRule="auto"/>
        <w:tabs>
          <w:tab w:leader="none" w:pos="1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approving all service contracts between the Company and its directors or between the Company and any subsidiary and its directors;</w:t>
      </w:r>
    </w:p>
    <w:p>
      <w:pPr>
        <w:spacing w:after="0" w:line="74" w:lineRule="exact"/>
        <w:rPr>
          <w:rFonts w:ascii="Arial" w:cs="Arial" w:eastAsia="Arial" w:hAnsi="Arial"/>
          <w:sz w:val="17"/>
          <w:szCs w:val="17"/>
          <w:color w:val="auto"/>
        </w:rPr>
      </w:pPr>
    </w:p>
    <w:p>
      <w:pPr>
        <w:ind w:left="1700" w:right="699" w:hanging="163"/>
        <w:spacing w:after="0" w:line="276" w:lineRule="auto"/>
        <w:tabs>
          <w:tab w:leader="none" w:pos="1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determining the policy for, and scope of, pension arrangements for each executive director and other senior executives;</w:t>
      </w:r>
    </w:p>
    <w:p>
      <w:pPr>
        <w:spacing w:after="0" w:line="62" w:lineRule="exact"/>
        <w:rPr>
          <w:rFonts w:ascii="Arial" w:cs="Arial" w:eastAsia="Arial" w:hAnsi="Arial"/>
          <w:sz w:val="17"/>
          <w:szCs w:val="17"/>
          <w:color w:val="auto"/>
        </w:rPr>
      </w:pPr>
    </w:p>
    <w:p>
      <w:pPr>
        <w:ind w:left="1700" w:right="719" w:hanging="163"/>
        <w:spacing w:after="0" w:line="263" w:lineRule="auto"/>
        <w:tabs>
          <w:tab w:leader="none" w:pos="1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establishing the selection criteria, selecting, appointing and setting the terms of reference for any remuneration consultants who advise the Remuneration Committee and, when considered necessary, to obtain reliable, up-to-date information about remuneration in other companies;</w:t>
      </w:r>
    </w:p>
    <w:p>
      <w:pPr>
        <w:spacing w:after="0" w:line="34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700" w:right="1079" w:hanging="163"/>
        <w:spacing w:after="0" w:line="276" w:lineRule="auto"/>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making a report each year to the shareholders on behalf of the Board of Directors, which report should form part of, or be annexed to, the Company’s annual report and accounts;</w:t>
      </w:r>
    </w:p>
    <w:p>
      <w:pPr>
        <w:spacing w:after="0" w:line="36" w:lineRule="exact"/>
        <w:rPr>
          <w:rFonts w:ascii="Arial" w:cs="Arial" w:eastAsia="Arial" w:hAnsi="Arial"/>
          <w:sz w:val="17"/>
          <w:szCs w:val="17"/>
          <w:color w:val="auto"/>
        </w:rPr>
      </w:pPr>
    </w:p>
    <w:p>
      <w:pPr>
        <w:ind w:left="1700" w:right="799" w:hanging="163"/>
        <w:spacing w:after="0" w:line="259" w:lineRule="auto"/>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the extent that the Company is required to include a Compensation Discussion and Analysis (“CD&amp;A”) in our proxy statement, reviewing and discussing with management our CD&amp;A and considering whether it will recommend to the Board of Directors that the CD&amp;A be included in the proxy statement; and</w:t>
      </w:r>
    </w:p>
    <w:p>
      <w:pPr>
        <w:spacing w:after="0" w:line="64" w:lineRule="exact"/>
        <w:rPr>
          <w:rFonts w:ascii="Arial" w:cs="Arial" w:eastAsia="Arial" w:hAnsi="Arial"/>
          <w:sz w:val="17"/>
          <w:szCs w:val="17"/>
          <w:color w:val="auto"/>
        </w:rPr>
      </w:pPr>
    </w:p>
    <w:p>
      <w:pPr>
        <w:ind w:left="1700" w:right="1319" w:hanging="163"/>
        <w:spacing w:after="0" w:line="276" w:lineRule="auto"/>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required, preparing the annual compensation committee report pursuant to the rules of the Exchange Act.</w:t>
      </w:r>
    </w:p>
    <w:p>
      <w:pPr>
        <w:spacing w:after="0" w:line="24" w:lineRule="exact"/>
        <w:rPr>
          <w:sz w:val="20"/>
          <w:szCs w:val="20"/>
          <w:color w:val="auto"/>
        </w:rPr>
      </w:pPr>
    </w:p>
    <w:p>
      <w:pPr>
        <w:ind w:left="1200" w:right="659" w:firstLine="341"/>
        <w:spacing w:after="0" w:line="254" w:lineRule="auto"/>
        <w:rPr>
          <w:sz w:val="20"/>
          <w:szCs w:val="20"/>
          <w:color w:val="auto"/>
        </w:rPr>
      </w:pPr>
      <w:r>
        <w:rPr>
          <w:rFonts w:ascii="Arial" w:cs="Arial" w:eastAsia="Arial" w:hAnsi="Arial"/>
          <w:sz w:val="16"/>
          <w:szCs w:val="16"/>
          <w:color w:val="auto"/>
        </w:rPr>
        <w:t>The Remuneration Committee has the authority to retain or obtain the advice of remuneration consultants, legal counsel and other advisors to assist in carrying out its responsibilities, including being directly responsible for the appointment, oversight and compensation of such consultant, counsel or advisor and the ability to cause us, without further action by the Board of Directors, to pay the compensation of such consultant, counsel or advisor as approved by the Remuneration Committee, provided, however, that in retaining or obtaining the advice of such consultant, counsel or advisor, other than in-house legal counsel, the Remuneration Committee shall take into consideration the factors affecting independence required by applicable SEC rules and Nasdaq rules. The Remuneration Committee also has the authority to conduct or authorize investigations into any matters within the scope of its responsibilities as it shall deem appropriate, including the authority to request any officer, employee or advisor of us to meet with the Remuneration Committee or any advisors engaged by the Remuneration Committee.</w:t>
      </w:r>
    </w:p>
    <w:p>
      <w:pPr>
        <w:spacing w:after="0" w:line="45" w:lineRule="exact"/>
        <w:rPr>
          <w:sz w:val="20"/>
          <w:szCs w:val="20"/>
          <w:color w:val="auto"/>
        </w:rPr>
      </w:pPr>
    </w:p>
    <w:p>
      <w:pPr>
        <w:ind w:left="1200" w:right="659" w:firstLine="341"/>
        <w:spacing w:after="0" w:line="238" w:lineRule="auto"/>
        <w:rPr>
          <w:sz w:val="20"/>
          <w:szCs w:val="20"/>
          <w:color w:val="auto"/>
        </w:rPr>
      </w:pPr>
      <w:r>
        <w:rPr>
          <w:rFonts w:ascii="Arial" w:cs="Arial" w:eastAsia="Arial" w:hAnsi="Arial"/>
          <w:sz w:val="17"/>
          <w:szCs w:val="17"/>
          <w:color w:val="auto"/>
        </w:rPr>
        <w:t>During 2021, the Remuneration Committee engaged AoN Consulting, Inc. (“AoN”). The Remuneration Committee reviewed compensation assessments provided by AoN comparing our compensation to that of a group of peer companies within our industry and met with AoN to discuss compensation of our executive officers and non-executive directors and to receive input and advice. The Remuneration Committee has considered the adviser independence factors required under SEC rules as they relate to (i) additional services, (ii) total fees as a percentage of total revenue, (iii) conflict of interest policies, (iv) business or personal relationships with members of the Remuneration Committee, (v) stock ownership by compensation advisors, and (vi) business or personal relationships with executives of the company and does not believe AoN’s work in 2021 raised a conflict of interest. For discussion of the role of compensation consultants in determining executive and non-employee director compensation, please refer to “Executive Compensation” and “Director Compensation” below.</w:t>
      </w:r>
    </w:p>
    <w:p>
      <w:pPr>
        <w:spacing w:after="0" w:line="42" w:lineRule="exact"/>
        <w:rPr>
          <w:sz w:val="20"/>
          <w:szCs w:val="20"/>
          <w:color w:val="auto"/>
        </w:rPr>
      </w:pPr>
    </w:p>
    <w:p>
      <w:pPr>
        <w:ind w:left="1200" w:right="839" w:firstLine="341"/>
        <w:spacing w:after="0" w:line="291" w:lineRule="auto"/>
        <w:rPr>
          <w:sz w:val="20"/>
          <w:szCs w:val="20"/>
          <w:color w:val="auto"/>
        </w:rPr>
      </w:pPr>
      <w:r>
        <w:rPr>
          <w:rFonts w:ascii="Arial" w:cs="Arial" w:eastAsia="Arial" w:hAnsi="Arial"/>
          <w:sz w:val="16"/>
          <w:szCs w:val="16"/>
          <w:color w:val="auto"/>
        </w:rPr>
        <w:t>The current members of our Remuneration Committee are Ken Cunningham, M.D., David Ebsworth, Ph.D. and Rishi Gupta. Dr. Cunningham serves as the Chairperson of the Remuneration Committee.</w:t>
      </w:r>
    </w:p>
    <w:p>
      <w:pPr>
        <w:spacing w:after="0" w:line="2"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The Remuneration Committee met six times during 2021.</w:t>
      </w:r>
    </w:p>
    <w:p>
      <w:pPr>
        <w:spacing w:after="0" w:line="21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NOMINATION AND CORPORATE GOVERNANCE COMMITTEE</w:t>
      </w:r>
    </w:p>
    <w:p>
      <w:pPr>
        <w:spacing w:after="0" w:line="86"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The Nomination and Corporate Governance Committee’s responsibilities include, among other things:</w:t>
      </w:r>
    </w:p>
    <w:p>
      <w:pPr>
        <w:spacing w:after="0" w:line="110" w:lineRule="exact"/>
        <w:rPr>
          <w:sz w:val="20"/>
          <w:szCs w:val="20"/>
          <w:color w:val="auto"/>
        </w:rPr>
      </w:pPr>
    </w:p>
    <w:p>
      <w:pPr>
        <w:ind w:left="1700" w:right="639" w:hanging="163"/>
        <w:spacing w:after="0" w:line="263" w:lineRule="auto"/>
        <w:tabs>
          <w:tab w:leader="none" w:pos="1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evaluating the structure, size and composition (including the skills, knowledge and experience) of the Board of Directors and make recommendations to the Board of Directors with regard to any adjustments that are deemed necessary;</w:t>
      </w:r>
    </w:p>
    <w:p>
      <w:pPr>
        <w:spacing w:after="0" w:line="60" w:lineRule="exact"/>
        <w:rPr>
          <w:rFonts w:ascii="Arial" w:cs="Arial" w:eastAsia="Arial" w:hAnsi="Arial"/>
          <w:sz w:val="17"/>
          <w:szCs w:val="17"/>
          <w:color w:val="auto"/>
        </w:rPr>
      </w:pPr>
    </w:p>
    <w:p>
      <w:pPr>
        <w:ind w:left="1700" w:right="1099" w:hanging="163"/>
        <w:spacing w:after="0" w:line="276" w:lineRule="auto"/>
        <w:tabs>
          <w:tab w:leader="none" w:pos="1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identifying and nominating, for the approval of the Board of Directors, candidates to fill Board vacancies as and when they arise;</w:t>
      </w:r>
    </w:p>
    <w:p>
      <w:pPr>
        <w:spacing w:after="0" w:line="49" w:lineRule="exact"/>
        <w:rPr>
          <w:rFonts w:ascii="Arial" w:cs="Arial" w:eastAsia="Arial" w:hAnsi="Arial"/>
          <w:sz w:val="17"/>
          <w:szCs w:val="17"/>
          <w:color w:val="auto"/>
        </w:rPr>
      </w:pPr>
    </w:p>
    <w:p>
      <w:pPr>
        <w:ind w:left="1700" w:right="939" w:hanging="163"/>
        <w:spacing w:after="0" w:line="276" w:lineRule="auto"/>
        <w:tabs>
          <w:tab w:leader="none" w:pos="1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putting in place plans for the orderly succession of appointments to the Board of Directors and to senior management;</w:t>
      </w:r>
    </w:p>
    <w:p>
      <w:pPr>
        <w:spacing w:after="0" w:line="36" w:lineRule="exact"/>
        <w:rPr>
          <w:rFonts w:ascii="Arial" w:cs="Arial" w:eastAsia="Arial" w:hAnsi="Arial"/>
          <w:sz w:val="17"/>
          <w:szCs w:val="17"/>
          <w:color w:val="auto"/>
        </w:rPr>
      </w:pPr>
    </w:p>
    <w:p>
      <w:pPr>
        <w:ind w:left="1700" w:right="1039" w:hanging="163"/>
        <w:spacing w:after="0" w:line="263" w:lineRule="auto"/>
        <w:tabs>
          <w:tab w:leader="none" w:pos="1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making recommendations to the Board of Directors on the membership of the Audit and Risk, Remuneration and Nomination and Corporate Governance Committees, in consultation with the chairs of those committees; and</w:t>
      </w:r>
    </w:p>
    <w:p>
      <w:pPr>
        <w:spacing w:after="0" w:line="60" w:lineRule="exact"/>
        <w:rPr>
          <w:rFonts w:ascii="Arial" w:cs="Arial" w:eastAsia="Arial" w:hAnsi="Arial"/>
          <w:sz w:val="17"/>
          <w:szCs w:val="17"/>
          <w:color w:val="auto"/>
        </w:rPr>
      </w:pPr>
    </w:p>
    <w:p>
      <w:pPr>
        <w:ind w:left="1700" w:right="1179" w:hanging="163"/>
        <w:spacing w:after="0" w:line="276" w:lineRule="auto"/>
        <w:tabs>
          <w:tab w:leader="none" w:pos="1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overseeing a periodic self-evaluation of the Board of Directors to determine whether it and its committees are functioning effectively.</w:t>
      </w:r>
    </w:p>
    <w:p>
      <w:pPr>
        <w:spacing w:after="0" w:line="100" w:lineRule="exact"/>
        <w:rPr>
          <w:sz w:val="20"/>
          <w:szCs w:val="20"/>
          <w:color w:val="auto"/>
        </w:rPr>
      </w:pPr>
    </w:p>
    <w:p>
      <w:pPr>
        <w:ind w:left="1200" w:right="839" w:firstLine="341"/>
        <w:spacing w:after="0" w:line="248" w:lineRule="auto"/>
        <w:rPr>
          <w:sz w:val="20"/>
          <w:szCs w:val="20"/>
          <w:color w:val="auto"/>
        </w:rPr>
      </w:pPr>
      <w:r>
        <w:rPr>
          <w:rFonts w:ascii="Arial" w:cs="Arial" w:eastAsia="Arial" w:hAnsi="Arial"/>
          <w:sz w:val="17"/>
          <w:szCs w:val="17"/>
          <w:color w:val="auto"/>
        </w:rPr>
        <w:t>The current members of our Nomination and Corporate Governance Committee are Lisa Deschamps, David Ebsworth, Ph.D. and Mahendra Shah, Ph.D. Dr. Ebsworth serves as the Chairperson of the Nomination and Corporate Governance Committee.</w:t>
      </w:r>
    </w:p>
    <w:p>
      <w:pPr>
        <w:spacing w:after="0" w:line="341"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The members of the Nomination and Corporate Governance Committee met two times during 2021.</w:t>
      </w:r>
    </w:p>
    <w:p>
      <w:pPr>
        <w:spacing w:after="0" w:line="60"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Executive and Director Compensation</w:t>
      </w:r>
    </w:p>
    <w:p>
      <w:pPr>
        <w:spacing w:after="0" w:line="154" w:lineRule="exact"/>
        <w:rPr>
          <w:sz w:val="20"/>
          <w:szCs w:val="20"/>
          <w:color w:val="auto"/>
        </w:rPr>
      </w:pPr>
    </w:p>
    <w:p>
      <w:pPr>
        <w:ind w:left="1200" w:right="820" w:firstLine="341"/>
        <w:spacing w:after="0" w:line="263" w:lineRule="auto"/>
        <w:rPr>
          <w:sz w:val="20"/>
          <w:szCs w:val="20"/>
          <w:color w:val="auto"/>
        </w:rPr>
      </w:pPr>
      <w:r>
        <w:rPr>
          <w:rFonts w:ascii="Arial" w:cs="Arial" w:eastAsia="Arial" w:hAnsi="Arial"/>
          <w:sz w:val="17"/>
          <w:szCs w:val="17"/>
          <w:color w:val="auto"/>
        </w:rPr>
        <w:t>This section discusses the material components of the executive compensation program for our executive officers who are named in the “2021 Summary Compensation Table” below. In 2021, our “named executive officers” and their positions were as follows:</w:t>
      </w:r>
    </w:p>
    <w:p>
      <w:pPr>
        <w:spacing w:after="0" w:line="74" w:lineRule="exact"/>
        <w:rPr>
          <w:sz w:val="20"/>
          <w:szCs w:val="20"/>
          <w:color w:val="auto"/>
        </w:rPr>
      </w:pPr>
    </w:p>
    <w:p>
      <w:pPr>
        <w:ind w:left="1700" w:hanging="163"/>
        <w:spacing w:after="0"/>
        <w:tabs>
          <w:tab w:leader="none" w:pos="1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David Zaccardelli, Pharm.D., President and Chief Executive Officer;</w:t>
      </w:r>
    </w:p>
    <w:p>
      <w:pPr>
        <w:spacing w:after="0" w:line="111" w:lineRule="exact"/>
        <w:rPr>
          <w:rFonts w:ascii="Arial" w:cs="Arial" w:eastAsia="Arial" w:hAnsi="Arial"/>
          <w:sz w:val="17"/>
          <w:szCs w:val="17"/>
          <w:color w:val="auto"/>
        </w:rPr>
      </w:pPr>
    </w:p>
    <w:p>
      <w:pPr>
        <w:ind w:left="1700" w:hanging="163"/>
        <w:spacing w:after="0"/>
        <w:tabs>
          <w:tab w:leader="none" w:pos="1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Mark Hahn, Chief Financial Officer; and</w:t>
      </w:r>
    </w:p>
    <w:p>
      <w:pPr>
        <w:spacing w:after="0" w:line="111" w:lineRule="exact"/>
        <w:rPr>
          <w:rFonts w:ascii="Arial" w:cs="Arial" w:eastAsia="Arial" w:hAnsi="Arial"/>
          <w:sz w:val="17"/>
          <w:szCs w:val="17"/>
          <w:color w:val="auto"/>
        </w:rPr>
      </w:pPr>
    </w:p>
    <w:p>
      <w:pPr>
        <w:ind w:left="1700" w:hanging="163"/>
        <w:spacing w:after="0"/>
        <w:tabs>
          <w:tab w:leader="none" w:pos="1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Kathleen Rickard, M.D., Chief Medical Officer.</w:t>
      </w:r>
    </w:p>
    <w:p>
      <w:pPr>
        <w:spacing w:after="0" w:line="21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2021 SUMMARY COMPENSATION TABLE</w:t>
      </w:r>
    </w:p>
    <w:p>
      <w:pPr>
        <w:spacing w:after="0" w:line="73" w:lineRule="exact"/>
        <w:rPr>
          <w:sz w:val="20"/>
          <w:szCs w:val="20"/>
          <w:color w:val="auto"/>
        </w:rPr>
      </w:pPr>
    </w:p>
    <w:p>
      <w:pPr>
        <w:ind w:left="1200" w:right="1300" w:firstLine="341"/>
        <w:spacing w:after="0" w:line="276" w:lineRule="auto"/>
        <w:rPr>
          <w:sz w:val="20"/>
          <w:szCs w:val="20"/>
          <w:color w:val="auto"/>
        </w:rPr>
      </w:pPr>
      <w:r>
        <w:rPr>
          <w:rFonts w:ascii="Arial" w:cs="Arial" w:eastAsia="Arial" w:hAnsi="Arial"/>
          <w:sz w:val="17"/>
          <w:szCs w:val="17"/>
          <w:color w:val="auto"/>
        </w:rPr>
        <w:t>The following table sets forth information concerning the compensation of our named executive officers for the year ended December 31, 2021.</w:t>
      </w:r>
    </w:p>
    <w:p>
      <w:pPr>
        <w:spacing w:after="0" w:line="175"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Non-Equity</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53"/>
        </w:trPr>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Stock</w:t>
            </w:r>
          </w:p>
        </w:tc>
        <w:tc>
          <w:tcPr>
            <w:tcW w:w="9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Option</w:t>
            </w: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4"/>
              </w:rPr>
              <w:t>Incentive Plan</w:t>
            </w:r>
          </w:p>
        </w:tc>
        <w:tc>
          <w:tcPr>
            <w:tcW w:w="12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All Other</w:t>
            </w:r>
          </w:p>
        </w:tc>
        <w:tc>
          <w:tcPr>
            <w:tcW w:w="780" w:type="dxa"/>
            <w:vAlign w:val="bottom"/>
          </w:tcPr>
          <w:p>
            <w:pPr>
              <w:spacing w:after="0"/>
              <w:rPr>
                <w:sz w:val="13"/>
                <w:szCs w:val="13"/>
                <w:color w:val="auto"/>
              </w:rPr>
            </w:pPr>
          </w:p>
        </w:tc>
      </w:tr>
      <w:tr>
        <w:trPr>
          <w:trHeight w:val="199"/>
        </w:trPr>
        <w:tc>
          <w:tcPr>
            <w:tcW w:w="1820" w:type="dxa"/>
            <w:vAlign w:val="bottom"/>
          </w:tcPr>
          <w:p>
            <w:pPr>
              <w:spacing w:after="0"/>
              <w:rPr>
                <w:sz w:val="20"/>
                <w:szCs w:val="20"/>
                <w:color w:val="auto"/>
              </w:rPr>
            </w:pPr>
            <w:r>
              <w:rPr>
                <w:rFonts w:ascii="Arial" w:cs="Arial" w:eastAsia="Arial" w:hAnsi="Arial"/>
                <w:sz w:val="14"/>
                <w:szCs w:val="14"/>
                <w:b w:val="1"/>
                <w:bCs w:val="1"/>
                <w:color w:val="auto"/>
                <w:w w:val="95"/>
              </w:rPr>
              <w:t>Name and Principal Position</w:t>
            </w:r>
          </w:p>
        </w:tc>
        <w:tc>
          <w:tcPr>
            <w:tcW w:w="180" w:type="dxa"/>
            <w:vAlign w:val="bottom"/>
          </w:tcPr>
          <w:p>
            <w:pPr>
              <w:spacing w:after="0"/>
              <w:rPr>
                <w:sz w:val="17"/>
                <w:szCs w:val="17"/>
                <w:color w:val="auto"/>
              </w:rPr>
            </w:pPr>
          </w:p>
        </w:tc>
        <w:tc>
          <w:tcPr>
            <w:tcW w:w="13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9"/>
              </w:rPr>
              <w:t>Year    Salary ($)</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Bonus ($)</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Awards ($)</w:t>
            </w:r>
            <w:r>
              <w:rPr>
                <w:rFonts w:ascii="Arial" w:cs="Arial" w:eastAsia="Arial" w:hAnsi="Arial"/>
                <w:sz w:val="17"/>
                <w:szCs w:val="17"/>
                <w:b w:val="1"/>
                <w:bCs w:val="1"/>
                <w:color w:val="auto"/>
                <w:w w:val="84"/>
                <w:vertAlign w:val="superscript"/>
              </w:rPr>
              <w:t>(1)</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Awards ($)</w:t>
            </w:r>
            <w:r>
              <w:rPr>
                <w:rFonts w:ascii="Arial" w:cs="Arial" w:eastAsia="Arial" w:hAnsi="Arial"/>
                <w:sz w:val="17"/>
                <w:szCs w:val="17"/>
                <w:b w:val="1"/>
                <w:bCs w:val="1"/>
                <w:color w:val="auto"/>
                <w:w w:val="84"/>
                <w:vertAlign w:val="superscript"/>
              </w:rPr>
              <w:t>(1)</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Compensation ($)</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Compensation ($)</w:t>
            </w:r>
          </w:p>
        </w:tc>
        <w:tc>
          <w:tcPr>
            <w:tcW w:w="780" w:type="dxa"/>
            <w:vAlign w:val="bottom"/>
          </w:tcPr>
          <w:p>
            <w:pPr>
              <w:jc w:val="right"/>
              <w:ind w:right="77"/>
              <w:spacing w:after="0"/>
              <w:rPr>
                <w:sz w:val="20"/>
                <w:szCs w:val="20"/>
                <w:color w:val="auto"/>
              </w:rPr>
            </w:pPr>
            <w:r>
              <w:rPr>
                <w:rFonts w:ascii="Arial" w:cs="Arial" w:eastAsia="Arial" w:hAnsi="Arial"/>
                <w:sz w:val="14"/>
                <w:szCs w:val="14"/>
                <w:b w:val="1"/>
                <w:bCs w:val="1"/>
                <w:color w:val="auto"/>
              </w:rPr>
              <w:t>Total ($)</w:t>
            </w:r>
          </w:p>
        </w:tc>
      </w:tr>
      <w:tr>
        <w:trPr>
          <w:trHeight w:val="236"/>
        </w:trPr>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David Zaccardelli</w:t>
            </w:r>
          </w:p>
        </w:tc>
        <w:tc>
          <w:tcPr>
            <w:tcW w:w="1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2021</w:t>
            </w:r>
          </w:p>
        </w:tc>
        <w:tc>
          <w:tcPr>
            <w:tcW w:w="1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272,500</w:t>
            </w:r>
          </w:p>
        </w:tc>
        <w:tc>
          <w:tcPr>
            <w:tcW w:w="1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496,035</w:t>
            </w:r>
          </w:p>
        </w:tc>
        <w:tc>
          <w:tcPr>
            <w:tcW w:w="2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328,313</w:t>
            </w:r>
          </w:p>
        </w:tc>
        <w:tc>
          <w:tcPr>
            <w:tcW w:w="2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ind w:right="79"/>
              <w:spacing w:after="0" w:line="236" w:lineRule="exact"/>
              <w:rPr>
                <w:sz w:val="20"/>
                <w:szCs w:val="20"/>
                <w:color w:val="auto"/>
              </w:rPr>
            </w:pPr>
            <w:r>
              <w:rPr>
                <w:rFonts w:ascii="Arial" w:cs="Arial" w:eastAsia="Arial" w:hAnsi="Arial"/>
                <w:sz w:val="17"/>
                <w:szCs w:val="17"/>
                <w:color w:val="auto"/>
              </w:rPr>
              <w:t>26,456</w:t>
            </w:r>
            <w:r>
              <w:rPr>
                <w:rFonts w:ascii="Arial" w:cs="Arial" w:eastAsia="Arial" w:hAnsi="Arial"/>
                <w:sz w:val="22"/>
                <w:szCs w:val="22"/>
                <w:color w:val="auto"/>
                <w:vertAlign w:val="superscript"/>
              </w:rPr>
              <w:t>(2)</w:t>
            </w:r>
          </w:p>
        </w:tc>
        <w:tc>
          <w:tcPr>
            <w:tcW w:w="20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1,123,304</w:t>
            </w:r>
          </w:p>
        </w:tc>
      </w:tr>
      <w:tr>
        <w:trPr>
          <w:trHeight w:val="218"/>
        </w:trPr>
        <w:tc>
          <w:tcPr>
            <w:tcW w:w="2000" w:type="dxa"/>
            <w:vAlign w:val="bottom"/>
            <w:gridSpan w:val="2"/>
          </w:tcPr>
          <w:p>
            <w:pPr>
              <w:ind w:left="160"/>
              <w:spacing w:after="0"/>
              <w:rPr>
                <w:sz w:val="20"/>
                <w:szCs w:val="20"/>
                <w:color w:val="auto"/>
              </w:rPr>
            </w:pPr>
            <w:r>
              <w:rPr>
                <w:rFonts w:ascii="Arial" w:cs="Arial" w:eastAsia="Arial" w:hAnsi="Arial"/>
                <w:sz w:val="17"/>
                <w:szCs w:val="17"/>
                <w:color w:val="auto"/>
              </w:rPr>
              <w:t>President and Chief</w:t>
            </w:r>
          </w:p>
        </w:tc>
        <w:tc>
          <w:tcPr>
            <w:tcW w:w="360" w:type="dxa"/>
            <w:vAlign w:val="bottom"/>
          </w:tcPr>
          <w:p>
            <w:pPr>
              <w:jc w:val="right"/>
              <w:spacing w:after="0"/>
              <w:rPr>
                <w:sz w:val="20"/>
                <w:szCs w:val="20"/>
                <w:color w:val="auto"/>
              </w:rPr>
            </w:pPr>
            <w:r>
              <w:rPr>
                <w:rFonts w:ascii="Arial" w:cs="Arial" w:eastAsia="Arial" w:hAnsi="Arial"/>
                <w:sz w:val="17"/>
                <w:szCs w:val="17"/>
                <w:color w:val="auto"/>
                <w:w w:val="89"/>
              </w:rPr>
              <w:t>2020</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229,167</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17,620,462</w:t>
            </w:r>
          </w:p>
        </w:tc>
        <w:tc>
          <w:tcPr>
            <w:tcW w:w="2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412,500</w:t>
            </w:r>
          </w:p>
        </w:tc>
        <w:tc>
          <w:tcPr>
            <w:tcW w:w="20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Arial" w:cs="Arial" w:eastAsia="Arial" w:hAnsi="Arial"/>
                <w:sz w:val="17"/>
                <w:szCs w:val="17"/>
                <w:color w:val="auto"/>
              </w:rPr>
              <w:t>39,110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18,301,239</w:t>
            </w:r>
          </w:p>
        </w:tc>
      </w:tr>
      <w:tr>
        <w:trPr>
          <w:trHeight w:val="216"/>
        </w:trPr>
        <w:tc>
          <w:tcPr>
            <w:tcW w:w="2000" w:type="dxa"/>
            <w:vAlign w:val="bottom"/>
            <w:gridSpan w:val="2"/>
          </w:tcPr>
          <w:p>
            <w:pPr>
              <w:ind w:left="340"/>
              <w:spacing w:after="0"/>
              <w:rPr>
                <w:sz w:val="20"/>
                <w:szCs w:val="20"/>
                <w:color w:val="auto"/>
              </w:rPr>
            </w:pPr>
            <w:r>
              <w:rPr>
                <w:rFonts w:ascii="Arial" w:cs="Arial" w:eastAsia="Arial" w:hAnsi="Arial"/>
                <w:sz w:val="17"/>
                <w:szCs w:val="17"/>
                <w:color w:val="auto"/>
              </w:rPr>
              <w:t>Executive Officer</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7"/>
        </w:trPr>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1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43"/>
        </w:trPr>
        <w:tc>
          <w:tcPr>
            <w:tcW w:w="2000" w:type="dxa"/>
            <w:vAlign w:val="bottom"/>
            <w:gridSpan w:val="2"/>
          </w:tcPr>
          <w:p>
            <w:pPr>
              <w:spacing w:after="0"/>
              <w:rPr>
                <w:sz w:val="20"/>
                <w:szCs w:val="20"/>
                <w:color w:val="auto"/>
              </w:rPr>
            </w:pPr>
            <w:r>
              <w:rPr>
                <w:rFonts w:ascii="Arial" w:cs="Arial" w:eastAsia="Arial" w:hAnsi="Arial"/>
                <w:sz w:val="17"/>
                <w:szCs w:val="17"/>
                <w:color w:val="auto"/>
              </w:rPr>
              <w:t>Mark Hahn</w:t>
            </w:r>
          </w:p>
        </w:tc>
        <w:tc>
          <w:tcPr>
            <w:tcW w:w="360" w:type="dxa"/>
            <w:vAlign w:val="bottom"/>
          </w:tcPr>
          <w:p>
            <w:pPr>
              <w:jc w:val="right"/>
              <w:spacing w:after="0"/>
              <w:rPr>
                <w:sz w:val="20"/>
                <w:szCs w:val="20"/>
                <w:color w:val="auto"/>
              </w:rPr>
            </w:pPr>
            <w:r>
              <w:rPr>
                <w:rFonts w:ascii="Arial" w:cs="Arial" w:eastAsia="Arial" w:hAnsi="Arial"/>
                <w:sz w:val="17"/>
                <w:szCs w:val="17"/>
                <w:color w:val="auto"/>
                <w:w w:val="89"/>
              </w:rPr>
              <w:t>2021</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402,500</w:t>
            </w:r>
          </w:p>
        </w:tc>
        <w:tc>
          <w:tcPr>
            <w:tcW w:w="1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99,210</w:t>
            </w:r>
          </w:p>
        </w:tc>
        <w:tc>
          <w:tcPr>
            <w:tcW w:w="200" w:type="dxa"/>
            <w:vAlign w:val="bottom"/>
          </w:tcPr>
          <w:p>
            <w:pPr>
              <w:spacing w:after="0"/>
              <w:rPr>
                <w:sz w:val="21"/>
                <w:szCs w:val="21"/>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218,875</w:t>
            </w:r>
          </w:p>
        </w:tc>
        <w:tc>
          <w:tcPr>
            <w:tcW w:w="200" w:type="dxa"/>
            <w:vAlign w:val="bottom"/>
          </w:tcPr>
          <w:p>
            <w:pPr>
              <w:spacing w:after="0"/>
              <w:rPr>
                <w:sz w:val="21"/>
                <w:szCs w:val="21"/>
                <w:color w:val="auto"/>
              </w:rPr>
            </w:pPr>
          </w:p>
        </w:tc>
        <w:tc>
          <w:tcPr>
            <w:tcW w:w="1020" w:type="dxa"/>
            <w:vAlign w:val="bottom"/>
          </w:tcPr>
          <w:p>
            <w:pPr>
              <w:jc w:val="right"/>
              <w:ind w:right="79"/>
              <w:spacing w:after="0" w:line="243" w:lineRule="exact"/>
              <w:rPr>
                <w:sz w:val="20"/>
                <w:szCs w:val="20"/>
                <w:color w:val="auto"/>
              </w:rPr>
            </w:pPr>
            <w:r>
              <w:rPr>
                <w:rFonts w:ascii="Arial" w:cs="Arial" w:eastAsia="Arial" w:hAnsi="Arial"/>
                <w:sz w:val="17"/>
                <w:szCs w:val="17"/>
                <w:color w:val="auto"/>
              </w:rPr>
              <w:t>17,704</w:t>
            </w:r>
            <w:r>
              <w:rPr>
                <w:rFonts w:ascii="Arial" w:cs="Arial" w:eastAsia="Arial" w:hAnsi="Arial"/>
                <w:sz w:val="22"/>
                <w:szCs w:val="22"/>
                <w:color w:val="auto"/>
                <w:vertAlign w:val="superscript"/>
              </w:rPr>
              <w:t>(3)</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738,289</w:t>
            </w:r>
          </w:p>
        </w:tc>
      </w:tr>
      <w:tr>
        <w:trPr>
          <w:trHeight w:val="218"/>
        </w:trPr>
        <w:tc>
          <w:tcPr>
            <w:tcW w:w="20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Chief Financial</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2020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229,167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17,915,584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275,000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7"/>
                <w:szCs w:val="17"/>
                <w:color w:val="auto"/>
              </w:rPr>
              <w:t>35,047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18,454,798</w:t>
            </w:r>
          </w:p>
        </w:tc>
      </w:tr>
      <w:tr>
        <w:trPr>
          <w:trHeight w:val="223"/>
        </w:trPr>
        <w:tc>
          <w:tcPr>
            <w:tcW w:w="2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Officer</w:t>
            </w:r>
          </w:p>
        </w:tc>
        <w:tc>
          <w:tcPr>
            <w:tcW w:w="3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r>
      <w:tr>
        <w:trPr>
          <w:trHeight w:val="242"/>
        </w:trPr>
        <w:tc>
          <w:tcPr>
            <w:tcW w:w="1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4"/>
        </w:trPr>
        <w:tc>
          <w:tcPr>
            <w:tcW w:w="2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Kathleen Rickard</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2021</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413,751</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140,675</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9"/>
              <w:spacing w:after="0" w:line="244" w:lineRule="exact"/>
              <w:rPr>
                <w:sz w:val="20"/>
                <w:szCs w:val="20"/>
                <w:color w:val="auto"/>
              </w:rPr>
            </w:pPr>
            <w:r>
              <w:rPr>
                <w:rFonts w:ascii="Arial" w:cs="Arial" w:eastAsia="Arial" w:hAnsi="Arial"/>
                <w:sz w:val="17"/>
                <w:szCs w:val="17"/>
                <w:color w:val="auto"/>
              </w:rPr>
              <w:t>7,957</w:t>
            </w:r>
            <w:r>
              <w:rPr>
                <w:rFonts w:ascii="Arial" w:cs="Arial" w:eastAsia="Arial" w:hAnsi="Arial"/>
                <w:sz w:val="22"/>
                <w:szCs w:val="22"/>
                <w:color w:val="auto"/>
                <w:vertAlign w:val="superscript"/>
              </w:rPr>
              <w:t>(4)</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562,383</w:t>
            </w:r>
          </w:p>
        </w:tc>
      </w:tr>
      <w:tr>
        <w:trPr>
          <w:trHeight w:val="242"/>
        </w:trPr>
        <w:tc>
          <w:tcPr>
            <w:tcW w:w="2000" w:type="dxa"/>
            <w:vAlign w:val="bottom"/>
            <w:gridSpan w:val="2"/>
          </w:tcPr>
          <w:p>
            <w:pPr>
              <w:ind w:left="160"/>
              <w:spacing w:after="0"/>
              <w:rPr>
                <w:sz w:val="20"/>
                <w:szCs w:val="20"/>
                <w:color w:val="auto"/>
              </w:rPr>
            </w:pPr>
            <w:r>
              <w:rPr>
                <w:rFonts w:ascii="Arial" w:cs="Arial" w:eastAsia="Arial" w:hAnsi="Arial"/>
                <w:sz w:val="17"/>
                <w:szCs w:val="17"/>
                <w:color w:val="auto"/>
              </w:rPr>
              <w:t>Chief Medical Officer</w:t>
            </w:r>
          </w:p>
        </w:tc>
        <w:tc>
          <w:tcPr>
            <w:tcW w:w="360" w:type="dxa"/>
            <w:vAlign w:val="bottom"/>
          </w:tcPr>
          <w:p>
            <w:pPr>
              <w:jc w:val="right"/>
              <w:spacing w:after="0"/>
              <w:rPr>
                <w:sz w:val="20"/>
                <w:szCs w:val="20"/>
                <w:color w:val="auto"/>
              </w:rPr>
            </w:pPr>
            <w:r>
              <w:rPr>
                <w:rFonts w:ascii="Arial" w:cs="Arial" w:eastAsia="Arial" w:hAnsi="Arial"/>
                <w:sz w:val="17"/>
                <w:szCs w:val="17"/>
                <w:color w:val="auto"/>
                <w:w w:val="89"/>
              </w:rPr>
              <w:t>2020</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401,700</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125,000</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3,201,340</w:t>
            </w:r>
          </w:p>
        </w:tc>
        <w:tc>
          <w:tcPr>
            <w:tcW w:w="200" w:type="dxa"/>
            <w:vAlign w:val="bottom"/>
          </w:tcPr>
          <w:p>
            <w:pPr>
              <w:spacing w:after="0"/>
              <w:rPr>
                <w:sz w:val="21"/>
                <w:szCs w:val="21"/>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42,013</w:t>
            </w:r>
          </w:p>
        </w:tc>
        <w:tc>
          <w:tcPr>
            <w:tcW w:w="2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176,748</w:t>
            </w:r>
          </w:p>
        </w:tc>
        <w:tc>
          <w:tcPr>
            <w:tcW w:w="200" w:type="dxa"/>
            <w:vAlign w:val="bottom"/>
          </w:tcPr>
          <w:p>
            <w:pPr>
              <w:spacing w:after="0"/>
              <w:rPr>
                <w:sz w:val="21"/>
                <w:szCs w:val="21"/>
                <w:color w:val="auto"/>
              </w:rPr>
            </w:pPr>
          </w:p>
        </w:tc>
        <w:tc>
          <w:tcPr>
            <w:tcW w:w="1020" w:type="dxa"/>
            <w:vAlign w:val="bottom"/>
          </w:tcPr>
          <w:p>
            <w:pPr>
              <w:jc w:val="right"/>
              <w:ind w:right="199"/>
              <w:spacing w:after="0"/>
              <w:rPr>
                <w:sz w:val="20"/>
                <w:szCs w:val="20"/>
                <w:color w:val="auto"/>
              </w:rPr>
            </w:pPr>
            <w:r>
              <w:rPr>
                <w:rFonts w:ascii="Arial" w:cs="Arial" w:eastAsia="Arial" w:hAnsi="Arial"/>
                <w:sz w:val="17"/>
                <w:szCs w:val="17"/>
                <w:color w:val="auto"/>
              </w:rPr>
              <w:t>19,314</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3,966,115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5530850</wp:posOffset>
            </wp:positionH>
            <wp:positionV relativeFrom="paragraph">
              <wp:posOffset>-1517650</wp:posOffset>
            </wp:positionV>
            <wp:extent cx="1301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-1517650</wp:posOffset>
            </wp:positionV>
            <wp:extent cx="1301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-1517650</wp:posOffset>
            </wp:positionV>
            <wp:extent cx="1301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-1517650</wp:posOffset>
            </wp:positionV>
            <wp:extent cx="1301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2769235</wp:posOffset>
            </wp:positionH>
            <wp:positionV relativeFrom="paragraph">
              <wp:posOffset>-1517650</wp:posOffset>
            </wp:positionV>
            <wp:extent cx="1219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1920" cy="8255"/>
                    </a:xfrm>
                    <a:prstGeom prst="rect">
                      <a:avLst/>
                    </a:prstGeom>
                    <a:noFill/>
                  </pic:spPr>
                </pic:pic>
              </a:graphicData>
            </a:graphic>
          </wp:anchor>
        </w:drawing>
        <w:drawing>
          <wp:anchor simplePos="0" relativeHeight="251657728" behindDoc="1" locked="0" layoutInCell="0" allowOverlap="1">
            <wp:simplePos x="0" y="0"/>
            <wp:positionH relativeFrom="column">
              <wp:posOffset>2290445</wp:posOffset>
            </wp:positionH>
            <wp:positionV relativeFrom="paragraph">
              <wp:posOffset>-1517650</wp:posOffset>
            </wp:positionV>
            <wp:extent cx="1136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3665" cy="8255"/>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-1517650</wp:posOffset>
            </wp:positionV>
            <wp:extent cx="1136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3665" cy="825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-1517650</wp:posOffset>
            </wp:positionV>
            <wp:extent cx="1136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3665"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130810</wp:posOffset>
            </wp:positionV>
            <wp:extent cx="11696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327" w:lineRule="exact"/>
        <w:rPr>
          <w:sz w:val="20"/>
          <w:szCs w:val="20"/>
          <w:color w:val="auto"/>
        </w:rPr>
      </w:pPr>
    </w:p>
    <w:p>
      <w:pPr>
        <w:ind w:left="1540" w:right="920" w:hanging="344"/>
        <w:spacing w:after="0" w:line="257" w:lineRule="auto"/>
        <w:tabs>
          <w:tab w:leader="none" w:pos="1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Amounts reflect the full grant-date fair value of stock awards granted during 2021 computed in accordance with ASC Topic 718, rather than the amounts paid to or realized by the named individual. For a description of the assumptions used in valuing these awards, see Note 12 to our audited consolidated financial statements included in our Annual Report on Form 10-K for the fiscal year ended December 31, 2021.</w:t>
      </w:r>
    </w:p>
    <w:p>
      <w:pPr>
        <w:spacing w:after="0" w:line="40" w:lineRule="exact"/>
        <w:rPr>
          <w:rFonts w:ascii="Arial" w:cs="Arial" w:eastAsia="Arial" w:hAnsi="Arial"/>
          <w:sz w:val="17"/>
          <w:szCs w:val="17"/>
          <w:color w:val="auto"/>
        </w:rPr>
      </w:pPr>
    </w:p>
    <w:p>
      <w:pPr>
        <w:ind w:left="1540" w:right="1080" w:hanging="344"/>
        <w:spacing w:after="0" w:line="276" w:lineRule="auto"/>
        <w:tabs>
          <w:tab w:leader="none" w:pos="1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Consists of a cash payout in lieu of unused holidays ($14,856) and Company pension contributions ($11,600).</w:t>
      </w:r>
    </w:p>
    <w:p>
      <w:pPr>
        <w:spacing w:after="0" w:line="36" w:lineRule="exact"/>
        <w:rPr>
          <w:rFonts w:ascii="Arial" w:cs="Arial" w:eastAsia="Arial" w:hAnsi="Arial"/>
          <w:sz w:val="17"/>
          <w:szCs w:val="17"/>
          <w:color w:val="auto"/>
        </w:rPr>
      </w:pPr>
    </w:p>
    <w:p>
      <w:pPr>
        <w:ind w:left="1540" w:hanging="344"/>
        <w:spacing w:after="0"/>
        <w:tabs>
          <w:tab w:leader="none" w:pos="1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Consists of a cash payout in lieu of unused holidays ($9,904) and pension contributions ($7,800).</w:t>
      </w:r>
    </w:p>
    <w:p>
      <w:pPr>
        <w:spacing w:after="0" w:line="73" w:lineRule="exact"/>
        <w:rPr>
          <w:rFonts w:ascii="Arial" w:cs="Arial" w:eastAsia="Arial" w:hAnsi="Arial"/>
          <w:sz w:val="17"/>
          <w:szCs w:val="17"/>
          <w:color w:val="auto"/>
        </w:rPr>
      </w:pPr>
    </w:p>
    <w:p>
      <w:pPr>
        <w:ind w:left="1540" w:hanging="344"/>
        <w:spacing w:after="0"/>
        <w:tabs>
          <w:tab w:leader="none" w:pos="1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Consists of a cash payout in lieu of unused holidays.</w:t>
      </w:r>
    </w:p>
    <w:p>
      <w:pPr>
        <w:spacing w:after="0" w:line="214"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auto"/>
        </w:rPr>
        <w:t>Narrative to 2021 Summary Compensation Table</w:t>
      </w:r>
    </w:p>
    <w:p>
      <w:pPr>
        <w:spacing w:after="0" w:line="214"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2021 Annual Base Salaries</w:t>
      </w:r>
    </w:p>
    <w:p>
      <w:pPr>
        <w:spacing w:after="0" w:line="150" w:lineRule="exact"/>
        <w:rPr>
          <w:sz w:val="20"/>
          <w:szCs w:val="20"/>
          <w:color w:val="auto"/>
        </w:rPr>
      </w:pPr>
    </w:p>
    <w:p>
      <w:pPr>
        <w:ind w:left="1200" w:right="760" w:firstLine="341"/>
        <w:spacing w:after="0" w:line="263" w:lineRule="auto"/>
        <w:rPr>
          <w:sz w:val="20"/>
          <w:szCs w:val="20"/>
          <w:color w:val="auto"/>
        </w:rPr>
      </w:pPr>
      <w:r>
        <w:rPr>
          <w:rFonts w:ascii="Arial" w:cs="Arial" w:eastAsia="Arial" w:hAnsi="Arial"/>
          <w:sz w:val="17"/>
          <w:szCs w:val="17"/>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99" w:lineRule="exact"/>
        <w:rPr>
          <w:sz w:val="20"/>
          <w:szCs w:val="20"/>
          <w:color w:val="auto"/>
        </w:rPr>
      </w:pPr>
    </w:p>
    <w:p>
      <w:pPr>
        <w:ind w:left="1200" w:right="780" w:firstLine="341"/>
        <w:spacing w:after="0" w:line="280" w:lineRule="auto"/>
        <w:rPr>
          <w:sz w:val="20"/>
          <w:szCs w:val="20"/>
          <w:color w:val="auto"/>
        </w:rPr>
      </w:pPr>
      <w:r>
        <w:rPr>
          <w:rFonts w:ascii="Arial" w:cs="Arial" w:eastAsia="Arial" w:hAnsi="Arial"/>
          <w:sz w:val="16"/>
          <w:szCs w:val="16"/>
          <w:color w:val="auto"/>
        </w:rPr>
        <w:t>Our remuneration committee periodically reviews named executive officer base salaries in consultation with management to determine whether any adjustments are necessary or appropriate. The following table shows the annual cash base salaries of our named executive officer for 2021 and 2022. Except as otherwise noted, all annual base salary increases were effective January 1 of the given year.</w:t>
      </w:r>
    </w:p>
    <w:p>
      <w:pPr>
        <w:spacing w:after="0" w:line="34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700"/>
          </w:cols>
          <w:pgMar w:left="860" w:top="131" w:right="1339" w:bottom="1440" w:gutter="0" w:footer="0" w:header="0"/>
        </w:sectPr>
      </w:pPr>
    </w:p>
    <w:bookmarkStart w:id="36" w:name="page37"/>
    <w:bookmarkEnd w:id="36"/>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2021 Cash Annual</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2022 Cash Annual</w:t>
            </w:r>
          </w:p>
        </w:tc>
      </w:tr>
      <w:tr>
        <w:trPr>
          <w:trHeight w:val="175"/>
        </w:trPr>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Base Salary ($)</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3"/>
              </w:rPr>
              <w:t>Base Salary ($)</w:t>
            </w:r>
          </w:p>
        </w:tc>
      </w:tr>
      <w:tr>
        <w:trPr>
          <w:trHeight w:val="24"/>
        </w:trPr>
        <w:tc>
          <w:tcPr>
            <w:tcW w:w="4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1"/>
        </w:trPr>
        <w:tc>
          <w:tcPr>
            <w:tcW w:w="4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David Zaccardelli</w:t>
            </w:r>
            <w:r>
              <w:rPr>
                <w:rFonts w:ascii="Arial" w:cs="Arial" w:eastAsia="Arial" w:hAnsi="Arial"/>
                <w:sz w:val="22"/>
                <w:szCs w:val="22"/>
                <w:color w:val="auto"/>
                <w:vertAlign w:val="superscript"/>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272,500</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524,842</w:t>
            </w:r>
          </w:p>
        </w:tc>
      </w:tr>
      <w:tr>
        <w:trPr>
          <w:trHeight w:val="269"/>
        </w:trPr>
        <w:tc>
          <w:tcPr>
            <w:tcW w:w="4760" w:type="dxa"/>
            <w:vAlign w:val="bottom"/>
            <w:gridSpan w:val="2"/>
          </w:tcPr>
          <w:p>
            <w:pPr>
              <w:spacing w:after="0"/>
              <w:rPr>
                <w:sz w:val="20"/>
                <w:szCs w:val="20"/>
                <w:color w:val="auto"/>
              </w:rPr>
            </w:pPr>
            <w:r>
              <w:rPr>
                <w:rFonts w:ascii="Arial" w:cs="Arial" w:eastAsia="Arial" w:hAnsi="Arial"/>
                <w:sz w:val="17"/>
                <w:szCs w:val="17"/>
                <w:color w:val="auto"/>
              </w:rPr>
              <w:t>Mark Hahn</w:t>
            </w:r>
            <w:r>
              <w:rPr>
                <w:rFonts w:ascii="Arial" w:cs="Arial" w:eastAsia="Arial" w:hAnsi="Arial"/>
                <w:sz w:val="22"/>
                <w:szCs w:val="22"/>
                <w:color w:val="auto"/>
                <w:vertAlign w:val="superscript"/>
              </w:rPr>
              <w:t>(1)</w:t>
            </w:r>
          </w:p>
        </w:tc>
        <w:tc>
          <w:tcPr>
            <w:tcW w:w="1060" w:type="dxa"/>
            <w:vAlign w:val="bottom"/>
          </w:tcPr>
          <w:p>
            <w:pPr>
              <w:jc w:val="center"/>
              <w:spacing w:after="0"/>
              <w:rPr>
                <w:sz w:val="20"/>
                <w:szCs w:val="20"/>
                <w:color w:val="auto"/>
              </w:rPr>
            </w:pPr>
            <w:r>
              <w:rPr>
                <w:rFonts w:ascii="Arial" w:cs="Arial" w:eastAsia="Arial" w:hAnsi="Arial"/>
                <w:sz w:val="17"/>
                <w:szCs w:val="17"/>
                <w:color w:val="auto"/>
                <w:w w:val="91"/>
              </w:rPr>
              <w:t>402,500</w:t>
            </w:r>
          </w:p>
        </w:tc>
        <w:tc>
          <w:tcPr>
            <w:tcW w:w="2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87"/>
              </w:rPr>
              <w:t>430,450</w:t>
            </w:r>
          </w:p>
        </w:tc>
      </w:tr>
      <w:tr>
        <w:trPr>
          <w:trHeight w:val="243"/>
        </w:trPr>
        <w:tc>
          <w:tcPr>
            <w:tcW w:w="4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Kathleen Rickard</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413,751</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434,439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4669790</wp:posOffset>
            </wp:positionH>
            <wp:positionV relativeFrom="paragraph">
              <wp:posOffset>-502920</wp:posOffset>
            </wp:positionV>
            <wp:extent cx="1301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3865880</wp:posOffset>
            </wp:positionH>
            <wp:positionV relativeFrom="paragraph">
              <wp:posOffset>-502920</wp:posOffset>
            </wp:positionV>
            <wp:extent cx="1301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137795</wp:posOffset>
            </wp:positionV>
            <wp:extent cx="11696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339" w:lineRule="exact"/>
        <w:rPr>
          <w:sz w:val="20"/>
          <w:szCs w:val="20"/>
          <w:color w:val="auto"/>
        </w:rPr>
      </w:pPr>
    </w:p>
    <w:p>
      <w:pPr>
        <w:ind w:left="1540" w:right="719" w:hanging="344"/>
        <w:spacing w:after="0" w:line="256" w:lineRule="auto"/>
        <w:tabs>
          <w:tab w:leader="none" w:pos="1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 further described below in the section entitled “— Executive Compensation Arrangements,” Dr. Zaccardelli’s and Mr. Hahn’s annual base salaries are payable in part in cash and in part in restricted stock units pursuant to their employment agreements. The amounts shown in this table represent the portion of the executive’s annual base salary that was payable in cash for 2021 and 2022. The portion of Dr. Zaccardelli and Mr. Hahn’s annual base salary that was payable in restricted stock units is described below in the section entitled “— Equity Compensation.”</w:t>
      </w:r>
    </w:p>
    <w:p>
      <w:pPr>
        <w:spacing w:after="0" w:line="182"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2021 Annual Cash Bonuses</w:t>
      </w:r>
    </w:p>
    <w:p>
      <w:pPr>
        <w:spacing w:after="0" w:line="137" w:lineRule="exact"/>
        <w:rPr>
          <w:sz w:val="20"/>
          <w:szCs w:val="20"/>
          <w:color w:val="auto"/>
        </w:rPr>
      </w:pPr>
    </w:p>
    <w:p>
      <w:pPr>
        <w:ind w:left="1200" w:right="719" w:firstLine="341"/>
        <w:spacing w:after="0" w:line="256" w:lineRule="auto"/>
        <w:rPr>
          <w:sz w:val="20"/>
          <w:szCs w:val="20"/>
          <w:color w:val="auto"/>
        </w:rPr>
      </w:pPr>
      <w:r>
        <w:rPr>
          <w:rFonts w:ascii="Arial" w:cs="Arial" w:eastAsia="Arial" w:hAnsi="Arial"/>
          <w:sz w:val="17"/>
          <w:szCs w:val="17"/>
          <w:color w:val="auto"/>
        </w:rPr>
        <w:t>In addition to base salaries, our named executive officers are eligible to receive a discretionary bonus designed to drive the achievement of the Company’s strategic and corporate objectives. The goals are set at the start of the year by the Board of Directors and performance against objectives is assessed by the remuneration committee after the end of the relevant financial year. Dr. Zaccardelli and Mr. Hahn are each eligible to receive an annual bonus targeted at 50% of his base salary, while Dr. Rickard is eligible to receive an annual bonus targeted at 40% of her base salary.</w:t>
      </w:r>
    </w:p>
    <w:p>
      <w:pPr>
        <w:spacing w:after="0" w:line="118" w:lineRule="exact"/>
        <w:rPr>
          <w:sz w:val="20"/>
          <w:szCs w:val="20"/>
          <w:color w:val="auto"/>
        </w:rPr>
      </w:pPr>
    </w:p>
    <w:p>
      <w:pPr>
        <w:ind w:left="1200" w:right="639" w:firstLine="341"/>
        <w:spacing w:after="0" w:line="256" w:lineRule="auto"/>
        <w:rPr>
          <w:sz w:val="20"/>
          <w:szCs w:val="20"/>
          <w:color w:val="auto"/>
        </w:rPr>
      </w:pPr>
      <w:r>
        <w:rPr>
          <w:rFonts w:ascii="Arial" w:cs="Arial" w:eastAsia="Arial" w:hAnsi="Arial"/>
          <w:sz w:val="17"/>
          <w:szCs w:val="17"/>
          <w:color w:val="auto"/>
        </w:rPr>
        <w:t>For 2021, our corporate bonus objectives were based on operational and financial milestones, which consisted of completion of enrollment in our ENHANCE-1 and ENHANCE-2 clinical studies, reporting data from our MD-201 and COV-201 studies, progressing external licensing of ensifentrine, preparing a commercialization plan for ensifentrine and Company operation at or below an approved budget; however, our remuneration committee did not assign any particular weights to any particular objectives, nor did it have separate goals for any particular executive.</w:t>
      </w:r>
    </w:p>
    <w:p>
      <w:pPr>
        <w:spacing w:after="0" w:line="118" w:lineRule="exact"/>
        <w:rPr>
          <w:sz w:val="20"/>
          <w:szCs w:val="20"/>
          <w:color w:val="auto"/>
        </w:rPr>
      </w:pPr>
    </w:p>
    <w:p>
      <w:pPr>
        <w:ind w:left="1200" w:right="759" w:firstLine="341"/>
        <w:spacing w:after="0" w:line="277" w:lineRule="auto"/>
        <w:rPr>
          <w:sz w:val="20"/>
          <w:szCs w:val="20"/>
          <w:color w:val="auto"/>
        </w:rPr>
      </w:pPr>
      <w:r>
        <w:rPr>
          <w:rFonts w:ascii="Arial" w:cs="Arial" w:eastAsia="Arial" w:hAnsi="Arial"/>
          <w:sz w:val="16"/>
          <w:szCs w:val="16"/>
          <w:color w:val="auto"/>
        </w:rPr>
        <w:t>Based on its evaluation of Company performance, the remuneration committee determined that, in the aggregate, the Company’s corporate bonus objectives were achieved and the committee approved annual bonuses that represented 85% of the target annual bonus for each of the named executives. The actual annual cash bonuses awarded to each named executive officer for 2021 performance are set forth above in the Summary Compensation Table in the column entitled “Non-Equity Incentive Plan Compensation.”</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Equity Compensation</w:t>
      </w:r>
    </w:p>
    <w:p>
      <w:pPr>
        <w:spacing w:after="0" w:line="137" w:lineRule="exact"/>
        <w:rPr>
          <w:sz w:val="20"/>
          <w:szCs w:val="20"/>
          <w:color w:val="auto"/>
        </w:rPr>
      </w:pPr>
    </w:p>
    <w:p>
      <w:pPr>
        <w:ind w:left="1200" w:right="659" w:firstLine="341"/>
        <w:spacing w:after="0" w:line="255" w:lineRule="auto"/>
        <w:rPr>
          <w:sz w:val="20"/>
          <w:szCs w:val="20"/>
          <w:color w:val="auto"/>
        </w:rPr>
      </w:pPr>
      <w:r>
        <w:rPr>
          <w:rFonts w:ascii="Arial" w:cs="Arial" w:eastAsia="Arial" w:hAnsi="Arial"/>
          <w:sz w:val="17"/>
          <w:szCs w:val="17"/>
          <w:color w:val="auto"/>
        </w:rPr>
        <w:t>As further described below in the section entitled “— Executive Compensation Arrangements,” Dr. Zaccardelli’s and Mr. Hahn’s annual base salaries are each payable in part in cash and in part in restricted stock units pursuant to their employment agreements. In 2021, Mr. Zaccardelli and Mr. Hahn were granted awards of restricted stock units covering 66,138 and 13,228 ADSs, respectively. These restricted stock units were granted under our 2017 Incentive Award Plan, as it may be amended and/or restated from time to time, which we refer to as the 2017 Incentive Plan. These restricted stock units vested in quarterly installments over a one year period, subject generally to continued employment.</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Other Elements of Compensation</w:t>
      </w:r>
    </w:p>
    <w:p>
      <w:pPr>
        <w:spacing w:after="0" w:line="210"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Retirement Plans</w:t>
      </w:r>
    </w:p>
    <w:p>
      <w:pPr>
        <w:spacing w:after="0" w:line="154" w:lineRule="exact"/>
        <w:rPr>
          <w:sz w:val="20"/>
          <w:szCs w:val="20"/>
          <w:color w:val="auto"/>
        </w:rPr>
      </w:pPr>
    </w:p>
    <w:p>
      <w:pPr>
        <w:ind w:left="1200" w:right="739" w:firstLine="341"/>
        <w:spacing w:after="0" w:line="255" w:lineRule="auto"/>
        <w:rPr>
          <w:sz w:val="20"/>
          <w:szCs w:val="20"/>
          <w:color w:val="auto"/>
        </w:rPr>
      </w:pPr>
      <w:r>
        <w:rPr>
          <w:rFonts w:ascii="Arial" w:cs="Arial" w:eastAsia="Arial" w:hAnsi="Arial"/>
          <w:sz w:val="17"/>
          <w:szCs w:val="17"/>
          <w:color w:val="auto"/>
        </w:rPr>
        <w:t>We currently maintain a 401(k) retirement savings plan for our U.S.-based employees, including our named executive officers, who satisfy certain eligibility requirements. Our named executive officers are eligible to participate in the 401(k) plan on the same terms as other full-time employees. The Internal Revenue Code allows eligible employees to defer a portion of their compensation, within prescribed limits, on a pre-tax basis through contributions to the 401(k) plan. Currently, we match contributions made by participants in the 401(k) plan up to 4% of the employee’s annual compensation. Matching contributions made during 2021 vest over a four year period.</w:t>
      </w:r>
    </w:p>
    <w:p>
      <w:pPr>
        <w:spacing w:after="0" w:line="350"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37" w:name="page38"/>
    <w:bookmarkEnd w:id="37"/>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Employee Benefits and Perquisites</w:t>
      </w:r>
    </w:p>
    <w:p>
      <w:pPr>
        <w:spacing w:after="0" w:line="141" w:lineRule="exact"/>
        <w:rPr>
          <w:sz w:val="20"/>
          <w:szCs w:val="20"/>
          <w:color w:val="auto"/>
        </w:rPr>
      </w:pPr>
    </w:p>
    <w:p>
      <w:pPr>
        <w:ind w:left="1200" w:right="800" w:firstLine="341"/>
        <w:spacing w:after="0" w:line="277" w:lineRule="auto"/>
        <w:rPr>
          <w:sz w:val="20"/>
          <w:szCs w:val="20"/>
          <w:color w:val="auto"/>
        </w:rPr>
      </w:pPr>
      <w:r>
        <w:rPr>
          <w:rFonts w:ascii="Arial" w:cs="Arial" w:eastAsia="Arial" w:hAnsi="Arial"/>
          <w:sz w:val="16"/>
          <w:szCs w:val="16"/>
          <w:color w:val="auto"/>
        </w:rPr>
        <w:t>We offer the opportunity to participate in various health and welfare programs to our full-time employees, including our named executive officers, who participate on the same basis as other full-time employees. These programs include medical, dental and vision benefits; short-term and long-term disability insurance; and life insurance. We believe the perquisites described above are necessary and appropriate to provide a competitive compensation package to our named executive officers.</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OUTSTANDING EQUITY AWARDS AT 2021 FISCAL YEAR-END</w:t>
      </w:r>
    </w:p>
    <w:p>
      <w:pPr>
        <w:spacing w:after="0" w:line="150" w:lineRule="exact"/>
        <w:rPr>
          <w:sz w:val="20"/>
          <w:szCs w:val="20"/>
          <w:color w:val="auto"/>
        </w:rPr>
      </w:pPr>
    </w:p>
    <w:p>
      <w:pPr>
        <w:ind w:left="1200" w:right="780" w:firstLine="341"/>
        <w:spacing w:after="0" w:line="257" w:lineRule="auto"/>
        <w:rPr>
          <w:sz w:val="20"/>
          <w:szCs w:val="20"/>
          <w:color w:val="auto"/>
        </w:rPr>
      </w:pPr>
      <w:r>
        <w:rPr>
          <w:rFonts w:ascii="Arial" w:cs="Arial" w:eastAsia="Arial" w:hAnsi="Arial"/>
          <w:sz w:val="17"/>
          <w:szCs w:val="17"/>
          <w:color w:val="auto"/>
        </w:rPr>
        <w:t>The following table summarizes the number of company securities underlying outstanding equity incentive plan awards for each named executive officer as of December 31, 2021. Awards cover ordinary shares and/or ADSs; however, amounts shown below are expressed in terms of the number of ADSs that are covered by each such award. The exercise prices per share are expressed in U.S. dollars based on the exchange rate on the date of grant.</w:t>
      </w:r>
    </w:p>
    <w:p>
      <w:pPr>
        <w:spacing w:after="0" w:line="173"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Option Awards</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Stock Awards</w:t>
            </w:r>
          </w:p>
        </w:tc>
        <w:tc>
          <w:tcPr>
            <w:tcW w:w="840" w:type="dxa"/>
            <w:vAlign w:val="bottom"/>
            <w:tcBorders>
              <w:bottom w:val="single" w:sz="8" w:color="auto"/>
            </w:tcBorders>
          </w:tcPr>
          <w:p>
            <w:pPr>
              <w:spacing w:after="0"/>
              <w:rPr>
                <w:sz w:val="15"/>
                <w:szCs w:val="15"/>
                <w:color w:val="auto"/>
              </w:rPr>
            </w:pPr>
          </w:p>
        </w:tc>
      </w:tr>
      <w:tr>
        <w:trPr>
          <w:trHeight w:val="157"/>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Equity</w:t>
            </w:r>
          </w:p>
        </w:tc>
      </w:tr>
      <w:tr>
        <w:trPr>
          <w:trHeight w:val="153"/>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Incentive</w:t>
            </w:r>
          </w:p>
        </w:tc>
      </w:tr>
      <w:tr>
        <w:trPr>
          <w:trHeight w:val="153"/>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8"/>
              </w:rPr>
              <w:t>Equity</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Plan</w:t>
            </w:r>
          </w:p>
        </w:tc>
      </w:tr>
      <w:tr>
        <w:trPr>
          <w:trHeight w:val="153"/>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Equity</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5"/>
              </w:rPr>
              <w:t>Incentive</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6"/>
              </w:rPr>
              <w:t>Awards:</w:t>
            </w:r>
          </w:p>
        </w:tc>
      </w:tr>
      <w:tr>
        <w:trPr>
          <w:trHeight w:val="153"/>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5"/>
              </w:rPr>
              <w:t>Incentive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7"/>
              </w:rPr>
              <w:t>Plan</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Market or</w:t>
            </w:r>
          </w:p>
        </w:tc>
      </w:tr>
      <w:tr>
        <w:trPr>
          <w:trHeight w:val="153"/>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7"/>
              </w:rPr>
              <w:t>Plan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Payout</w:t>
            </w:r>
          </w:p>
        </w:tc>
      </w:tr>
      <w:tr>
        <w:trPr>
          <w:trHeight w:val="153"/>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6"/>
              </w:rPr>
              <w:t>Awards: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Market</w:t>
            </w:r>
          </w:p>
        </w:tc>
        <w:tc>
          <w:tcPr>
            <w:tcW w:w="9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8"/>
              </w:rPr>
              <w:t>Number of</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4"/>
              </w:rPr>
              <w:t>Value of</w:t>
            </w:r>
          </w:p>
        </w:tc>
      </w:tr>
      <w:tr>
        <w:trPr>
          <w:trHeight w:val="153"/>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Number of</w:t>
            </w:r>
          </w:p>
        </w:tc>
        <w:tc>
          <w:tcPr>
            <w:tcW w:w="80" w:type="dxa"/>
            <w:vAlign w:val="bottom"/>
          </w:tcPr>
          <w:p>
            <w:pPr>
              <w:spacing w:after="0"/>
              <w:rPr>
                <w:sz w:val="13"/>
                <w:szCs w:val="13"/>
                <w:color w:val="auto"/>
              </w:rPr>
            </w:pPr>
          </w:p>
        </w:tc>
        <w:tc>
          <w:tcPr>
            <w:tcW w:w="8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5"/>
              </w:rPr>
              <w:t>Number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Number of</w:t>
            </w:r>
          </w:p>
        </w:tc>
        <w:tc>
          <w:tcPr>
            <w:tcW w:w="7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4"/>
              </w:rPr>
              <w:t>Value of</w:t>
            </w:r>
          </w:p>
        </w:tc>
        <w:tc>
          <w:tcPr>
            <w:tcW w:w="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6"/>
              </w:rPr>
              <w:t>Unearned</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6"/>
              </w:rPr>
              <w:t>Unearned</w:t>
            </w:r>
          </w:p>
        </w:tc>
      </w:tr>
      <w:tr>
        <w:trPr>
          <w:trHeight w:val="153"/>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0"/>
              </w:rPr>
              <w:t>Securities</w:t>
            </w: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0"/>
              </w:rPr>
              <w:t>Securities</w:t>
            </w:r>
          </w:p>
        </w:tc>
        <w:tc>
          <w:tcPr>
            <w:tcW w:w="80" w:type="dxa"/>
            <w:vAlign w:val="bottom"/>
          </w:tcPr>
          <w:p>
            <w:pPr>
              <w:spacing w:after="0"/>
              <w:rPr>
                <w:sz w:val="13"/>
                <w:szCs w:val="13"/>
                <w:color w:val="auto"/>
              </w:rPr>
            </w:pPr>
          </w:p>
        </w:tc>
        <w:tc>
          <w:tcPr>
            <w:tcW w:w="8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0"/>
              </w:rPr>
              <w:t>Securities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3"/>
              </w:rPr>
              <w:t>Shares or</w:t>
            </w:r>
          </w:p>
        </w:tc>
        <w:tc>
          <w:tcPr>
            <w:tcW w:w="7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0"/>
              </w:rPr>
              <w:t>Shares or</w:t>
            </w:r>
          </w:p>
        </w:tc>
        <w:tc>
          <w:tcPr>
            <w:tcW w:w="9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2"/>
              </w:rPr>
              <w:t>Shares,</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78"/>
              </w:rPr>
              <w:t>Shares,</w:t>
            </w:r>
          </w:p>
        </w:tc>
      </w:tr>
      <w:tr>
        <w:trPr>
          <w:trHeight w:val="153"/>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7"/>
              </w:rPr>
              <w:t>Underlying</w:t>
            </w: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Underlying</w:t>
            </w:r>
          </w:p>
        </w:tc>
        <w:tc>
          <w:tcPr>
            <w:tcW w:w="80" w:type="dxa"/>
            <w:vAlign w:val="bottom"/>
          </w:tcPr>
          <w:p>
            <w:pPr>
              <w:spacing w:after="0"/>
              <w:rPr>
                <w:sz w:val="13"/>
                <w:szCs w:val="13"/>
                <w:color w:val="auto"/>
              </w:rPr>
            </w:pPr>
          </w:p>
        </w:tc>
        <w:tc>
          <w:tcPr>
            <w:tcW w:w="8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7"/>
              </w:rPr>
              <w:t>Underlying</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4"/>
              </w:rPr>
              <w:t>Units of</w:t>
            </w:r>
          </w:p>
        </w:tc>
        <w:tc>
          <w:tcPr>
            <w:tcW w:w="7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4"/>
              </w:rPr>
              <w:t>Units of</w:t>
            </w:r>
          </w:p>
        </w:tc>
        <w:tc>
          <w:tcPr>
            <w:tcW w:w="9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6"/>
              </w:rPr>
              <w:t>Units or</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3"/>
              </w:rPr>
              <w:t>Units or</w:t>
            </w:r>
          </w:p>
        </w:tc>
      </w:tr>
      <w:tr>
        <w:trPr>
          <w:trHeight w:val="153"/>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ind w:right="60"/>
              <w:spacing w:after="0" w:line="153" w:lineRule="exact"/>
              <w:rPr>
                <w:sz w:val="20"/>
                <w:szCs w:val="20"/>
                <w:color w:val="auto"/>
              </w:rPr>
            </w:pPr>
            <w:r>
              <w:rPr>
                <w:rFonts w:ascii="Arial" w:cs="Arial" w:eastAsia="Arial" w:hAnsi="Arial"/>
                <w:sz w:val="14"/>
                <w:szCs w:val="14"/>
                <w:b w:val="1"/>
                <w:bCs w:val="1"/>
                <w:color w:val="auto"/>
                <w:w w:val="81"/>
              </w:rPr>
              <w:t>Unexercised</w:t>
            </w: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1"/>
              </w:rPr>
              <w:t>Unexercised</w:t>
            </w:r>
          </w:p>
        </w:tc>
        <w:tc>
          <w:tcPr>
            <w:tcW w:w="880" w:type="dxa"/>
            <w:vAlign w:val="bottom"/>
            <w:gridSpan w:val="3"/>
          </w:tcPr>
          <w:p>
            <w:pPr>
              <w:jc w:val="center"/>
              <w:ind w:right="40"/>
              <w:spacing w:after="0" w:line="153" w:lineRule="exact"/>
              <w:rPr>
                <w:sz w:val="20"/>
                <w:szCs w:val="20"/>
                <w:color w:val="auto"/>
              </w:rPr>
            </w:pPr>
            <w:r>
              <w:rPr>
                <w:rFonts w:ascii="Arial" w:cs="Arial" w:eastAsia="Arial" w:hAnsi="Arial"/>
                <w:sz w:val="14"/>
                <w:szCs w:val="14"/>
                <w:b w:val="1"/>
                <w:bCs w:val="1"/>
                <w:color w:val="auto"/>
                <w:w w:val="81"/>
              </w:rPr>
              <w:t>Unexercised</w:t>
            </w:r>
          </w:p>
        </w:tc>
        <w:tc>
          <w:tcPr>
            <w:tcW w:w="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Option</w:t>
            </w:r>
          </w:p>
        </w:tc>
        <w:tc>
          <w:tcPr>
            <w:tcW w:w="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8"/>
              </w:rPr>
              <w:t>Option</w:t>
            </w:r>
          </w:p>
        </w:tc>
        <w:tc>
          <w:tcPr>
            <w:tcW w:w="7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6"/>
              </w:rPr>
              <w:t>Stock That</w:t>
            </w:r>
          </w:p>
        </w:tc>
        <w:tc>
          <w:tcPr>
            <w:tcW w:w="7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6"/>
              </w:rPr>
              <w:t>Stock That</w:t>
            </w:r>
          </w:p>
        </w:tc>
        <w:tc>
          <w:tcPr>
            <w:tcW w:w="9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7"/>
              </w:rPr>
              <w:t>Other Rights</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4"/>
              </w:rPr>
              <w:t>Other Rights</w:t>
            </w:r>
          </w:p>
        </w:tc>
      </w:tr>
      <w:tr>
        <w:trPr>
          <w:trHeight w:val="153"/>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rPr>
              <w:t>Grant</w:t>
            </w:r>
          </w:p>
        </w:tc>
        <w:tc>
          <w:tcPr>
            <w:tcW w:w="40" w:type="dxa"/>
            <w:vAlign w:val="bottom"/>
          </w:tcPr>
          <w:p>
            <w:pPr>
              <w:spacing w:after="0"/>
              <w:rPr>
                <w:sz w:val="13"/>
                <w:szCs w:val="13"/>
                <w:color w:val="auto"/>
              </w:rPr>
            </w:pPr>
          </w:p>
        </w:tc>
        <w:tc>
          <w:tcPr>
            <w:tcW w:w="7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3"/>
              </w:rPr>
              <w:t>Options (#)</w:t>
            </w: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6"/>
              </w:rPr>
              <w:t>Options (#)</w:t>
            </w:r>
          </w:p>
        </w:tc>
        <w:tc>
          <w:tcPr>
            <w:tcW w:w="80" w:type="dxa"/>
            <w:vAlign w:val="bottom"/>
          </w:tcPr>
          <w:p>
            <w:pPr>
              <w:spacing w:after="0"/>
              <w:rPr>
                <w:sz w:val="13"/>
                <w:szCs w:val="13"/>
                <w:color w:val="auto"/>
              </w:rPr>
            </w:pPr>
          </w:p>
        </w:tc>
        <w:tc>
          <w:tcPr>
            <w:tcW w:w="8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6"/>
              </w:rPr>
              <w:t>Unearned</w:t>
            </w:r>
          </w:p>
        </w:tc>
        <w:tc>
          <w:tcPr>
            <w:tcW w:w="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79"/>
              </w:rPr>
              <w:t>Exercise</w:t>
            </w:r>
          </w:p>
        </w:tc>
        <w:tc>
          <w:tcPr>
            <w:tcW w:w="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7"/>
              </w:rPr>
              <w:t>Expiration</w:t>
            </w:r>
          </w:p>
        </w:tc>
        <w:tc>
          <w:tcPr>
            <w:tcW w:w="7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Have Not</w:t>
            </w:r>
          </w:p>
        </w:tc>
        <w:tc>
          <w:tcPr>
            <w:tcW w:w="7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5"/>
              </w:rPr>
              <w:t>Have Not</w:t>
            </w:r>
          </w:p>
        </w:tc>
        <w:tc>
          <w:tcPr>
            <w:tcW w:w="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That Have</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That Have</w:t>
            </w:r>
          </w:p>
        </w:tc>
      </w:tr>
      <w:tr>
        <w:trPr>
          <w:trHeight w:val="181"/>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Date</w:t>
            </w: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Unexercisable</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Price ($)</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Vested (#)</w:t>
            </w:r>
          </w:p>
        </w:tc>
        <w:tc>
          <w:tcPr>
            <w:tcW w:w="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Vested ($)</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Not Vested (#)</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Not Vested ($)</w:t>
            </w:r>
          </w:p>
        </w:tc>
      </w:tr>
      <w:tr>
        <w:trPr>
          <w:trHeight w:val="190"/>
        </w:trPr>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David Zaccardelli</w:t>
            </w:r>
          </w:p>
        </w:tc>
        <w:tc>
          <w:tcPr>
            <w:tcW w:w="720" w:type="dxa"/>
            <w:vAlign w:val="bottom"/>
            <w:gridSpan w:val="2"/>
            <w:shd w:val="clear" w:color="auto" w:fill="CCEEFF"/>
          </w:tcPr>
          <w:p>
            <w:pPr>
              <w:jc w:val="right"/>
              <w:ind w:right="40"/>
              <w:spacing w:after="0" w:line="190" w:lineRule="exact"/>
              <w:rPr>
                <w:sz w:val="20"/>
                <w:szCs w:val="20"/>
                <w:color w:val="auto"/>
              </w:rPr>
            </w:pPr>
            <w:r>
              <w:rPr>
                <w:rFonts w:ascii="Arial" w:cs="Arial" w:eastAsia="Arial" w:hAnsi="Arial"/>
                <w:sz w:val="14"/>
                <w:szCs w:val="14"/>
                <w:color w:val="auto"/>
                <w:w w:val="96"/>
              </w:rPr>
              <w:t>5/7/2020</w:t>
            </w:r>
            <w:r>
              <w:rPr>
                <w:rFonts w:ascii="Arial" w:cs="Arial" w:eastAsia="Arial" w:hAnsi="Arial"/>
                <w:sz w:val="17"/>
                <w:szCs w:val="17"/>
                <w:color w:val="auto"/>
                <w:w w:val="96"/>
                <w:vertAlign w:val="superscript"/>
              </w:rPr>
              <w:t>(1)</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296,230</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1,990,666</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r>
      <w:tr>
        <w:trPr>
          <w:trHeight w:val="192"/>
        </w:trPr>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40"/>
              <w:spacing w:after="0" w:line="192" w:lineRule="exact"/>
              <w:rPr>
                <w:sz w:val="20"/>
                <w:szCs w:val="20"/>
                <w:color w:val="auto"/>
              </w:rPr>
            </w:pPr>
            <w:r>
              <w:rPr>
                <w:rFonts w:ascii="Arial" w:cs="Arial" w:eastAsia="Arial" w:hAnsi="Arial"/>
                <w:sz w:val="14"/>
                <w:szCs w:val="14"/>
                <w:color w:val="auto"/>
                <w:w w:val="86"/>
              </w:rPr>
              <w:t>8/20/2020</w:t>
            </w:r>
            <w:r>
              <w:rPr>
                <w:rFonts w:ascii="Arial" w:cs="Arial" w:eastAsia="Arial" w:hAnsi="Arial"/>
                <w:sz w:val="17"/>
                <w:szCs w:val="17"/>
                <w:color w:val="auto"/>
                <w:w w:val="86"/>
                <w:vertAlign w:val="superscript"/>
              </w:rPr>
              <w:t>(1)</w:t>
            </w:r>
          </w:p>
        </w:tc>
        <w:tc>
          <w:tcPr>
            <w:tcW w:w="4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3"/>
              </w:rPr>
              <w:t>1,004,177</w:t>
            </w: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3"/>
              </w:rPr>
              <w:t>6,748,069</w:t>
            </w:r>
          </w:p>
        </w:tc>
        <w:tc>
          <w:tcPr>
            <w:tcW w:w="80" w:type="dxa"/>
            <w:vAlign w:val="bottom"/>
          </w:tcPr>
          <w:p>
            <w:pPr>
              <w:spacing w:after="0"/>
              <w:rPr>
                <w:sz w:val="16"/>
                <w:szCs w:val="16"/>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2"/>
              <w:spacing w:after="0"/>
              <w:rPr>
                <w:sz w:val="20"/>
                <w:szCs w:val="20"/>
                <w:color w:val="auto"/>
              </w:rPr>
            </w:pPr>
            <w:r>
              <w:rPr>
                <w:rFonts w:ascii="Arial" w:cs="Arial" w:eastAsia="Arial" w:hAnsi="Arial"/>
                <w:sz w:val="14"/>
                <w:szCs w:val="14"/>
                <w:color w:val="auto"/>
              </w:rPr>
              <w:t>—</w:t>
            </w:r>
          </w:p>
        </w:tc>
      </w:tr>
      <w:tr>
        <w:trPr>
          <w:trHeight w:val="192"/>
        </w:trPr>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line="192" w:lineRule="exact"/>
              <w:rPr>
                <w:sz w:val="20"/>
                <w:szCs w:val="20"/>
                <w:color w:val="auto"/>
              </w:rPr>
            </w:pPr>
            <w:r>
              <w:rPr>
                <w:rFonts w:ascii="Arial" w:cs="Arial" w:eastAsia="Arial" w:hAnsi="Arial"/>
                <w:sz w:val="14"/>
                <w:szCs w:val="14"/>
                <w:color w:val="auto"/>
                <w:w w:val="86"/>
              </w:rPr>
              <w:t>1/28/2021</w:t>
            </w:r>
            <w:r>
              <w:rPr>
                <w:rFonts w:ascii="Arial" w:cs="Arial" w:eastAsia="Arial" w:hAnsi="Arial"/>
                <w:sz w:val="17"/>
                <w:szCs w:val="17"/>
                <w:color w:val="auto"/>
                <w:w w:val="86"/>
                <w:vertAlign w:val="superscript"/>
              </w:rPr>
              <w:t>(2)</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16,534</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111,108</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r>
      <w:tr>
        <w:trPr>
          <w:trHeight w:val="192"/>
        </w:trPr>
        <w:tc>
          <w:tcPr>
            <w:tcW w:w="1440" w:type="dxa"/>
            <w:vAlign w:val="bottom"/>
            <w:gridSpan w:val="2"/>
          </w:tcPr>
          <w:p>
            <w:pPr>
              <w:spacing w:after="0"/>
              <w:rPr>
                <w:sz w:val="20"/>
                <w:szCs w:val="20"/>
                <w:color w:val="auto"/>
              </w:rPr>
            </w:pPr>
            <w:r>
              <w:rPr>
                <w:rFonts w:ascii="Arial" w:cs="Arial" w:eastAsia="Arial" w:hAnsi="Arial"/>
                <w:sz w:val="14"/>
                <w:szCs w:val="14"/>
                <w:color w:val="auto"/>
              </w:rPr>
              <w:t>Mark Hahn</w:t>
            </w:r>
          </w:p>
        </w:tc>
        <w:tc>
          <w:tcPr>
            <w:tcW w:w="720" w:type="dxa"/>
            <w:vAlign w:val="bottom"/>
            <w:gridSpan w:val="2"/>
          </w:tcPr>
          <w:p>
            <w:pPr>
              <w:jc w:val="right"/>
              <w:ind w:right="40"/>
              <w:spacing w:after="0" w:line="192" w:lineRule="exact"/>
              <w:rPr>
                <w:sz w:val="20"/>
                <w:szCs w:val="20"/>
                <w:color w:val="auto"/>
              </w:rPr>
            </w:pPr>
            <w:r>
              <w:rPr>
                <w:rFonts w:ascii="Arial" w:cs="Arial" w:eastAsia="Arial" w:hAnsi="Arial"/>
                <w:sz w:val="14"/>
                <w:szCs w:val="14"/>
                <w:color w:val="auto"/>
                <w:w w:val="96"/>
              </w:rPr>
              <w:t>5/7/2020</w:t>
            </w:r>
            <w:r>
              <w:rPr>
                <w:rFonts w:ascii="Arial" w:cs="Arial" w:eastAsia="Arial" w:hAnsi="Arial"/>
                <w:sz w:val="17"/>
                <w:szCs w:val="17"/>
                <w:color w:val="auto"/>
                <w:w w:val="96"/>
                <w:vertAlign w:val="superscript"/>
              </w:rPr>
              <w:t>(1)</w:t>
            </w:r>
          </w:p>
        </w:tc>
        <w:tc>
          <w:tcPr>
            <w:tcW w:w="4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222,173</w:t>
            </w: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3"/>
              </w:rPr>
              <w:t>1,493,003</w:t>
            </w:r>
          </w:p>
        </w:tc>
        <w:tc>
          <w:tcPr>
            <w:tcW w:w="80" w:type="dxa"/>
            <w:vAlign w:val="bottom"/>
          </w:tcPr>
          <w:p>
            <w:pPr>
              <w:spacing w:after="0"/>
              <w:rPr>
                <w:sz w:val="16"/>
                <w:szCs w:val="16"/>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2"/>
              <w:spacing w:after="0"/>
              <w:rPr>
                <w:sz w:val="20"/>
                <w:szCs w:val="20"/>
                <w:color w:val="auto"/>
              </w:rPr>
            </w:pPr>
            <w:r>
              <w:rPr>
                <w:rFonts w:ascii="Arial" w:cs="Arial" w:eastAsia="Arial" w:hAnsi="Arial"/>
                <w:sz w:val="14"/>
                <w:szCs w:val="14"/>
                <w:color w:val="auto"/>
              </w:rPr>
              <w:t>—</w:t>
            </w:r>
          </w:p>
        </w:tc>
      </w:tr>
      <w:tr>
        <w:trPr>
          <w:trHeight w:val="192"/>
        </w:trPr>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line="192" w:lineRule="exact"/>
              <w:rPr>
                <w:sz w:val="20"/>
                <w:szCs w:val="20"/>
                <w:color w:val="auto"/>
              </w:rPr>
            </w:pPr>
            <w:r>
              <w:rPr>
                <w:rFonts w:ascii="Arial" w:cs="Arial" w:eastAsia="Arial" w:hAnsi="Arial"/>
                <w:sz w:val="14"/>
                <w:szCs w:val="14"/>
                <w:color w:val="auto"/>
                <w:w w:val="86"/>
              </w:rPr>
              <w:t>8/20/2020</w:t>
            </w:r>
            <w:r>
              <w:rPr>
                <w:rFonts w:ascii="Arial" w:cs="Arial" w:eastAsia="Arial" w:hAnsi="Arial"/>
                <w:sz w:val="17"/>
                <w:szCs w:val="17"/>
                <w:color w:val="auto"/>
                <w:w w:val="86"/>
                <w:vertAlign w:val="superscript"/>
              </w:rPr>
              <w:t>(1)</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1,078,234</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7,245,732</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r>
      <w:tr>
        <w:trPr>
          <w:trHeight w:val="192"/>
        </w:trPr>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40"/>
              <w:spacing w:after="0" w:line="192" w:lineRule="exact"/>
              <w:rPr>
                <w:sz w:val="20"/>
                <w:szCs w:val="20"/>
                <w:color w:val="auto"/>
              </w:rPr>
            </w:pPr>
            <w:r>
              <w:rPr>
                <w:rFonts w:ascii="Arial" w:cs="Arial" w:eastAsia="Arial" w:hAnsi="Arial"/>
                <w:sz w:val="14"/>
                <w:szCs w:val="14"/>
                <w:color w:val="auto"/>
                <w:w w:val="86"/>
              </w:rPr>
              <w:t>1/28/2021</w:t>
            </w:r>
            <w:r>
              <w:rPr>
                <w:rFonts w:ascii="Arial" w:cs="Arial" w:eastAsia="Arial" w:hAnsi="Arial"/>
                <w:sz w:val="17"/>
                <w:szCs w:val="17"/>
                <w:color w:val="auto"/>
                <w:w w:val="86"/>
                <w:vertAlign w:val="superscript"/>
              </w:rPr>
              <w:t>(2)</w:t>
            </w:r>
          </w:p>
        </w:tc>
        <w:tc>
          <w:tcPr>
            <w:tcW w:w="4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3,307</w:t>
            </w: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22,223</w:t>
            </w:r>
          </w:p>
        </w:tc>
        <w:tc>
          <w:tcPr>
            <w:tcW w:w="80" w:type="dxa"/>
            <w:vAlign w:val="bottom"/>
          </w:tcPr>
          <w:p>
            <w:pPr>
              <w:spacing w:after="0"/>
              <w:rPr>
                <w:sz w:val="16"/>
                <w:szCs w:val="16"/>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2"/>
              <w:spacing w:after="0"/>
              <w:rPr>
                <w:sz w:val="20"/>
                <w:szCs w:val="20"/>
                <w:color w:val="auto"/>
              </w:rPr>
            </w:pPr>
            <w:r>
              <w:rPr>
                <w:rFonts w:ascii="Arial" w:cs="Arial" w:eastAsia="Arial" w:hAnsi="Arial"/>
                <w:sz w:val="14"/>
                <w:szCs w:val="14"/>
                <w:color w:val="auto"/>
              </w:rPr>
              <w:t>—</w:t>
            </w:r>
          </w:p>
        </w:tc>
      </w:tr>
      <w:tr>
        <w:trPr>
          <w:trHeight w:val="192"/>
        </w:trPr>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Kathleen Rickard</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4/1/2019</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4"/>
                <w:szCs w:val="14"/>
                <w:color w:val="auto"/>
              </w:rPr>
              <w:t>40,833</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2"/>
              <w:spacing w:after="0" w:line="192" w:lineRule="exact"/>
              <w:rPr>
                <w:sz w:val="20"/>
                <w:szCs w:val="20"/>
                <w:color w:val="auto"/>
              </w:rPr>
            </w:pPr>
            <w:r>
              <w:rPr>
                <w:rFonts w:ascii="Arial" w:cs="Arial" w:eastAsia="Arial" w:hAnsi="Arial"/>
                <w:sz w:val="14"/>
                <w:szCs w:val="14"/>
                <w:color w:val="auto"/>
              </w:rPr>
              <w:t>29,167</w:t>
            </w:r>
            <w:r>
              <w:rPr>
                <w:rFonts w:ascii="Arial" w:cs="Arial" w:eastAsia="Arial" w:hAnsi="Arial"/>
                <w:sz w:val="17"/>
                <w:szCs w:val="17"/>
                <w:color w:val="auto"/>
                <w:vertAlign w:val="superscript"/>
              </w:rPr>
              <w:t>(3)</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5.99</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3/29/2029</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72"/>
              <w:spacing w:after="0" w:line="192" w:lineRule="exact"/>
              <w:rPr>
                <w:sz w:val="20"/>
                <w:szCs w:val="20"/>
                <w:color w:val="auto"/>
              </w:rPr>
            </w:pPr>
            <w:r>
              <w:rPr>
                <w:rFonts w:ascii="Arial" w:cs="Arial" w:eastAsia="Arial" w:hAnsi="Arial"/>
                <w:sz w:val="14"/>
                <w:szCs w:val="14"/>
                <w:color w:val="auto"/>
              </w:rPr>
              <w:t>15,000</w:t>
            </w:r>
            <w:r>
              <w:rPr>
                <w:rFonts w:ascii="Arial" w:cs="Arial" w:eastAsia="Arial" w:hAnsi="Arial"/>
                <w:sz w:val="17"/>
                <w:szCs w:val="17"/>
                <w:color w:val="auto"/>
                <w:vertAlign w:val="superscript"/>
              </w:rPr>
              <w:t>(4)</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100,800</w:t>
            </w:r>
          </w:p>
        </w:tc>
      </w:tr>
      <w:tr>
        <w:trPr>
          <w:trHeight w:val="192"/>
        </w:trPr>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40"/>
              <w:spacing w:after="0" w:line="192" w:lineRule="exact"/>
              <w:rPr>
                <w:sz w:val="20"/>
                <w:szCs w:val="20"/>
                <w:color w:val="auto"/>
              </w:rPr>
            </w:pPr>
            <w:r>
              <w:rPr>
                <w:rFonts w:ascii="Arial" w:cs="Arial" w:eastAsia="Arial" w:hAnsi="Arial"/>
                <w:sz w:val="14"/>
                <w:szCs w:val="14"/>
                <w:color w:val="auto"/>
                <w:w w:val="96"/>
              </w:rPr>
              <w:t>3/3/2020</w:t>
            </w:r>
            <w:r>
              <w:rPr>
                <w:rFonts w:ascii="Arial" w:cs="Arial" w:eastAsia="Arial" w:hAnsi="Arial"/>
                <w:sz w:val="17"/>
                <w:szCs w:val="17"/>
                <w:color w:val="auto"/>
                <w:w w:val="96"/>
                <w:vertAlign w:val="superscript"/>
              </w:rPr>
              <w:t>(5)</w:t>
            </w:r>
          </w:p>
        </w:tc>
        <w:tc>
          <w:tcPr>
            <w:tcW w:w="740" w:type="dxa"/>
            <w:vAlign w:val="bottom"/>
            <w:gridSpan w:val="2"/>
          </w:tcPr>
          <w:p>
            <w:pPr>
              <w:jc w:val="right"/>
              <w:ind w:right="92"/>
              <w:spacing w:after="0"/>
              <w:rPr>
                <w:sz w:val="20"/>
                <w:szCs w:val="20"/>
                <w:color w:val="auto"/>
              </w:rPr>
            </w:pPr>
            <w:r>
              <w:rPr>
                <w:rFonts w:ascii="Arial" w:cs="Arial" w:eastAsia="Arial" w:hAnsi="Arial"/>
                <w:sz w:val="14"/>
                <w:szCs w:val="14"/>
                <w:color w:val="auto"/>
              </w:rPr>
              <w:t>5,469</w:t>
            </w:r>
          </w:p>
        </w:tc>
        <w:tc>
          <w:tcPr>
            <w:tcW w:w="80" w:type="dxa"/>
            <w:vAlign w:val="bottom"/>
          </w:tcPr>
          <w:p>
            <w:pPr>
              <w:spacing w:after="0"/>
              <w:rPr>
                <w:sz w:val="16"/>
                <w:szCs w:val="16"/>
                <w:color w:val="auto"/>
              </w:rPr>
            </w:pPr>
          </w:p>
        </w:tc>
        <w:tc>
          <w:tcPr>
            <w:tcW w:w="820" w:type="dxa"/>
            <w:vAlign w:val="bottom"/>
          </w:tcPr>
          <w:p>
            <w:pPr>
              <w:jc w:val="right"/>
              <w:ind w:right="152"/>
              <w:spacing w:after="0"/>
              <w:rPr>
                <w:sz w:val="20"/>
                <w:szCs w:val="20"/>
                <w:color w:val="auto"/>
              </w:rPr>
            </w:pPr>
            <w:r>
              <w:rPr>
                <w:rFonts w:ascii="Arial" w:cs="Arial" w:eastAsia="Arial" w:hAnsi="Arial"/>
                <w:sz w:val="14"/>
                <w:szCs w:val="14"/>
                <w:color w:val="auto"/>
              </w:rPr>
              <w:t>7,031</w:t>
            </w:r>
          </w:p>
        </w:tc>
        <w:tc>
          <w:tcPr>
            <w:tcW w:w="80" w:type="dxa"/>
            <w:vAlign w:val="bottom"/>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500" w:type="dxa"/>
            <w:vAlign w:val="bottom"/>
          </w:tcPr>
          <w:p>
            <w:pPr>
              <w:jc w:val="right"/>
              <w:ind w:right="72"/>
              <w:spacing w:after="0"/>
              <w:rPr>
                <w:sz w:val="20"/>
                <w:szCs w:val="20"/>
                <w:color w:val="auto"/>
              </w:rPr>
            </w:pPr>
            <w:r>
              <w:rPr>
                <w:rFonts w:ascii="Arial" w:cs="Arial" w:eastAsia="Arial" w:hAnsi="Arial"/>
                <w:sz w:val="14"/>
                <w:szCs w:val="14"/>
                <w:color w:val="auto"/>
              </w:rPr>
              <w:t>5.64</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3/3/2030</w:t>
            </w: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2"/>
              <w:spacing w:after="0"/>
              <w:rPr>
                <w:sz w:val="20"/>
                <w:szCs w:val="20"/>
                <w:color w:val="auto"/>
              </w:rPr>
            </w:pPr>
            <w:r>
              <w:rPr>
                <w:rFonts w:ascii="Arial" w:cs="Arial" w:eastAsia="Arial" w:hAnsi="Arial"/>
                <w:sz w:val="14"/>
                <w:szCs w:val="14"/>
                <w:color w:val="auto"/>
              </w:rPr>
              <w:t>—</w:t>
            </w:r>
          </w:p>
        </w:tc>
      </w:tr>
      <w:tr>
        <w:trPr>
          <w:trHeight w:val="192"/>
        </w:trPr>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line="192" w:lineRule="exact"/>
              <w:rPr>
                <w:sz w:val="20"/>
                <w:szCs w:val="20"/>
                <w:color w:val="auto"/>
              </w:rPr>
            </w:pPr>
            <w:r>
              <w:rPr>
                <w:rFonts w:ascii="Arial" w:cs="Arial" w:eastAsia="Arial" w:hAnsi="Arial"/>
                <w:sz w:val="14"/>
                <w:szCs w:val="14"/>
                <w:color w:val="auto"/>
                <w:w w:val="86"/>
              </w:rPr>
              <w:t>8/20/2020</w:t>
            </w:r>
            <w:r>
              <w:rPr>
                <w:rFonts w:ascii="Arial" w:cs="Arial" w:eastAsia="Arial" w:hAnsi="Arial"/>
                <w:sz w:val="17"/>
                <w:szCs w:val="17"/>
                <w:color w:val="auto"/>
                <w:w w:val="86"/>
                <w:vertAlign w:val="superscript"/>
              </w:rPr>
              <w:t>(6)</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263,583</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1,771,278</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5579745</wp:posOffset>
            </wp:positionH>
            <wp:positionV relativeFrom="paragraph">
              <wp:posOffset>-1104265</wp:posOffset>
            </wp:positionV>
            <wp:extent cx="488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8895" cy="8255"/>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-1104265</wp:posOffset>
            </wp:positionV>
            <wp:extent cx="488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895" cy="8255"/>
                    </a:xfrm>
                    <a:prstGeom prst="rect">
                      <a:avLst/>
                    </a:prstGeom>
                    <a:noFill/>
                  </pic:spPr>
                </pic:pic>
              </a:graphicData>
            </a:graphic>
          </wp:anchor>
        </w:drawing>
        <w:drawing>
          <wp:anchor simplePos="0" relativeHeight="251657728" behindDoc="1" locked="0" layoutInCell="0" allowOverlap="1">
            <wp:simplePos x="0" y="0"/>
            <wp:positionH relativeFrom="column">
              <wp:posOffset>4515485</wp:posOffset>
            </wp:positionH>
            <wp:positionV relativeFrom="paragraph">
              <wp:posOffset>-1104265</wp:posOffset>
            </wp:positionV>
            <wp:extent cx="488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8895" cy="8255"/>
                    </a:xfrm>
                    <a:prstGeom prst="rect">
                      <a:avLst/>
                    </a:prstGeom>
                    <a:noFill/>
                  </pic:spPr>
                </pic:pic>
              </a:graphicData>
            </a:graphic>
          </wp:anchor>
        </w:drawing>
        <w:drawing>
          <wp:anchor simplePos="0" relativeHeight="251657728" behindDoc="1" locked="0" layoutInCell="0" allowOverlap="1">
            <wp:simplePos x="0" y="0"/>
            <wp:positionH relativeFrom="column">
              <wp:posOffset>4052570</wp:posOffset>
            </wp:positionH>
            <wp:positionV relativeFrom="paragraph">
              <wp:posOffset>-1104265</wp:posOffset>
            </wp:positionV>
            <wp:extent cx="488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8895" cy="8255"/>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-1104265</wp:posOffset>
            </wp:positionV>
            <wp:extent cx="488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8895"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-1104265</wp:posOffset>
            </wp:positionV>
            <wp:extent cx="488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8895" cy="825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-1104265</wp:posOffset>
            </wp:positionV>
            <wp:extent cx="488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8895" cy="8255"/>
                    </a:xfrm>
                    <a:prstGeom prst="rect">
                      <a:avLst/>
                    </a:prstGeom>
                    <a:noFill/>
                  </pic:spPr>
                </pic:pic>
              </a:graphicData>
            </a:graphic>
          </wp:anchor>
        </w:drawing>
        <w:drawing>
          <wp:anchor simplePos="0" relativeHeight="251657728" behindDoc="1" locked="0" layoutInCell="0" allowOverlap="1">
            <wp:simplePos x="0" y="0"/>
            <wp:positionH relativeFrom="column">
              <wp:posOffset>2152015</wp:posOffset>
            </wp:positionH>
            <wp:positionV relativeFrom="paragraph">
              <wp:posOffset>-1104265</wp:posOffset>
            </wp:positionV>
            <wp:extent cx="488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895" cy="8255"/>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-1104265</wp:posOffset>
            </wp:positionV>
            <wp:extent cx="1136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3665" cy="8255"/>
                    </a:xfrm>
                    <a:prstGeom prst="rect">
                      <a:avLst/>
                    </a:prstGeom>
                    <a:noFill/>
                  </pic:spPr>
                </pic:pic>
              </a:graphicData>
            </a:graphic>
          </wp:anchor>
        </w:drawing>
        <w:drawing>
          <wp:anchor simplePos="0" relativeHeight="251657728" behindDoc="1" locked="0" layoutInCell="0" allowOverlap="1">
            <wp:simplePos x="0" y="0"/>
            <wp:positionH relativeFrom="column">
              <wp:posOffset>1120775</wp:posOffset>
            </wp:positionH>
            <wp:positionV relativeFrom="paragraph">
              <wp:posOffset>-1104265</wp:posOffset>
            </wp:positionV>
            <wp:extent cx="971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7155"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130175</wp:posOffset>
            </wp:positionV>
            <wp:extent cx="11696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326" w:lineRule="exact"/>
        <w:rPr>
          <w:sz w:val="20"/>
          <w:szCs w:val="20"/>
          <w:color w:val="auto"/>
        </w:rPr>
      </w:pPr>
    </w:p>
    <w:p>
      <w:pPr>
        <w:ind w:left="1540" w:right="960" w:hanging="344"/>
        <w:spacing w:after="0" w:line="257" w:lineRule="auto"/>
        <w:tabs>
          <w:tab w:leader="none" w:pos="1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outstanding restricted stock units cover ADSs and vest in nine equal quarterly installments from February 1, 2022, provided that the restricted stock units will immediately vest prior to a change in control, subject, in each case, to the holder’s continued employment with us through the applicable vesting date and potential accelerated vesting as described in the section below titled “— Executive Compensation Arrangements.”</w:t>
      </w:r>
    </w:p>
    <w:p>
      <w:pPr>
        <w:spacing w:after="0" w:line="53" w:lineRule="exact"/>
        <w:rPr>
          <w:rFonts w:ascii="Arial" w:cs="Arial" w:eastAsia="Arial" w:hAnsi="Arial"/>
          <w:sz w:val="17"/>
          <w:szCs w:val="17"/>
          <w:color w:val="auto"/>
        </w:rPr>
      </w:pPr>
    </w:p>
    <w:p>
      <w:pPr>
        <w:ind w:left="1540" w:hanging="344"/>
        <w:spacing w:after="0"/>
        <w:tabs>
          <w:tab w:leader="none" w:pos="1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outstanding restricted stock units cover ADSs and vested on February 1, 2022.</w:t>
      </w:r>
    </w:p>
    <w:p>
      <w:pPr>
        <w:spacing w:after="0" w:line="85" w:lineRule="exact"/>
        <w:rPr>
          <w:rFonts w:ascii="Arial" w:cs="Arial" w:eastAsia="Arial" w:hAnsi="Arial"/>
          <w:sz w:val="17"/>
          <w:szCs w:val="17"/>
          <w:color w:val="auto"/>
        </w:rPr>
      </w:pPr>
    </w:p>
    <w:p>
      <w:pPr>
        <w:ind w:left="1540" w:right="780" w:hanging="344"/>
        <w:spacing w:after="0" w:line="258" w:lineRule="auto"/>
        <w:tabs>
          <w:tab w:leader="none" w:pos="1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option covers ADSs and the unvested portion of option is scheduled to vest (x) as to 20,417 ADSs, on March 31, 2022 and (y) as to 8,750 ADSs, on March 31, 2023, subject, in each case, to</w:t>
      </w:r>
    </w:p>
    <w:p>
      <w:pPr>
        <w:ind w:left="1540"/>
        <w:spacing w:after="0"/>
        <w:rPr>
          <w:rFonts w:ascii="Arial" w:cs="Arial" w:eastAsia="Arial" w:hAnsi="Arial"/>
          <w:sz w:val="17"/>
          <w:szCs w:val="17"/>
          <w:color w:val="auto"/>
        </w:rPr>
      </w:pPr>
      <w:r>
        <w:rPr>
          <w:rFonts w:ascii="Arial" w:cs="Arial" w:eastAsia="Arial" w:hAnsi="Arial"/>
          <w:sz w:val="17"/>
          <w:szCs w:val="17"/>
          <w:color w:val="auto"/>
        </w:rPr>
        <w:t>Dr. Rickard’s continued employment with us through the applicable vesting date.</w:t>
      </w:r>
    </w:p>
    <w:p>
      <w:pPr>
        <w:spacing w:after="0" w:line="74" w:lineRule="exact"/>
        <w:rPr>
          <w:rFonts w:ascii="Arial" w:cs="Arial" w:eastAsia="Arial" w:hAnsi="Arial"/>
          <w:sz w:val="17"/>
          <w:szCs w:val="17"/>
          <w:color w:val="auto"/>
        </w:rPr>
      </w:pPr>
    </w:p>
    <w:p>
      <w:pPr>
        <w:ind w:left="1540" w:right="740" w:hanging="344"/>
        <w:spacing w:after="0" w:line="272" w:lineRule="auto"/>
        <w:tabs>
          <w:tab w:leader="none" w:pos="1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restricted stock units cover ADSs and were scheduled to vest (w) as to 4,375 ADSs, on May 10, 2020, (x) as to 4,375 ADSs, on May 10, 2021, (y) as to 4,375 ADSs, on May 10, 2022, and (z) as to 1,875 ADSs, on May 10, 2023, provided that the restricted stock units will not vest until either (1) the first business day after the first period of 30 consecutive days after the applicable vesting date during which the trailing average closing price of an ordinary share of the Company equals or exceeds two pounds sterling (the “Market Condition”) or (2) the occurrence of a change in control, subject, in each case, to the holder’s continued employment with us through the applicable vesting date. In the event the Market Condition is not attained, the restricted stock units will remain eligible to vest on the fifth</w:t>
      </w:r>
    </w:p>
    <w:p>
      <w:pPr>
        <w:spacing w:after="0" w:line="34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700"/>
          </w:cols>
          <w:pgMar w:left="860" w:top="131" w:right="1339" w:bottom="1440" w:gutter="0" w:footer="0" w:header="0"/>
        </w:sectPr>
      </w:pPr>
    </w:p>
    <w:bookmarkStart w:id="38" w:name="page39"/>
    <w:bookmarkEnd w:id="38"/>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1540" w:right="1059"/>
        <w:spacing w:after="0" w:line="263" w:lineRule="auto"/>
        <w:rPr>
          <w:sz w:val="20"/>
          <w:szCs w:val="20"/>
          <w:color w:val="auto"/>
        </w:rPr>
      </w:pPr>
      <w:r>
        <w:rPr>
          <w:rFonts w:ascii="Arial" w:cs="Arial" w:eastAsia="Arial" w:hAnsi="Arial"/>
          <w:sz w:val="17"/>
          <w:szCs w:val="17"/>
          <w:color w:val="auto"/>
        </w:rPr>
        <w:t>anniversary of the grant date, subject, in each case, to the holder’s continued employment with us through the applicable vesting date. The Market Condition has not yet been attained, so the award remains eligible to vest.</w:t>
      </w:r>
    </w:p>
    <w:p>
      <w:pPr>
        <w:spacing w:after="0" w:line="35" w:lineRule="exact"/>
        <w:rPr>
          <w:sz w:val="20"/>
          <w:szCs w:val="20"/>
          <w:color w:val="auto"/>
        </w:rPr>
      </w:pPr>
    </w:p>
    <w:p>
      <w:pPr>
        <w:ind w:left="1540" w:right="719" w:hanging="344"/>
        <w:spacing w:after="0" w:line="263" w:lineRule="auto"/>
        <w:tabs>
          <w:tab w:leader="none" w:pos="1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options cover ADSs and 25% of options vested on March 3, 2021, and the remainder vest in equal quarterly installments thereafter over the subsequent three years, subject, in each case, to the holder’s continued employment with us through the applicable vesting date.</w:t>
      </w:r>
    </w:p>
    <w:p>
      <w:pPr>
        <w:spacing w:after="0" w:line="35" w:lineRule="exact"/>
        <w:rPr>
          <w:rFonts w:ascii="Arial" w:cs="Arial" w:eastAsia="Arial" w:hAnsi="Arial"/>
          <w:sz w:val="17"/>
          <w:szCs w:val="17"/>
          <w:color w:val="auto"/>
        </w:rPr>
      </w:pPr>
    </w:p>
    <w:p>
      <w:pPr>
        <w:ind w:left="1540" w:right="719" w:hanging="344"/>
        <w:spacing w:after="0" w:line="259" w:lineRule="auto"/>
        <w:tabs>
          <w:tab w:leader="none" w:pos="1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outstanding restricted stock units cover ADSs and vest in 11 equal quarterly installments, with the first installment on February 1, 2022, provided, that the restricted stock units will immediately prior to a change in control, subject, in each case, to the holder’s continued employment with us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auto"/>
        </w:rPr>
        <w:t>Executive Compensation Arrangements</w:t>
      </w:r>
    </w:p>
    <w:p>
      <w:pPr>
        <w:spacing w:after="0" w:line="137" w:lineRule="exact"/>
        <w:rPr>
          <w:sz w:val="20"/>
          <w:szCs w:val="20"/>
          <w:color w:val="auto"/>
        </w:rPr>
      </w:pPr>
    </w:p>
    <w:p>
      <w:pPr>
        <w:ind w:left="1200" w:right="1259" w:firstLine="341"/>
        <w:spacing w:after="0" w:line="276" w:lineRule="auto"/>
        <w:rPr>
          <w:sz w:val="20"/>
          <w:szCs w:val="20"/>
          <w:color w:val="auto"/>
        </w:rPr>
      </w:pPr>
      <w:r>
        <w:rPr>
          <w:rFonts w:ascii="Arial" w:cs="Arial" w:eastAsia="Arial" w:hAnsi="Arial"/>
          <w:sz w:val="17"/>
          <w:szCs w:val="17"/>
          <w:color w:val="auto"/>
        </w:rPr>
        <w:t>We have entered into employment and severance agreements with each of our named executive officers. Certain key terms of these agreements are described below.</w:t>
      </w:r>
    </w:p>
    <w:p>
      <w:pPr>
        <w:spacing w:after="0" w:line="164"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David S. Zaccardelli, Pharm.D.</w:t>
      </w:r>
    </w:p>
    <w:p>
      <w:pPr>
        <w:spacing w:after="0" w:line="150" w:lineRule="exact"/>
        <w:rPr>
          <w:sz w:val="20"/>
          <w:szCs w:val="20"/>
          <w:color w:val="auto"/>
        </w:rPr>
      </w:pPr>
    </w:p>
    <w:p>
      <w:pPr>
        <w:ind w:left="1200" w:right="679" w:firstLine="341"/>
        <w:spacing w:after="0" w:line="255" w:lineRule="auto"/>
        <w:rPr>
          <w:sz w:val="20"/>
          <w:szCs w:val="20"/>
          <w:color w:val="auto"/>
        </w:rPr>
      </w:pPr>
      <w:r>
        <w:rPr>
          <w:rFonts w:ascii="Arial" w:cs="Arial" w:eastAsia="Arial" w:hAnsi="Arial"/>
          <w:sz w:val="17"/>
          <w:szCs w:val="17"/>
          <w:color w:val="auto"/>
        </w:rPr>
        <w:t>We entered into an employment agreement with Dr. Zaccardelli pursuant to which he commenced employment with us on February 1, 2020. This agreement entitles Dr. Zaccardelli to receive an annual base salary initially equal to $750,000 (which was subsequently increased to $772,500, effective January 1, 2021 and further increased to $795,675, effective January 1, 2022), which is payable in part in cash and in part in restricted stock units (which vest in equal quarterly installments during the calendar year in which the grant occurs, subject to continued employment) and a target annual bonus opportunity of 50% of his annual base salary.</w:t>
      </w:r>
    </w:p>
    <w:p>
      <w:pPr>
        <w:spacing w:after="0" w:line="119"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If Dr. Zaccardelli’s employment is terminated by us without “Cause” or by Dr. Zaccardelli for</w:t>
      </w:r>
    </w:p>
    <w:p>
      <w:pPr>
        <w:spacing w:after="0" w:line="20" w:lineRule="exact"/>
        <w:rPr>
          <w:sz w:val="20"/>
          <w:szCs w:val="20"/>
          <w:color w:val="auto"/>
        </w:rPr>
      </w:pPr>
    </w:p>
    <w:p>
      <w:pPr>
        <w:ind w:left="1200" w:right="639"/>
        <w:spacing w:after="0" w:line="266" w:lineRule="auto"/>
        <w:rPr>
          <w:sz w:val="20"/>
          <w:szCs w:val="20"/>
          <w:color w:val="auto"/>
        </w:rPr>
      </w:pPr>
      <w:r>
        <w:rPr>
          <w:rFonts w:ascii="Arial" w:cs="Arial" w:eastAsia="Arial" w:hAnsi="Arial"/>
          <w:sz w:val="16"/>
          <w:szCs w:val="16"/>
          <w:color w:val="auto"/>
        </w:rPr>
        <w:t>“Good Reason” (as each such term is defined in his employment agreement), then, subject to his signing and not revoking a general release of claims, he is entitled to receive (i) 12 months of base salary continuation and continued payment of premiums for continued medical coverage under COBRA, (ii) an amount equal to 100% of Dr. Zaccardelli’s full annual discretionary bonus, calculated as though all applicable objectives have been achieved for the year of termination, (iii) payment of all accrued and unused paid time-off, and</w:t>
      </w:r>
    </w:p>
    <w:p>
      <w:pPr>
        <w:spacing w:after="0" w:line="4" w:lineRule="exact"/>
        <w:rPr>
          <w:sz w:val="20"/>
          <w:szCs w:val="20"/>
          <w:color w:val="auto"/>
        </w:rPr>
      </w:pPr>
    </w:p>
    <w:p>
      <w:pPr>
        <w:ind w:left="1200" w:right="919" w:hanging="4"/>
        <w:spacing w:after="0" w:line="293" w:lineRule="auto"/>
        <w:tabs>
          <w:tab w:leader="none" w:pos="1506" w:val="left"/>
        </w:tabs>
        <w:numPr>
          <w:ilvl w:val="0"/>
          <w:numId w:val="30"/>
        </w:numPr>
        <w:rPr>
          <w:rFonts w:ascii="Arial" w:cs="Arial" w:eastAsia="Arial" w:hAnsi="Arial"/>
          <w:sz w:val="16"/>
          <w:szCs w:val="16"/>
          <w:color w:val="auto"/>
        </w:rPr>
      </w:pPr>
      <w:r>
        <w:rPr>
          <w:rFonts w:ascii="Arial" w:cs="Arial" w:eastAsia="Arial" w:hAnsi="Arial"/>
          <w:sz w:val="16"/>
          <w:szCs w:val="16"/>
          <w:color w:val="auto"/>
        </w:rPr>
        <w:t>full accelerated vesting of any outstanding, unvested equity awards under our share and share option schemes (with any performance-vesting awards become vested based on target level attainment).</w:t>
      </w:r>
    </w:p>
    <w:p>
      <w:pPr>
        <w:spacing w:after="0" w:line="77" w:lineRule="exact"/>
        <w:rPr>
          <w:sz w:val="20"/>
          <w:szCs w:val="20"/>
          <w:color w:val="auto"/>
        </w:rPr>
      </w:pPr>
    </w:p>
    <w:p>
      <w:pPr>
        <w:ind w:left="1200" w:right="1239" w:firstLine="341"/>
        <w:spacing w:after="0" w:line="308" w:lineRule="auto"/>
        <w:rPr>
          <w:sz w:val="20"/>
          <w:szCs w:val="20"/>
          <w:color w:val="auto"/>
        </w:rPr>
      </w:pPr>
      <w:r>
        <w:rPr>
          <w:rFonts w:ascii="Arial" w:cs="Arial" w:eastAsia="Arial" w:hAnsi="Arial"/>
          <w:sz w:val="16"/>
          <w:szCs w:val="16"/>
          <w:color w:val="auto"/>
        </w:rPr>
        <w:t>Dr. Zaccardelli has also agreed to refrain from competing with us or soliciting our customers or prospective customers for a period of one year following his termination of employment.</w:t>
      </w:r>
    </w:p>
    <w:p>
      <w:pPr>
        <w:spacing w:after="0" w:line="142"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Mark W. Hahn</w:t>
      </w:r>
    </w:p>
    <w:p>
      <w:pPr>
        <w:spacing w:after="0" w:line="150"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We entered into an employment agreement with Mr. Hahn pursuant to which he commenced</w:t>
      </w:r>
    </w:p>
    <w:p>
      <w:pPr>
        <w:spacing w:after="0" w:line="2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employment with us on February 1, 2020 and has served as our Chief Financial Officer since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March 1, 2020. This agreement entitles Mr. Hahn to receive an initial annual base salary of $500, 000</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(which was subsequently increased to $515,000, effective January 1, 2021 and further increased to</w:t>
      </w:r>
    </w:p>
    <w:p>
      <w:pPr>
        <w:spacing w:after="0" w:line="9" w:lineRule="exact"/>
        <w:rPr>
          <w:sz w:val="20"/>
          <w:szCs w:val="20"/>
          <w:color w:val="auto"/>
        </w:rPr>
      </w:pPr>
    </w:p>
    <w:p>
      <w:pPr>
        <w:jc w:val="both"/>
        <w:ind w:left="1200" w:right="899"/>
        <w:spacing w:after="0" w:line="266" w:lineRule="auto"/>
        <w:rPr>
          <w:sz w:val="20"/>
          <w:szCs w:val="20"/>
          <w:color w:val="auto"/>
        </w:rPr>
      </w:pPr>
      <w:r>
        <w:rPr>
          <w:rFonts w:ascii="Arial" w:cs="Arial" w:eastAsia="Arial" w:hAnsi="Arial"/>
          <w:sz w:val="16"/>
          <w:szCs w:val="16"/>
          <w:color w:val="auto"/>
        </w:rPr>
        <w:t>$530,450, effective January 1, 2022), which is payable in part in cash and in part in restricted stock units (which vest in equal quarterly installments during the calendar year in which the grant occurs, subject to continued employment) and a target annual bonus opportunity of 50% of his annual base salary. If</w:t>
      </w:r>
    </w:p>
    <w:p>
      <w:pPr>
        <w:spacing w:after="0" w:line="2" w:lineRule="exact"/>
        <w:rPr>
          <w:sz w:val="20"/>
          <w:szCs w:val="20"/>
          <w:color w:val="auto"/>
        </w:rPr>
      </w:pPr>
    </w:p>
    <w:p>
      <w:pPr>
        <w:ind w:left="1200" w:right="779"/>
        <w:spacing w:after="0" w:line="253" w:lineRule="auto"/>
        <w:rPr>
          <w:sz w:val="20"/>
          <w:szCs w:val="20"/>
          <w:color w:val="auto"/>
        </w:rPr>
      </w:pPr>
      <w:r>
        <w:rPr>
          <w:rFonts w:ascii="Arial" w:cs="Arial" w:eastAsia="Arial" w:hAnsi="Arial"/>
          <w:sz w:val="17"/>
          <w:szCs w:val="17"/>
          <w:color w:val="auto"/>
        </w:rPr>
        <w:t>Mr. Hahn’s employment is terminated by us without “Cause” or by Mr. Hahn for “Good Reason” (as each such term is defined in his employment agreement), then, subject to his signing and not revoking a general release of claims, he is entitled to receive the same severance payments and benefits that Dr. Zaccardelli is entitled to receive, as described above. Mr. Hahn has also agreed to refrain from competing with us or soliciting our customers or prospective customers for a period of one year following his termination of employment.</w:t>
      </w:r>
    </w:p>
    <w:p>
      <w:pPr>
        <w:spacing w:after="0" w:line="185"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Kathleen Rickard, M.D.</w:t>
      </w:r>
    </w:p>
    <w:p>
      <w:pPr>
        <w:spacing w:after="0" w:line="150" w:lineRule="exact"/>
        <w:rPr>
          <w:sz w:val="20"/>
          <w:szCs w:val="20"/>
          <w:color w:val="auto"/>
        </w:rPr>
      </w:pPr>
    </w:p>
    <w:p>
      <w:pPr>
        <w:ind w:left="1200" w:right="639" w:firstLine="341"/>
        <w:spacing w:after="0" w:line="275" w:lineRule="auto"/>
        <w:rPr>
          <w:sz w:val="20"/>
          <w:szCs w:val="20"/>
          <w:color w:val="auto"/>
        </w:rPr>
      </w:pPr>
      <w:r>
        <w:rPr>
          <w:rFonts w:ascii="Arial" w:cs="Arial" w:eastAsia="Arial" w:hAnsi="Arial"/>
          <w:sz w:val="16"/>
          <w:szCs w:val="16"/>
          <w:color w:val="auto"/>
        </w:rPr>
        <w:t>We entered into an offer letter with Dr. Rickard on December 13, 2018, pursuant to which she agreed to serve as our Chief Medical Officer, effective February 1, 2019. This agreement entitles Dr. Rickard to receive an annual base salary (which, for 2021, was $413,751, and which has been subsequently increased to $434,439, effective January 1, 2022) and a target annual bonus opportunity of 40% of her annual base salary, with the amount of any such bonus based on performance criteria for our company and her individual performance, as determined by the Board of Directors in its sole discretion.</w:t>
      </w:r>
    </w:p>
    <w:p>
      <w:pPr>
        <w:spacing w:after="0" w:line="91" w:lineRule="exact"/>
        <w:rPr>
          <w:sz w:val="20"/>
          <w:szCs w:val="20"/>
          <w:color w:val="auto"/>
        </w:rPr>
      </w:pPr>
    </w:p>
    <w:p>
      <w:pPr>
        <w:ind w:left="1200" w:right="659" w:firstLine="341"/>
        <w:spacing w:after="0" w:line="256" w:lineRule="auto"/>
        <w:rPr>
          <w:sz w:val="20"/>
          <w:szCs w:val="20"/>
          <w:color w:val="auto"/>
        </w:rPr>
      </w:pPr>
      <w:r>
        <w:rPr>
          <w:rFonts w:ascii="Arial" w:cs="Arial" w:eastAsia="Arial" w:hAnsi="Arial"/>
          <w:sz w:val="17"/>
          <w:szCs w:val="17"/>
          <w:color w:val="auto"/>
        </w:rPr>
        <w:t>If Dr. Rickard’s employment is terminated by us without “Cause” or by Dr. Rickard for “Good Reason” (as each such term is defined in her offer agreement), then, subject to her signing and not revoking a general release of claims, she is entitled to receive (i) four weeks of base salary continuation, (ii) four weeks of continued payment of premiums for continued medical coverage under COBRA, (iii) a pro-rated portion of the annual bonus that she otherwise would have earned in the year of termination based on actual performance in such year.</w:t>
      </w:r>
    </w:p>
    <w:p>
      <w:pPr>
        <w:spacing w:after="0" w:line="361"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40" w:name="page41"/>
    <w:bookmarkEnd w:id="40"/>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right="1220" w:firstLine="341"/>
        <w:spacing w:after="0" w:line="238" w:lineRule="auto"/>
        <w:rPr>
          <w:sz w:val="20"/>
          <w:szCs w:val="20"/>
          <w:color w:val="auto"/>
        </w:rPr>
      </w:pPr>
      <w:r>
        <w:rPr>
          <w:rFonts w:ascii="Arial" w:cs="Arial" w:eastAsia="Arial" w:hAnsi="Arial"/>
          <w:sz w:val="17"/>
          <w:szCs w:val="17"/>
          <w:color w:val="auto"/>
        </w:rPr>
        <w:t>Dr. Rickard is also entitled to participate in the Verona Pharma plc Employee Change in Control Severance Benefit Plan (the “Severance Plan”). Under the Severance Plan, if, upon or within 12 months following a change in control, we terminate the employment of Dr. Rickard without Cause (as defined in the Severance Plan) or if Dr. Rickard resigns voluntarily under the terms of a voluntary reduction in force program established by the administrator of the Severance Plan pursuant to which the participant is eligible to resign and receive benefits under the Severance Plan, then Dr. Rickard will be entitled to receive (i) base salary and medical benefit continuation for a period (the “Severance Period”) of twelve months, (ii) a pro-rated target cash bonus for the year of termination, (iii) relocation benefits paid to Dr. Rickard in connection with any relocation that occurred within 12 months prior to the change in control and (iv) outplacement services until the end of the Severance Period (or, if earlier, until the acceptance of an offer of full-time employment from a subsequent employer).</w:t>
      </w:r>
    </w:p>
    <w:p>
      <w:pPr>
        <w:spacing w:after="0" w:line="106"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2021 DIRECTOR COMPENSATION</w:t>
      </w:r>
    </w:p>
    <w:p>
      <w:pPr>
        <w:spacing w:after="0" w:line="150" w:lineRule="exact"/>
        <w:rPr>
          <w:sz w:val="20"/>
          <w:szCs w:val="20"/>
          <w:color w:val="auto"/>
        </w:rPr>
      </w:pPr>
    </w:p>
    <w:p>
      <w:pPr>
        <w:ind w:left="1200" w:right="1240" w:firstLine="341"/>
        <w:spacing w:after="0" w:line="248" w:lineRule="auto"/>
        <w:rPr>
          <w:sz w:val="20"/>
          <w:szCs w:val="20"/>
          <w:color w:val="auto"/>
        </w:rPr>
      </w:pPr>
      <w:r>
        <w:rPr>
          <w:rFonts w:ascii="Arial" w:cs="Arial" w:eastAsia="Arial" w:hAnsi="Arial"/>
          <w:sz w:val="17"/>
          <w:szCs w:val="17"/>
          <w:color w:val="auto"/>
        </w:rPr>
        <w:t>We have entered into letters of appointment with each of our non-executive directors pursuant to which they are entitled to receive an annual fee for their services as a member of the board, and an additional fee for service on its committees. These fees are as follows:</w:t>
      </w:r>
    </w:p>
    <w:p>
      <w:pPr>
        <w:spacing w:after="0" w:line="59" w:lineRule="exact"/>
        <w:rPr>
          <w:sz w:val="20"/>
          <w:szCs w:val="20"/>
          <w:color w:val="auto"/>
        </w:rPr>
      </w:pPr>
    </w:p>
    <w:p>
      <w:pPr>
        <w:ind w:left="1700" w:hanging="163"/>
        <w:spacing w:after="0"/>
        <w:tabs>
          <w:tab w:leader="none" w:pos="1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non-employee director receives an annual cash retainer of £30,000;</w:t>
      </w:r>
    </w:p>
    <w:p>
      <w:pPr>
        <w:spacing w:after="0" w:line="85" w:lineRule="exact"/>
        <w:rPr>
          <w:rFonts w:ascii="Arial" w:cs="Arial" w:eastAsia="Arial" w:hAnsi="Arial"/>
          <w:sz w:val="17"/>
          <w:szCs w:val="17"/>
          <w:color w:val="auto"/>
        </w:rPr>
      </w:pPr>
    </w:p>
    <w:p>
      <w:pPr>
        <w:jc w:val="both"/>
        <w:ind w:left="1700" w:right="1200" w:hanging="163"/>
        <w:spacing w:after="0" w:line="308" w:lineRule="auto"/>
        <w:tabs>
          <w:tab w:leader="none" w:pos="1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Chairman of the Board of Directors, each Chairman of a committee of the Board of Directors or a member of a committee of the Board of Directors, receives additional cash compensation as follows:</w:t>
      </w:r>
    </w:p>
    <w:p>
      <w:pPr>
        <w:spacing w:after="0" w:line="13" w:lineRule="exact"/>
        <w:rPr>
          <w:rFonts w:ascii="Arial" w:cs="Arial" w:eastAsia="Arial" w:hAnsi="Arial"/>
          <w:sz w:val="16"/>
          <w:szCs w:val="16"/>
          <w:color w:val="auto"/>
        </w:rPr>
      </w:pPr>
    </w:p>
    <w:p>
      <w:pPr>
        <w:ind w:left="2040" w:hanging="162"/>
        <w:spacing w:after="0"/>
        <w:tabs>
          <w:tab w:leader="none" w:pos="20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Chairman of the Board of Directors receives an additional annual retainer of £78,000;</w:t>
      </w:r>
    </w:p>
    <w:p>
      <w:pPr>
        <w:spacing w:after="0" w:line="85" w:lineRule="exact"/>
        <w:rPr>
          <w:rFonts w:ascii="Arial" w:cs="Arial" w:eastAsia="Arial" w:hAnsi="Arial"/>
          <w:sz w:val="17"/>
          <w:szCs w:val="17"/>
          <w:color w:val="auto"/>
        </w:rPr>
      </w:pPr>
    </w:p>
    <w:p>
      <w:pPr>
        <w:ind w:left="2040" w:right="1820" w:hanging="162"/>
        <w:spacing w:after="0" w:line="276" w:lineRule="auto"/>
        <w:tabs>
          <w:tab w:leader="none" w:pos="20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Chairman of the Audit and Risk Committee receives an additional annual retainer of £12,000;</w:t>
      </w:r>
    </w:p>
    <w:p>
      <w:pPr>
        <w:spacing w:after="0" w:line="36" w:lineRule="exact"/>
        <w:rPr>
          <w:rFonts w:ascii="Arial" w:cs="Arial" w:eastAsia="Arial" w:hAnsi="Arial"/>
          <w:sz w:val="17"/>
          <w:szCs w:val="17"/>
          <w:color w:val="auto"/>
        </w:rPr>
      </w:pPr>
    </w:p>
    <w:p>
      <w:pPr>
        <w:ind w:left="2040" w:hanging="162"/>
        <w:spacing w:after="0"/>
        <w:tabs>
          <w:tab w:leader="none" w:pos="20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Chairman of the Remuneration Committee receives an additional annual retainer of £10,000;</w:t>
      </w:r>
    </w:p>
    <w:p>
      <w:pPr>
        <w:spacing w:after="0" w:line="85" w:lineRule="exact"/>
        <w:rPr>
          <w:rFonts w:ascii="Arial" w:cs="Arial" w:eastAsia="Arial" w:hAnsi="Arial"/>
          <w:sz w:val="17"/>
          <w:szCs w:val="17"/>
          <w:color w:val="auto"/>
        </w:rPr>
      </w:pPr>
    </w:p>
    <w:p>
      <w:pPr>
        <w:ind w:left="2040" w:hanging="162"/>
        <w:spacing w:after="0"/>
        <w:tabs>
          <w:tab w:leader="none" w:pos="20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 member of the Audit and Risk Committee receives an additional annual retainer of £5,000;</w:t>
      </w:r>
    </w:p>
    <w:p>
      <w:pPr>
        <w:spacing w:after="0" w:line="85" w:lineRule="exact"/>
        <w:rPr>
          <w:rFonts w:ascii="Arial" w:cs="Arial" w:eastAsia="Arial" w:hAnsi="Arial"/>
          <w:sz w:val="17"/>
          <w:szCs w:val="17"/>
          <w:color w:val="auto"/>
        </w:rPr>
      </w:pPr>
    </w:p>
    <w:p>
      <w:pPr>
        <w:ind w:left="2040" w:hanging="162"/>
        <w:spacing w:after="0"/>
        <w:tabs>
          <w:tab w:leader="none" w:pos="20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 member of the Remuneration Committee receives an additional annual retainer of £4,000; and</w:t>
      </w:r>
    </w:p>
    <w:p>
      <w:pPr>
        <w:spacing w:after="0" w:line="85" w:lineRule="exact"/>
        <w:rPr>
          <w:rFonts w:ascii="Arial" w:cs="Arial" w:eastAsia="Arial" w:hAnsi="Arial"/>
          <w:sz w:val="17"/>
          <w:szCs w:val="17"/>
          <w:color w:val="auto"/>
        </w:rPr>
      </w:pPr>
    </w:p>
    <w:p>
      <w:pPr>
        <w:ind w:left="2040" w:right="1660" w:hanging="162"/>
        <w:spacing w:after="0" w:line="276" w:lineRule="auto"/>
        <w:tabs>
          <w:tab w:leader="none" w:pos="20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 member of the Nomination and Corporate Governance Committee receives an additional annual retainer of £3,000;</w:t>
      </w:r>
    </w:p>
    <w:p>
      <w:pPr>
        <w:spacing w:after="0" w:line="100" w:lineRule="exact"/>
        <w:rPr>
          <w:sz w:val="20"/>
          <w:szCs w:val="20"/>
          <w:color w:val="auto"/>
        </w:rPr>
      </w:pPr>
    </w:p>
    <w:p>
      <w:pPr>
        <w:jc w:val="both"/>
        <w:ind w:left="1200" w:right="1440" w:firstLine="341"/>
        <w:spacing w:after="0" w:line="248" w:lineRule="auto"/>
        <w:rPr>
          <w:sz w:val="20"/>
          <w:szCs w:val="20"/>
          <w:color w:val="auto"/>
        </w:rPr>
      </w:pPr>
      <w:r>
        <w:rPr>
          <w:rFonts w:ascii="Arial" w:cs="Arial" w:eastAsia="Arial" w:hAnsi="Arial"/>
          <w:sz w:val="17"/>
          <w:szCs w:val="17"/>
          <w:color w:val="auto"/>
        </w:rPr>
        <w:t>The fees are paid monthly in arrears. These letters also provide for reimbursement of reasonable and documented expenses incurred in the performance of board duties, including reimbursement of business class air travel.</w:t>
      </w:r>
    </w:p>
    <w:p>
      <w:pPr>
        <w:spacing w:after="0" w:line="110" w:lineRule="exact"/>
        <w:rPr>
          <w:sz w:val="20"/>
          <w:szCs w:val="20"/>
          <w:color w:val="auto"/>
        </w:rPr>
      </w:pPr>
    </w:p>
    <w:p>
      <w:pPr>
        <w:ind w:left="1200" w:right="1280" w:firstLine="341"/>
        <w:spacing w:after="0" w:line="260" w:lineRule="auto"/>
        <w:rPr>
          <w:sz w:val="20"/>
          <w:szCs w:val="20"/>
          <w:color w:val="auto"/>
        </w:rPr>
      </w:pPr>
      <w:r>
        <w:rPr>
          <w:rFonts w:ascii="Arial" w:cs="Arial" w:eastAsia="Arial" w:hAnsi="Arial"/>
          <w:sz w:val="17"/>
          <w:szCs w:val="17"/>
          <w:color w:val="auto"/>
        </w:rPr>
        <w:t>The following table sets forth in summary form information concerning the compensation that we paid or awarded during the year ended December 31, 2021 to each of our non-employee directors.</w:t>
      </w:r>
    </w:p>
    <w:p>
      <w:pPr>
        <w:spacing w:after="0" w:line="165"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auto"/>
        </w:rPr>
        <w:t>2021 Director Compensation Table</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Fees Earned</w:t>
            </w: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8"/>
              </w:rPr>
              <w:t>Stock</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w:t>
            </w: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53"/>
        </w:trPr>
        <w:tc>
          <w:tcPr>
            <w:tcW w:w="15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4"/>
              </w:rPr>
              <w:t>or Paid in</w:t>
            </w: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2"/>
              </w:rPr>
              <w:t>Awards</w:t>
            </w:r>
          </w:p>
        </w:tc>
        <w:tc>
          <w:tcPr>
            <w:tcW w:w="6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Awards</w:t>
            </w:r>
          </w:p>
        </w:tc>
        <w:tc>
          <w:tcPr>
            <w:tcW w:w="58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99"/>
        </w:trPr>
        <w:tc>
          <w:tcPr>
            <w:tcW w:w="1520" w:type="dxa"/>
            <w:vAlign w:val="bottom"/>
          </w:tcPr>
          <w:p>
            <w:pPr>
              <w:spacing w:after="0"/>
              <w:rPr>
                <w:sz w:val="17"/>
                <w:szCs w:val="17"/>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Cash ($)</w:t>
            </w:r>
            <w:r>
              <w:rPr>
                <w:rFonts w:ascii="Arial" w:cs="Arial" w:eastAsia="Arial" w:hAnsi="Arial"/>
                <w:sz w:val="17"/>
                <w:szCs w:val="17"/>
                <w:b w:val="1"/>
                <w:bCs w:val="1"/>
                <w:color w:val="auto"/>
                <w:w w:val="80"/>
                <w:vertAlign w:val="superscript"/>
              </w:rPr>
              <w:t>(1)</w:t>
            </w:r>
          </w:p>
        </w:tc>
        <w:tc>
          <w:tcPr>
            <w:tcW w:w="2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7"/>
              </w:rPr>
              <w:t>($)</w:t>
            </w:r>
            <w:r>
              <w:rPr>
                <w:rFonts w:ascii="Arial" w:cs="Arial" w:eastAsia="Arial" w:hAnsi="Arial"/>
                <w:sz w:val="17"/>
                <w:szCs w:val="17"/>
                <w:b w:val="1"/>
                <w:bCs w:val="1"/>
                <w:color w:val="auto"/>
                <w:w w:val="77"/>
                <w:vertAlign w:val="superscript"/>
              </w:rPr>
              <w:t>(1)</w:t>
            </w:r>
          </w:p>
        </w:tc>
        <w:tc>
          <w:tcPr>
            <w:tcW w:w="2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(2)</w:t>
            </w:r>
          </w:p>
        </w:tc>
        <w:tc>
          <w:tcPr>
            <w:tcW w:w="2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Total ($)</w:t>
            </w:r>
          </w:p>
        </w:tc>
        <w:tc>
          <w:tcPr>
            <w:tcW w:w="1540" w:type="dxa"/>
            <w:vAlign w:val="bottom"/>
          </w:tcPr>
          <w:p>
            <w:pPr>
              <w:spacing w:after="0"/>
              <w:rPr>
                <w:sz w:val="17"/>
                <w:szCs w:val="17"/>
                <w:color w:val="auto"/>
              </w:rPr>
            </w:pPr>
          </w:p>
        </w:tc>
      </w:tr>
      <w:tr>
        <w:trPr>
          <w:trHeight w:val="236"/>
        </w:trPr>
        <w:tc>
          <w:tcPr>
            <w:tcW w:w="1520" w:type="dxa"/>
            <w:vAlign w:val="bottom"/>
          </w:tcPr>
          <w:p>
            <w:pPr>
              <w:spacing w:after="0"/>
              <w:rPr>
                <w:sz w:val="20"/>
                <w:szCs w:val="2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rPr>
              <w:t>Ken Cunningham</w:t>
            </w:r>
          </w:p>
        </w:tc>
        <w:tc>
          <w:tcPr>
            <w:tcW w:w="2480" w:type="dxa"/>
            <w:vAlign w:val="bottom"/>
            <w:gridSpan w:val="3"/>
            <w:shd w:val="clear" w:color="auto" w:fill="CCEEFF"/>
          </w:tcPr>
          <w:p>
            <w:pPr>
              <w:jc w:val="right"/>
              <w:ind w:right="12"/>
              <w:spacing w:after="0"/>
              <w:rPr>
                <w:sz w:val="20"/>
                <w:szCs w:val="20"/>
                <w:color w:val="auto"/>
              </w:rPr>
            </w:pPr>
            <w:r>
              <w:rPr>
                <w:rFonts w:ascii="Arial" w:cs="Arial" w:eastAsia="Arial" w:hAnsi="Arial"/>
                <w:sz w:val="17"/>
                <w:szCs w:val="17"/>
                <w:color w:val="auto"/>
              </w:rPr>
              <w:t>54,143</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33,757</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87,900</w:t>
            </w:r>
          </w:p>
        </w:tc>
        <w:tc>
          <w:tcPr>
            <w:tcW w:w="1540" w:type="dxa"/>
            <w:vAlign w:val="bottom"/>
          </w:tcPr>
          <w:p>
            <w:pPr>
              <w:spacing w:after="0"/>
              <w:rPr>
                <w:sz w:val="20"/>
                <w:szCs w:val="20"/>
                <w:color w:val="auto"/>
              </w:rPr>
            </w:pPr>
          </w:p>
        </w:tc>
      </w:tr>
      <w:tr>
        <w:trPr>
          <w:trHeight w:val="243"/>
        </w:trPr>
        <w:tc>
          <w:tcPr>
            <w:tcW w:w="1520" w:type="dxa"/>
            <w:vAlign w:val="bottom"/>
          </w:tcPr>
          <w:p>
            <w:pPr>
              <w:spacing w:after="0"/>
              <w:rPr>
                <w:sz w:val="21"/>
                <w:szCs w:val="21"/>
                <w:color w:val="auto"/>
              </w:rPr>
            </w:pPr>
          </w:p>
        </w:tc>
        <w:tc>
          <w:tcPr>
            <w:tcW w:w="2340" w:type="dxa"/>
            <w:vAlign w:val="bottom"/>
          </w:tcPr>
          <w:p>
            <w:pPr>
              <w:spacing w:after="0"/>
              <w:rPr>
                <w:sz w:val="20"/>
                <w:szCs w:val="20"/>
                <w:color w:val="auto"/>
              </w:rPr>
            </w:pPr>
            <w:r>
              <w:rPr>
                <w:rFonts w:ascii="Arial" w:cs="Arial" w:eastAsia="Arial" w:hAnsi="Arial"/>
                <w:sz w:val="17"/>
                <w:szCs w:val="17"/>
                <w:color w:val="auto"/>
              </w:rPr>
              <w:t>Lisa Deschamps</w:t>
            </w:r>
          </w:p>
        </w:tc>
        <w:tc>
          <w:tcPr>
            <w:tcW w:w="2480" w:type="dxa"/>
            <w:vAlign w:val="bottom"/>
            <w:gridSpan w:val="3"/>
          </w:tcPr>
          <w:p>
            <w:pPr>
              <w:jc w:val="right"/>
              <w:ind w:right="12"/>
              <w:spacing w:after="0"/>
              <w:rPr>
                <w:sz w:val="20"/>
                <w:szCs w:val="20"/>
                <w:color w:val="auto"/>
              </w:rPr>
            </w:pPr>
            <w:r>
              <w:rPr>
                <w:rFonts w:ascii="Arial" w:cs="Arial" w:eastAsia="Arial" w:hAnsi="Arial"/>
                <w:sz w:val="17"/>
                <w:szCs w:val="17"/>
                <w:color w:val="auto"/>
              </w:rPr>
              <w:t>37,224</w:t>
            </w:r>
          </w:p>
        </w:tc>
        <w:tc>
          <w:tcPr>
            <w:tcW w:w="2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w w:val="91"/>
              </w:rPr>
              <w:t>134,705</w:t>
            </w:r>
          </w:p>
        </w:tc>
        <w:tc>
          <w:tcPr>
            <w:tcW w:w="680" w:type="dxa"/>
            <w:vAlign w:val="bottom"/>
            <w:gridSpan w:val="2"/>
          </w:tcPr>
          <w:p>
            <w:pPr>
              <w:ind w:left="20"/>
              <w:spacing w:after="0"/>
              <w:rPr>
                <w:sz w:val="20"/>
                <w:szCs w:val="20"/>
                <w:color w:val="auto"/>
              </w:rPr>
            </w:pPr>
            <w:r>
              <w:rPr>
                <w:rFonts w:ascii="Arial" w:cs="Arial" w:eastAsia="Arial" w:hAnsi="Arial"/>
                <w:sz w:val="17"/>
                <w:szCs w:val="17"/>
                <w:color w:val="auto"/>
              </w:rPr>
              <w:t>33,757</w:t>
            </w:r>
          </w:p>
        </w:tc>
        <w:tc>
          <w:tcPr>
            <w:tcW w:w="2120" w:type="dxa"/>
            <w:vAlign w:val="bottom"/>
            <w:gridSpan w:val="2"/>
          </w:tcPr>
          <w:p>
            <w:pPr>
              <w:jc w:val="right"/>
              <w:ind w:right="1540"/>
              <w:spacing w:after="0"/>
              <w:rPr>
                <w:sz w:val="20"/>
                <w:szCs w:val="20"/>
                <w:color w:val="auto"/>
              </w:rPr>
            </w:pPr>
            <w:r>
              <w:rPr>
                <w:rFonts w:ascii="Arial" w:cs="Arial" w:eastAsia="Arial" w:hAnsi="Arial"/>
                <w:sz w:val="17"/>
                <w:szCs w:val="17"/>
                <w:color w:val="auto"/>
                <w:w w:val="91"/>
              </w:rPr>
              <w:t>205,686</w:t>
            </w:r>
          </w:p>
        </w:tc>
      </w:tr>
      <w:tr>
        <w:trPr>
          <w:trHeight w:val="243"/>
        </w:trPr>
        <w:tc>
          <w:tcPr>
            <w:tcW w:w="1520" w:type="dxa"/>
            <w:vAlign w:val="bottom"/>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rPr>
              <w:t>Rishi Gupta</w:t>
            </w:r>
          </w:p>
        </w:tc>
        <w:tc>
          <w:tcPr>
            <w:tcW w:w="2480" w:type="dxa"/>
            <w:vAlign w:val="bottom"/>
            <w:gridSpan w:val="3"/>
            <w:shd w:val="clear" w:color="auto" w:fill="CCEEFF"/>
          </w:tcPr>
          <w:p>
            <w:pPr>
              <w:jc w:val="right"/>
              <w:ind w:right="12"/>
              <w:spacing w:after="0"/>
              <w:rPr>
                <w:sz w:val="20"/>
                <w:szCs w:val="20"/>
                <w:color w:val="auto"/>
              </w:rPr>
            </w:pPr>
            <w:r>
              <w:rPr>
                <w:rFonts w:ascii="Arial" w:cs="Arial" w:eastAsia="Arial" w:hAnsi="Arial"/>
                <w:sz w:val="17"/>
                <w:szCs w:val="17"/>
                <w:color w:val="auto"/>
              </w:rPr>
              <w:t>46,022</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33,757</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79,779</w:t>
            </w:r>
          </w:p>
        </w:tc>
        <w:tc>
          <w:tcPr>
            <w:tcW w:w="154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2340" w:type="dxa"/>
            <w:vAlign w:val="bottom"/>
          </w:tcPr>
          <w:p>
            <w:pPr>
              <w:spacing w:after="0"/>
              <w:rPr>
                <w:sz w:val="20"/>
                <w:szCs w:val="20"/>
                <w:color w:val="auto"/>
              </w:rPr>
            </w:pPr>
            <w:r>
              <w:rPr>
                <w:rFonts w:ascii="Arial" w:cs="Arial" w:eastAsia="Arial" w:hAnsi="Arial"/>
                <w:sz w:val="17"/>
                <w:szCs w:val="17"/>
                <w:color w:val="auto"/>
              </w:rPr>
              <w:t>Mahendra Shah</w:t>
            </w:r>
          </w:p>
        </w:tc>
        <w:tc>
          <w:tcPr>
            <w:tcW w:w="2480" w:type="dxa"/>
            <w:vAlign w:val="bottom"/>
            <w:gridSpan w:val="3"/>
          </w:tcPr>
          <w:p>
            <w:pPr>
              <w:jc w:val="right"/>
              <w:ind w:right="12"/>
              <w:spacing w:after="0"/>
              <w:rPr>
                <w:sz w:val="20"/>
                <w:szCs w:val="20"/>
                <w:color w:val="auto"/>
              </w:rPr>
            </w:pPr>
            <w:r>
              <w:rPr>
                <w:rFonts w:ascii="Arial" w:cs="Arial" w:eastAsia="Arial" w:hAnsi="Arial"/>
                <w:sz w:val="17"/>
                <w:szCs w:val="17"/>
                <w:color w:val="auto"/>
              </w:rPr>
              <w:t>44,668</w:t>
            </w:r>
          </w:p>
        </w:tc>
        <w:tc>
          <w:tcPr>
            <w:tcW w:w="2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20"/>
              <w:spacing w:after="0"/>
              <w:rPr>
                <w:sz w:val="20"/>
                <w:szCs w:val="20"/>
                <w:color w:val="auto"/>
              </w:rPr>
            </w:pPr>
            <w:r>
              <w:rPr>
                <w:rFonts w:ascii="Arial" w:cs="Arial" w:eastAsia="Arial" w:hAnsi="Arial"/>
                <w:sz w:val="17"/>
                <w:szCs w:val="17"/>
                <w:color w:val="auto"/>
              </w:rPr>
              <w:t>33,757</w:t>
            </w:r>
          </w:p>
        </w:tc>
        <w:tc>
          <w:tcPr>
            <w:tcW w:w="2120" w:type="dxa"/>
            <w:vAlign w:val="bottom"/>
            <w:gridSpan w:val="2"/>
          </w:tcPr>
          <w:p>
            <w:pPr>
              <w:jc w:val="right"/>
              <w:ind w:right="1540"/>
              <w:spacing w:after="0"/>
              <w:rPr>
                <w:sz w:val="20"/>
                <w:szCs w:val="20"/>
                <w:color w:val="auto"/>
              </w:rPr>
            </w:pPr>
            <w:r>
              <w:rPr>
                <w:rFonts w:ascii="Arial" w:cs="Arial" w:eastAsia="Arial" w:hAnsi="Arial"/>
                <w:sz w:val="17"/>
                <w:szCs w:val="17"/>
                <w:color w:val="auto"/>
              </w:rPr>
              <w:t>78,425</w:t>
            </w:r>
          </w:p>
        </w:tc>
      </w:tr>
      <w:tr>
        <w:trPr>
          <w:trHeight w:val="243"/>
        </w:trPr>
        <w:tc>
          <w:tcPr>
            <w:tcW w:w="1520" w:type="dxa"/>
            <w:vAlign w:val="bottom"/>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rPr>
              <w:t>Andrew Sinclair</w:t>
            </w:r>
          </w:p>
        </w:tc>
        <w:tc>
          <w:tcPr>
            <w:tcW w:w="2480" w:type="dxa"/>
            <w:vAlign w:val="bottom"/>
            <w:gridSpan w:val="3"/>
            <w:shd w:val="clear" w:color="auto" w:fill="CCEEFF"/>
          </w:tcPr>
          <w:p>
            <w:pPr>
              <w:jc w:val="right"/>
              <w:ind w:right="12"/>
              <w:spacing w:after="0"/>
              <w:rPr>
                <w:sz w:val="20"/>
                <w:szCs w:val="20"/>
                <w:color w:val="auto"/>
              </w:rPr>
            </w:pPr>
            <w:r>
              <w:rPr>
                <w:rFonts w:ascii="Arial" w:cs="Arial" w:eastAsia="Arial" w:hAnsi="Arial"/>
                <w:sz w:val="17"/>
                <w:szCs w:val="17"/>
                <w:color w:val="auto"/>
              </w:rPr>
              <w:t>47,375</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33,757</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81,132</w:t>
            </w:r>
          </w:p>
        </w:tc>
        <w:tc>
          <w:tcPr>
            <w:tcW w:w="154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2340" w:type="dxa"/>
            <w:vAlign w:val="bottom"/>
          </w:tcPr>
          <w:p>
            <w:pPr>
              <w:spacing w:after="0"/>
              <w:rPr>
                <w:sz w:val="20"/>
                <w:szCs w:val="20"/>
                <w:color w:val="auto"/>
              </w:rPr>
            </w:pPr>
            <w:r>
              <w:rPr>
                <w:rFonts w:ascii="Arial" w:cs="Arial" w:eastAsia="Arial" w:hAnsi="Arial"/>
                <w:sz w:val="17"/>
                <w:szCs w:val="17"/>
                <w:color w:val="auto"/>
              </w:rPr>
              <w:t>Vikas Sinha</w:t>
            </w:r>
          </w:p>
        </w:tc>
        <w:tc>
          <w:tcPr>
            <w:tcW w:w="2480" w:type="dxa"/>
            <w:vAlign w:val="bottom"/>
            <w:gridSpan w:val="3"/>
          </w:tcPr>
          <w:p>
            <w:pPr>
              <w:jc w:val="right"/>
              <w:ind w:right="12"/>
              <w:spacing w:after="0"/>
              <w:rPr>
                <w:sz w:val="20"/>
                <w:szCs w:val="20"/>
                <w:color w:val="auto"/>
              </w:rPr>
            </w:pPr>
            <w:r>
              <w:rPr>
                <w:rFonts w:ascii="Arial" w:cs="Arial" w:eastAsia="Arial" w:hAnsi="Arial"/>
                <w:sz w:val="17"/>
                <w:szCs w:val="17"/>
                <w:color w:val="auto"/>
              </w:rPr>
              <w:t>56,850</w:t>
            </w:r>
          </w:p>
        </w:tc>
        <w:tc>
          <w:tcPr>
            <w:tcW w:w="2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20"/>
              <w:spacing w:after="0"/>
              <w:rPr>
                <w:sz w:val="20"/>
                <w:szCs w:val="20"/>
                <w:color w:val="auto"/>
              </w:rPr>
            </w:pPr>
            <w:r>
              <w:rPr>
                <w:rFonts w:ascii="Arial" w:cs="Arial" w:eastAsia="Arial" w:hAnsi="Arial"/>
                <w:sz w:val="17"/>
                <w:szCs w:val="17"/>
                <w:color w:val="auto"/>
              </w:rPr>
              <w:t>33,757</w:t>
            </w:r>
          </w:p>
        </w:tc>
        <w:tc>
          <w:tcPr>
            <w:tcW w:w="2120" w:type="dxa"/>
            <w:vAlign w:val="bottom"/>
            <w:gridSpan w:val="2"/>
          </w:tcPr>
          <w:p>
            <w:pPr>
              <w:jc w:val="right"/>
              <w:ind w:right="1540"/>
              <w:spacing w:after="0"/>
              <w:rPr>
                <w:sz w:val="20"/>
                <w:szCs w:val="20"/>
                <w:color w:val="auto"/>
              </w:rPr>
            </w:pPr>
            <w:r>
              <w:rPr>
                <w:rFonts w:ascii="Arial" w:cs="Arial" w:eastAsia="Arial" w:hAnsi="Arial"/>
                <w:sz w:val="17"/>
                <w:szCs w:val="17"/>
                <w:color w:val="auto"/>
              </w:rPr>
              <w:t>90,607</w:t>
            </w:r>
          </w:p>
        </w:tc>
      </w:tr>
      <w:tr>
        <w:trPr>
          <w:trHeight w:val="256"/>
        </w:trPr>
        <w:tc>
          <w:tcPr>
            <w:tcW w:w="1520" w:type="dxa"/>
            <w:vAlign w:val="bottom"/>
          </w:tcPr>
          <w:p>
            <w:pPr>
              <w:spacing w:after="0"/>
              <w:rPr>
                <w:sz w:val="22"/>
                <w:szCs w:val="22"/>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rPr>
              <w:t>Anders Ullman</w:t>
            </w:r>
          </w:p>
        </w:tc>
        <w:tc>
          <w:tcPr>
            <w:tcW w:w="2480" w:type="dxa"/>
            <w:vAlign w:val="bottom"/>
            <w:gridSpan w:val="3"/>
            <w:shd w:val="clear" w:color="auto" w:fill="CCEEFF"/>
          </w:tcPr>
          <w:p>
            <w:pPr>
              <w:jc w:val="right"/>
              <w:ind w:right="12"/>
              <w:spacing w:after="0"/>
              <w:rPr>
                <w:sz w:val="20"/>
                <w:szCs w:val="20"/>
                <w:color w:val="auto"/>
              </w:rPr>
            </w:pPr>
            <w:r>
              <w:rPr>
                <w:rFonts w:ascii="Arial" w:cs="Arial" w:eastAsia="Arial" w:hAnsi="Arial"/>
                <w:sz w:val="17"/>
                <w:szCs w:val="17"/>
                <w:color w:val="auto"/>
              </w:rPr>
              <w:t>40,607</w:t>
            </w: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33,757</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74,364</w:t>
            </w:r>
          </w:p>
        </w:tc>
        <w:tc>
          <w:tcPr>
            <w:tcW w:w="1540" w:type="dxa"/>
            <w:vAlign w:val="bottom"/>
          </w:tcPr>
          <w:p>
            <w:pPr>
              <w:spacing w:after="0"/>
              <w:rPr>
                <w:sz w:val="22"/>
                <w:szCs w:val="22"/>
                <w:color w:val="auto"/>
              </w:rPr>
            </w:pPr>
          </w:p>
        </w:tc>
      </w:tr>
      <w:tr>
        <w:trPr>
          <w:trHeight w:val="256"/>
        </w:trPr>
        <w:tc>
          <w:tcPr>
            <w:tcW w:w="1520" w:type="dxa"/>
            <w:vAlign w:val="bottom"/>
          </w:tcPr>
          <w:p>
            <w:pPr>
              <w:spacing w:after="0"/>
              <w:rPr>
                <w:sz w:val="22"/>
                <w:szCs w:val="22"/>
                <w:color w:val="auto"/>
              </w:rPr>
            </w:pPr>
          </w:p>
        </w:tc>
        <w:tc>
          <w:tcPr>
            <w:tcW w:w="2340" w:type="dxa"/>
            <w:vAlign w:val="bottom"/>
          </w:tcPr>
          <w:p>
            <w:pPr>
              <w:spacing w:after="0"/>
              <w:rPr>
                <w:sz w:val="20"/>
                <w:szCs w:val="20"/>
                <w:color w:val="auto"/>
              </w:rPr>
            </w:pPr>
            <w:r>
              <w:rPr>
                <w:rFonts w:ascii="Arial" w:cs="Arial" w:eastAsia="Arial" w:hAnsi="Arial"/>
                <w:sz w:val="17"/>
                <w:szCs w:val="17"/>
                <w:color w:val="auto"/>
              </w:rPr>
              <w:t>Martin Edwards</w:t>
            </w:r>
          </w:p>
        </w:tc>
        <w:tc>
          <w:tcPr>
            <w:tcW w:w="2480" w:type="dxa"/>
            <w:vAlign w:val="bottom"/>
            <w:gridSpan w:val="3"/>
          </w:tcPr>
          <w:p>
            <w:pPr>
              <w:jc w:val="right"/>
              <w:ind w:right="12"/>
              <w:spacing w:after="0"/>
              <w:rPr>
                <w:sz w:val="20"/>
                <w:szCs w:val="20"/>
                <w:color w:val="auto"/>
              </w:rPr>
            </w:pPr>
            <w:r>
              <w:rPr>
                <w:rFonts w:ascii="Arial" w:cs="Arial" w:eastAsia="Arial" w:hAnsi="Arial"/>
                <w:sz w:val="17"/>
                <w:szCs w:val="17"/>
                <w:color w:val="auto"/>
              </w:rPr>
              <w:t>40,607</w:t>
            </w:r>
          </w:p>
        </w:tc>
        <w:tc>
          <w:tcPr>
            <w:tcW w:w="2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20"/>
              <w:spacing w:after="0"/>
              <w:rPr>
                <w:sz w:val="20"/>
                <w:szCs w:val="20"/>
                <w:color w:val="auto"/>
              </w:rPr>
            </w:pPr>
            <w:r>
              <w:rPr>
                <w:rFonts w:ascii="Arial" w:cs="Arial" w:eastAsia="Arial" w:hAnsi="Arial"/>
                <w:sz w:val="17"/>
                <w:szCs w:val="17"/>
                <w:color w:val="auto"/>
              </w:rPr>
              <w:t>33,757</w:t>
            </w:r>
          </w:p>
        </w:tc>
        <w:tc>
          <w:tcPr>
            <w:tcW w:w="2120" w:type="dxa"/>
            <w:vAlign w:val="bottom"/>
            <w:gridSpan w:val="2"/>
          </w:tcPr>
          <w:p>
            <w:pPr>
              <w:jc w:val="right"/>
              <w:ind w:right="1540"/>
              <w:spacing w:after="0"/>
              <w:rPr>
                <w:sz w:val="20"/>
                <w:szCs w:val="20"/>
                <w:color w:val="auto"/>
              </w:rPr>
            </w:pPr>
            <w:r>
              <w:rPr>
                <w:rFonts w:ascii="Arial" w:cs="Arial" w:eastAsia="Arial" w:hAnsi="Arial"/>
                <w:sz w:val="17"/>
                <w:szCs w:val="17"/>
                <w:color w:val="auto"/>
              </w:rPr>
              <w:t>74,364</w:t>
            </w:r>
          </w:p>
        </w:tc>
      </w:tr>
      <w:tr>
        <w:trPr>
          <w:trHeight w:val="256"/>
        </w:trPr>
        <w:tc>
          <w:tcPr>
            <w:tcW w:w="1520" w:type="dxa"/>
            <w:vAlign w:val="bottom"/>
          </w:tcPr>
          <w:p>
            <w:pPr>
              <w:spacing w:after="0"/>
              <w:rPr>
                <w:sz w:val="22"/>
                <w:szCs w:val="22"/>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rPr>
              <w:t>David Ebsworth</w:t>
            </w:r>
          </w:p>
        </w:tc>
        <w:tc>
          <w:tcPr>
            <w:tcW w:w="2480" w:type="dxa"/>
            <w:vAlign w:val="bottom"/>
            <w:gridSpan w:val="3"/>
            <w:shd w:val="clear" w:color="auto" w:fill="CCEEFF"/>
          </w:tcPr>
          <w:p>
            <w:pPr>
              <w:jc w:val="right"/>
              <w:ind w:right="12"/>
              <w:spacing w:after="0"/>
              <w:rPr>
                <w:sz w:val="20"/>
                <w:szCs w:val="20"/>
                <w:color w:val="auto"/>
              </w:rPr>
            </w:pPr>
            <w:r>
              <w:rPr>
                <w:rFonts w:ascii="Arial" w:cs="Arial" w:eastAsia="Arial" w:hAnsi="Arial"/>
                <w:sz w:val="17"/>
                <w:szCs w:val="17"/>
                <w:color w:val="auto"/>
              </w:rPr>
              <w:t>158,369</w:t>
            </w: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33,757</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192,126</w:t>
            </w:r>
          </w:p>
        </w:tc>
        <w:tc>
          <w:tcPr>
            <w:tcW w:w="1540" w:type="dxa"/>
            <w:vAlign w:val="bottom"/>
          </w:tcPr>
          <w:p>
            <w:pPr>
              <w:spacing w:after="0"/>
              <w:rPr>
                <w:sz w:val="22"/>
                <w:szCs w:val="22"/>
                <w:color w:val="auto"/>
              </w:rPr>
            </w:pPr>
          </w:p>
        </w:tc>
      </w:tr>
      <w:tr>
        <w:trPr>
          <w:trHeight w:val="574"/>
        </w:trPr>
        <w:tc>
          <w:tcPr>
            <w:tcW w:w="15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60" w:type="dxa"/>
            <w:vAlign w:val="bottom"/>
          </w:tcPr>
          <w:p>
            <w:pPr>
              <w:jc w:val="right"/>
              <w:ind w:right="215"/>
              <w:spacing w:after="0"/>
              <w:rPr>
                <w:sz w:val="20"/>
                <w:szCs w:val="20"/>
                <w:color w:val="auto"/>
              </w:rPr>
            </w:pPr>
            <w:r>
              <w:rPr>
                <w:rFonts w:ascii="Arial" w:cs="Arial" w:eastAsia="Arial" w:hAnsi="Arial"/>
                <w:sz w:val="17"/>
                <w:szCs w:val="17"/>
                <w:color w:val="auto"/>
              </w:rPr>
              <w:t>30</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78"/>
        </w:trPr>
        <w:tc>
          <w:tcPr>
            <w:tcW w:w="15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-2038350</wp:posOffset>
            </wp:positionV>
            <wp:extent cx="1301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-2038350</wp:posOffset>
            </wp:positionV>
            <wp:extent cx="1301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4044950</wp:posOffset>
            </wp:positionH>
            <wp:positionV relativeFrom="paragraph">
              <wp:posOffset>-2038350</wp:posOffset>
            </wp:positionV>
            <wp:extent cx="1301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-2038350</wp:posOffset>
            </wp:positionV>
            <wp:extent cx="1301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160"/>
          </w:cols>
          <w:pgMar w:left="860" w:top="132" w:right="879" w:bottom="1440" w:gutter="0" w:footer="0" w:header="0"/>
        </w:sectPr>
      </w:pPr>
    </w:p>
    <w:bookmarkStart w:id="41" w:name="page42"/>
    <w:bookmarkEnd w:id="41"/>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495935</wp:posOffset>
            </wp:positionV>
            <wp:extent cx="11696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540" w:right="659" w:hanging="344"/>
        <w:spacing w:after="0" w:line="263" w:lineRule="auto"/>
        <w:tabs>
          <w:tab w:leader="none" w:pos="1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Amounts shown in this column are expressed in U.S. dollars. Amounts for 2021 paid in pounds sterling have been converted to U.S. dollars based on the exchange rate ($1.353583 to 1 pound sterling) as of December 31, 2021.</w:t>
      </w:r>
    </w:p>
    <w:p>
      <w:pPr>
        <w:spacing w:after="0" w:line="60" w:lineRule="exact"/>
        <w:rPr>
          <w:rFonts w:ascii="Arial" w:cs="Arial" w:eastAsia="Arial" w:hAnsi="Arial"/>
          <w:sz w:val="17"/>
          <w:szCs w:val="17"/>
          <w:color w:val="auto"/>
        </w:rPr>
      </w:pPr>
    </w:p>
    <w:p>
      <w:pPr>
        <w:ind w:left="1540" w:right="699" w:hanging="344"/>
        <w:spacing w:after="0" w:line="257" w:lineRule="auto"/>
        <w:tabs>
          <w:tab w:leader="none" w:pos="1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Amounts reflect the full grant-date fair value of stock awards and option awards granted during 2021 computed in accordance with ASC Topic 718, rather than the amounts paid to or realized by the named individual. For a description of the assumptions used in valuing these awards, see Note 12 to our audited consolidated financial statements included in our Annual Report on Form 10-K for the fiscal year ended December 31, 2021.</w:t>
      </w:r>
    </w:p>
    <w:p>
      <w:pPr>
        <w:spacing w:after="0" w:line="105" w:lineRule="exact"/>
        <w:rPr>
          <w:sz w:val="20"/>
          <w:szCs w:val="20"/>
          <w:color w:val="auto"/>
        </w:rPr>
      </w:pPr>
    </w:p>
    <w:p>
      <w:pPr>
        <w:ind w:left="1200" w:right="639" w:firstLine="341"/>
        <w:spacing w:after="0" w:line="259" w:lineRule="auto"/>
        <w:rPr>
          <w:sz w:val="20"/>
          <w:szCs w:val="20"/>
          <w:color w:val="auto"/>
        </w:rPr>
      </w:pPr>
      <w:r>
        <w:rPr>
          <w:rFonts w:ascii="Arial" w:cs="Arial" w:eastAsia="Arial" w:hAnsi="Arial"/>
          <w:sz w:val="17"/>
          <w:szCs w:val="17"/>
          <w:color w:val="auto"/>
        </w:rPr>
        <w:t>The table below shows the aggregate numbers of option awards (exercisable and unexercisable) and unvested stock awards held as of December 31, 2021 by each non-employee director. Awards cover ordinary shares and/or ADSs; however, amounts shown below are expressed in terms of the number of ADSs that are covered by each such award.</w:t>
      </w:r>
    </w:p>
    <w:p>
      <w:pPr>
        <w:spacing w:after="0" w:line="138"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2"/>
              </w:rPr>
              <w:t>Unvested</w:t>
            </w:r>
          </w:p>
        </w:tc>
      </w:tr>
      <w:tr>
        <w:trPr>
          <w:trHeight w:val="153"/>
        </w:trPr>
        <w:tc>
          <w:tcPr>
            <w:tcW w:w="5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4"/>
              </w:rPr>
              <w:t>Option</w:t>
            </w: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78"/>
              </w:rPr>
              <w:t>Stock</w:t>
            </w:r>
          </w:p>
        </w:tc>
      </w:tr>
      <w:tr>
        <w:trPr>
          <w:trHeight w:val="153"/>
        </w:trPr>
        <w:tc>
          <w:tcPr>
            <w:tcW w:w="5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2"/>
              </w:rPr>
              <w:t>Awards</w:t>
            </w: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2"/>
              </w:rPr>
              <w:t>Awards</w:t>
            </w:r>
          </w:p>
        </w:tc>
      </w:tr>
      <w:tr>
        <w:trPr>
          <w:trHeight w:val="153"/>
        </w:trPr>
        <w:tc>
          <w:tcPr>
            <w:tcW w:w="5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4"/>
              </w:rPr>
              <w:t>Outstanding</w:t>
            </w: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4"/>
              </w:rPr>
              <w:t>Outstanding</w:t>
            </w:r>
          </w:p>
        </w:tc>
      </w:tr>
      <w:tr>
        <w:trPr>
          <w:trHeight w:val="153"/>
        </w:trPr>
        <w:tc>
          <w:tcPr>
            <w:tcW w:w="5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3"/>
              </w:rPr>
              <w:t>at 2021 Fiscal</w:t>
            </w: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3"/>
              </w:rPr>
              <w:t>at 2021 Fiscal</w:t>
            </w:r>
          </w:p>
        </w:tc>
      </w:tr>
      <w:tr>
        <w:trPr>
          <w:trHeight w:val="175"/>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Year End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w:t>
            </w:r>
          </w:p>
        </w:tc>
      </w:tr>
      <w:tr>
        <w:trPr>
          <w:trHeight w:val="24"/>
        </w:trPr>
        <w:tc>
          <w:tcPr>
            <w:tcW w:w="5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6"/>
        </w:trPr>
        <w:tc>
          <w:tcPr>
            <w:tcW w:w="5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Ken Cunningham</w:t>
            </w: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8,000</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7"/>
                <w:szCs w:val="17"/>
                <w:color w:val="auto"/>
              </w:rPr>
              <w:t>—</w:t>
            </w:r>
          </w:p>
        </w:tc>
      </w:tr>
      <w:tr>
        <w:trPr>
          <w:trHeight w:val="242"/>
        </w:trPr>
        <w:tc>
          <w:tcPr>
            <w:tcW w:w="5280" w:type="dxa"/>
            <w:vAlign w:val="bottom"/>
            <w:gridSpan w:val="2"/>
          </w:tcPr>
          <w:p>
            <w:pPr>
              <w:spacing w:after="0"/>
              <w:rPr>
                <w:sz w:val="20"/>
                <w:szCs w:val="20"/>
                <w:color w:val="auto"/>
              </w:rPr>
            </w:pPr>
            <w:r>
              <w:rPr>
                <w:rFonts w:ascii="Arial" w:cs="Arial" w:eastAsia="Arial" w:hAnsi="Arial"/>
                <w:sz w:val="17"/>
                <w:szCs w:val="17"/>
                <w:color w:val="auto"/>
              </w:rPr>
              <w:t>Lisa Deschamps</w:t>
            </w:r>
          </w:p>
        </w:tc>
        <w:tc>
          <w:tcPr>
            <w:tcW w:w="800" w:type="dxa"/>
            <w:vAlign w:val="bottom"/>
          </w:tcPr>
          <w:p>
            <w:pPr>
              <w:jc w:val="right"/>
              <w:ind w:right="81"/>
              <w:spacing w:after="0"/>
              <w:rPr>
                <w:sz w:val="20"/>
                <w:szCs w:val="20"/>
                <w:color w:val="auto"/>
              </w:rPr>
            </w:pPr>
            <w:r>
              <w:rPr>
                <w:rFonts w:ascii="Arial" w:cs="Arial" w:eastAsia="Arial" w:hAnsi="Arial"/>
                <w:sz w:val="17"/>
                <w:szCs w:val="17"/>
                <w:color w:val="auto"/>
              </w:rPr>
              <w:t>8,000</w:t>
            </w:r>
          </w:p>
        </w:tc>
        <w:tc>
          <w:tcPr>
            <w:tcW w:w="200" w:type="dxa"/>
            <w:vAlign w:val="bottom"/>
          </w:tcPr>
          <w:p>
            <w:pPr>
              <w:spacing w:after="0"/>
              <w:rPr>
                <w:sz w:val="21"/>
                <w:szCs w:val="21"/>
                <w:color w:val="auto"/>
              </w:rPr>
            </w:pPr>
          </w:p>
        </w:tc>
        <w:tc>
          <w:tcPr>
            <w:tcW w:w="800" w:type="dxa"/>
            <w:vAlign w:val="bottom"/>
          </w:tcPr>
          <w:p>
            <w:pPr>
              <w:jc w:val="right"/>
              <w:ind w:right="122"/>
              <w:spacing w:after="0"/>
              <w:rPr>
                <w:sz w:val="20"/>
                <w:szCs w:val="20"/>
                <w:color w:val="auto"/>
              </w:rPr>
            </w:pPr>
            <w:r>
              <w:rPr>
                <w:rFonts w:ascii="Arial" w:cs="Arial" w:eastAsia="Arial" w:hAnsi="Arial"/>
                <w:sz w:val="17"/>
                <w:szCs w:val="17"/>
                <w:color w:val="auto"/>
              </w:rPr>
              <w:t>3,625</w:t>
            </w:r>
          </w:p>
        </w:tc>
      </w:tr>
      <w:tr>
        <w:trPr>
          <w:trHeight w:val="244"/>
        </w:trPr>
        <w:tc>
          <w:tcPr>
            <w:tcW w:w="5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Rishi Gupta</w:t>
            </w: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31,200</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7"/>
                <w:szCs w:val="17"/>
                <w:color w:val="auto"/>
              </w:rPr>
              <w:t>—</w:t>
            </w:r>
          </w:p>
        </w:tc>
      </w:tr>
      <w:tr>
        <w:trPr>
          <w:trHeight w:val="242"/>
        </w:trPr>
        <w:tc>
          <w:tcPr>
            <w:tcW w:w="5280" w:type="dxa"/>
            <w:vAlign w:val="bottom"/>
            <w:gridSpan w:val="2"/>
          </w:tcPr>
          <w:p>
            <w:pPr>
              <w:spacing w:after="0"/>
              <w:rPr>
                <w:sz w:val="20"/>
                <w:szCs w:val="20"/>
                <w:color w:val="auto"/>
              </w:rPr>
            </w:pPr>
            <w:r>
              <w:rPr>
                <w:rFonts w:ascii="Arial" w:cs="Arial" w:eastAsia="Arial" w:hAnsi="Arial"/>
                <w:sz w:val="17"/>
                <w:szCs w:val="17"/>
                <w:color w:val="auto"/>
              </w:rPr>
              <w:t>Mahendra Shah</w:t>
            </w:r>
          </w:p>
        </w:tc>
        <w:tc>
          <w:tcPr>
            <w:tcW w:w="800" w:type="dxa"/>
            <w:vAlign w:val="bottom"/>
          </w:tcPr>
          <w:p>
            <w:pPr>
              <w:jc w:val="right"/>
              <w:ind w:right="81"/>
              <w:spacing w:after="0"/>
              <w:rPr>
                <w:sz w:val="20"/>
                <w:szCs w:val="20"/>
                <w:color w:val="auto"/>
              </w:rPr>
            </w:pPr>
            <w:r>
              <w:rPr>
                <w:rFonts w:ascii="Arial" w:cs="Arial" w:eastAsia="Arial" w:hAnsi="Arial"/>
                <w:sz w:val="17"/>
                <w:szCs w:val="17"/>
                <w:color w:val="auto"/>
              </w:rPr>
              <w:t>8,000</w:t>
            </w:r>
          </w:p>
        </w:tc>
        <w:tc>
          <w:tcPr>
            <w:tcW w:w="200" w:type="dxa"/>
            <w:vAlign w:val="bottom"/>
          </w:tcPr>
          <w:p>
            <w:pPr>
              <w:spacing w:after="0"/>
              <w:rPr>
                <w:sz w:val="21"/>
                <w:szCs w:val="21"/>
                <w:color w:val="auto"/>
              </w:rPr>
            </w:pPr>
          </w:p>
        </w:tc>
        <w:tc>
          <w:tcPr>
            <w:tcW w:w="800" w:type="dxa"/>
            <w:vAlign w:val="bottom"/>
          </w:tcPr>
          <w:p>
            <w:pPr>
              <w:jc w:val="right"/>
              <w:ind w:right="122"/>
              <w:spacing w:after="0"/>
              <w:rPr>
                <w:sz w:val="20"/>
                <w:szCs w:val="20"/>
                <w:color w:val="auto"/>
              </w:rPr>
            </w:pPr>
            <w:r>
              <w:rPr>
                <w:rFonts w:ascii="Arial" w:cs="Arial" w:eastAsia="Arial" w:hAnsi="Arial"/>
                <w:sz w:val="17"/>
                <w:szCs w:val="17"/>
                <w:color w:val="auto"/>
              </w:rPr>
              <w:t>—</w:t>
            </w:r>
          </w:p>
        </w:tc>
      </w:tr>
      <w:tr>
        <w:trPr>
          <w:trHeight w:val="256"/>
        </w:trPr>
        <w:tc>
          <w:tcPr>
            <w:tcW w:w="5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Andrew Sinclair</w:t>
            </w: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31,200</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7"/>
                <w:szCs w:val="17"/>
                <w:color w:val="auto"/>
              </w:rPr>
              <w:t>—</w:t>
            </w:r>
          </w:p>
        </w:tc>
      </w:tr>
      <w:tr>
        <w:trPr>
          <w:trHeight w:val="255"/>
        </w:trPr>
        <w:tc>
          <w:tcPr>
            <w:tcW w:w="5280" w:type="dxa"/>
            <w:vAlign w:val="bottom"/>
            <w:gridSpan w:val="2"/>
          </w:tcPr>
          <w:p>
            <w:pPr>
              <w:spacing w:after="0"/>
              <w:rPr>
                <w:sz w:val="20"/>
                <w:szCs w:val="20"/>
                <w:color w:val="auto"/>
              </w:rPr>
            </w:pPr>
            <w:r>
              <w:rPr>
                <w:rFonts w:ascii="Arial" w:cs="Arial" w:eastAsia="Arial" w:hAnsi="Arial"/>
                <w:sz w:val="17"/>
                <w:szCs w:val="17"/>
                <w:color w:val="auto"/>
              </w:rPr>
              <w:t>Vikas Sinha</w:t>
            </w:r>
          </w:p>
        </w:tc>
        <w:tc>
          <w:tcPr>
            <w:tcW w:w="800" w:type="dxa"/>
            <w:vAlign w:val="bottom"/>
          </w:tcPr>
          <w:p>
            <w:pPr>
              <w:jc w:val="right"/>
              <w:ind w:right="81"/>
              <w:spacing w:after="0"/>
              <w:rPr>
                <w:sz w:val="20"/>
                <w:szCs w:val="20"/>
                <w:color w:val="auto"/>
              </w:rPr>
            </w:pPr>
            <w:r>
              <w:rPr>
                <w:rFonts w:ascii="Arial" w:cs="Arial" w:eastAsia="Arial" w:hAnsi="Arial"/>
                <w:sz w:val="17"/>
                <w:szCs w:val="17"/>
                <w:color w:val="auto"/>
              </w:rPr>
              <w:t>23,048</w:t>
            </w:r>
          </w:p>
        </w:tc>
        <w:tc>
          <w:tcPr>
            <w:tcW w:w="200" w:type="dxa"/>
            <w:vAlign w:val="bottom"/>
          </w:tcPr>
          <w:p>
            <w:pPr>
              <w:spacing w:after="0"/>
              <w:rPr>
                <w:sz w:val="22"/>
                <w:szCs w:val="22"/>
                <w:color w:val="auto"/>
              </w:rPr>
            </w:pPr>
          </w:p>
        </w:tc>
        <w:tc>
          <w:tcPr>
            <w:tcW w:w="800" w:type="dxa"/>
            <w:vAlign w:val="bottom"/>
          </w:tcPr>
          <w:p>
            <w:pPr>
              <w:jc w:val="right"/>
              <w:ind w:right="122"/>
              <w:spacing w:after="0"/>
              <w:rPr>
                <w:sz w:val="20"/>
                <w:szCs w:val="20"/>
                <w:color w:val="auto"/>
              </w:rPr>
            </w:pPr>
            <w:r>
              <w:rPr>
                <w:rFonts w:ascii="Arial" w:cs="Arial" w:eastAsia="Arial" w:hAnsi="Arial"/>
                <w:sz w:val="17"/>
                <w:szCs w:val="17"/>
                <w:color w:val="auto"/>
              </w:rPr>
              <w:t>—</w:t>
            </w:r>
          </w:p>
        </w:tc>
      </w:tr>
      <w:tr>
        <w:trPr>
          <w:trHeight w:val="256"/>
        </w:trPr>
        <w:tc>
          <w:tcPr>
            <w:tcW w:w="5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Anders Ullman</w:t>
            </w: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8,000</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7"/>
                <w:szCs w:val="17"/>
                <w:color w:val="auto"/>
              </w:rPr>
              <w:t>—</w:t>
            </w:r>
          </w:p>
        </w:tc>
      </w:tr>
      <w:tr>
        <w:trPr>
          <w:trHeight w:val="255"/>
        </w:trPr>
        <w:tc>
          <w:tcPr>
            <w:tcW w:w="5280" w:type="dxa"/>
            <w:vAlign w:val="bottom"/>
            <w:gridSpan w:val="2"/>
          </w:tcPr>
          <w:p>
            <w:pPr>
              <w:spacing w:after="0"/>
              <w:rPr>
                <w:sz w:val="20"/>
                <w:szCs w:val="20"/>
                <w:color w:val="auto"/>
              </w:rPr>
            </w:pPr>
            <w:r>
              <w:rPr>
                <w:rFonts w:ascii="Arial" w:cs="Arial" w:eastAsia="Arial" w:hAnsi="Arial"/>
                <w:sz w:val="17"/>
                <w:szCs w:val="17"/>
                <w:color w:val="auto"/>
              </w:rPr>
              <w:t>Martin Edwards</w:t>
            </w:r>
          </w:p>
        </w:tc>
        <w:tc>
          <w:tcPr>
            <w:tcW w:w="800" w:type="dxa"/>
            <w:vAlign w:val="bottom"/>
          </w:tcPr>
          <w:p>
            <w:pPr>
              <w:jc w:val="right"/>
              <w:ind w:right="81"/>
              <w:spacing w:after="0"/>
              <w:rPr>
                <w:sz w:val="20"/>
                <w:szCs w:val="20"/>
                <w:color w:val="auto"/>
              </w:rPr>
            </w:pPr>
            <w:r>
              <w:rPr>
                <w:rFonts w:ascii="Arial" w:cs="Arial" w:eastAsia="Arial" w:hAnsi="Arial"/>
                <w:sz w:val="17"/>
                <w:szCs w:val="17"/>
                <w:color w:val="auto"/>
              </w:rPr>
              <w:t>8,000</w:t>
            </w:r>
          </w:p>
        </w:tc>
        <w:tc>
          <w:tcPr>
            <w:tcW w:w="200" w:type="dxa"/>
            <w:vAlign w:val="bottom"/>
          </w:tcPr>
          <w:p>
            <w:pPr>
              <w:spacing w:after="0"/>
              <w:rPr>
                <w:sz w:val="22"/>
                <w:szCs w:val="22"/>
                <w:color w:val="auto"/>
              </w:rPr>
            </w:pPr>
          </w:p>
        </w:tc>
        <w:tc>
          <w:tcPr>
            <w:tcW w:w="800" w:type="dxa"/>
            <w:vAlign w:val="bottom"/>
          </w:tcPr>
          <w:p>
            <w:pPr>
              <w:jc w:val="right"/>
              <w:ind w:right="122"/>
              <w:spacing w:after="0"/>
              <w:rPr>
                <w:sz w:val="20"/>
                <w:szCs w:val="20"/>
                <w:color w:val="auto"/>
              </w:rPr>
            </w:pPr>
            <w:r>
              <w:rPr>
                <w:rFonts w:ascii="Arial" w:cs="Arial" w:eastAsia="Arial" w:hAnsi="Arial"/>
                <w:sz w:val="17"/>
                <w:szCs w:val="17"/>
                <w:color w:val="auto"/>
              </w:rPr>
              <w:t>—</w:t>
            </w:r>
          </w:p>
        </w:tc>
      </w:tr>
      <w:tr>
        <w:trPr>
          <w:trHeight w:val="256"/>
        </w:trPr>
        <w:tc>
          <w:tcPr>
            <w:tcW w:w="5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David Ebsworth</w:t>
            </w: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8,000</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-1437005</wp:posOffset>
            </wp:positionV>
            <wp:extent cx="1301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-1437005</wp:posOffset>
            </wp:positionV>
            <wp:extent cx="1301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12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SECURITIES AUTHORIZED FOR ISSUANCE UNDER EQUITY COMPENSATION PLANS</w:t>
      </w:r>
    </w:p>
    <w:p>
      <w:pPr>
        <w:spacing w:after="0" w:line="137" w:lineRule="exact"/>
        <w:rPr>
          <w:sz w:val="20"/>
          <w:szCs w:val="20"/>
          <w:color w:val="auto"/>
        </w:rPr>
      </w:pPr>
    </w:p>
    <w:p>
      <w:pPr>
        <w:ind w:left="1200" w:right="679" w:firstLine="341"/>
        <w:spacing w:after="0" w:line="257" w:lineRule="auto"/>
        <w:rPr>
          <w:sz w:val="20"/>
          <w:szCs w:val="20"/>
          <w:color w:val="auto"/>
        </w:rPr>
      </w:pPr>
      <w:r>
        <w:rPr>
          <w:rFonts w:ascii="Arial" w:cs="Arial" w:eastAsia="Arial" w:hAnsi="Arial"/>
          <w:sz w:val="17"/>
          <w:szCs w:val="17"/>
          <w:color w:val="auto"/>
        </w:rPr>
        <w:t>The following table sets forth information as of December 31, 2021 regarding ordinary shares that may be issued under our equity compensation plans, consisting of the Verona Pharma plc EMI Option Scheme (the “EMI Plan”), the Verona Pharma plc Unapproved Share Option Scheme (the “Pre-IPO Plan”) and the Verona Pharma plc 2017 Incentive Award Plan (the “2017 Plan”). We do not have any non-shareholder approved equity compensation plans.</w:t>
      </w:r>
    </w:p>
    <w:p>
      <w:pPr>
        <w:spacing w:after="0" w:line="140"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Ordinary</w:t>
            </w:r>
          </w:p>
        </w:tc>
        <w:tc>
          <w:tcPr>
            <w:tcW w:w="0" w:type="dxa"/>
            <w:vAlign w:val="bottom"/>
          </w:tcPr>
          <w:p>
            <w:pPr>
              <w:spacing w:after="0"/>
              <w:rPr>
                <w:sz w:val="1"/>
                <w:szCs w:val="1"/>
                <w:color w:val="auto"/>
              </w:rPr>
            </w:pPr>
          </w:p>
        </w:tc>
      </w:tr>
      <w:tr>
        <w:trPr>
          <w:trHeight w:val="153"/>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3"/>
                <w:szCs w:val="13"/>
                <w:color w:val="auto"/>
              </w:rPr>
            </w:pP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53"/>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7"/>
              </w:rPr>
              <w:t>Number of Ordinary</w:t>
            </w: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3"/>
                <w:szCs w:val="13"/>
                <w:color w:val="auto"/>
              </w:rPr>
            </w:pP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4"/>
              </w:rPr>
              <w:t>Remaining Available</w:t>
            </w:r>
          </w:p>
        </w:tc>
        <w:tc>
          <w:tcPr>
            <w:tcW w:w="0" w:type="dxa"/>
            <w:vAlign w:val="bottom"/>
          </w:tcPr>
          <w:p>
            <w:pPr>
              <w:spacing w:after="0"/>
              <w:rPr>
                <w:sz w:val="1"/>
                <w:szCs w:val="1"/>
                <w:color w:val="auto"/>
              </w:rPr>
            </w:pPr>
          </w:p>
        </w:tc>
      </w:tr>
      <w:tr>
        <w:trPr>
          <w:trHeight w:val="153"/>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0"/>
              </w:rPr>
              <w:t>Shares to be</w:t>
            </w: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3"/>
              </w:rPr>
              <w:t>Exercise Price of</w:t>
            </w:r>
          </w:p>
        </w:tc>
        <w:tc>
          <w:tcPr>
            <w:tcW w:w="1720" w:type="dxa"/>
            <w:vAlign w:val="bottom"/>
            <w:gridSpan w:val="2"/>
          </w:tcPr>
          <w:p>
            <w:pPr>
              <w:jc w:val="center"/>
              <w:ind w:left="80"/>
              <w:spacing w:after="0" w:line="153" w:lineRule="exact"/>
              <w:rPr>
                <w:sz w:val="20"/>
                <w:szCs w:val="20"/>
                <w:color w:val="auto"/>
              </w:rPr>
            </w:pPr>
            <w:r>
              <w:rPr>
                <w:rFonts w:ascii="Arial" w:cs="Arial" w:eastAsia="Arial" w:hAnsi="Arial"/>
                <w:sz w:val="14"/>
                <w:szCs w:val="14"/>
                <w:b w:val="1"/>
                <w:bCs w:val="1"/>
                <w:color w:val="auto"/>
                <w:w w:val="84"/>
              </w:rPr>
              <w:t>for Future Issuance Under</w:t>
            </w:r>
          </w:p>
        </w:tc>
        <w:tc>
          <w:tcPr>
            <w:tcW w:w="0" w:type="dxa"/>
            <w:vAlign w:val="bottom"/>
          </w:tcPr>
          <w:p>
            <w:pPr>
              <w:spacing w:after="0"/>
              <w:rPr>
                <w:sz w:val="1"/>
                <w:szCs w:val="1"/>
                <w:color w:val="auto"/>
              </w:rPr>
            </w:pPr>
          </w:p>
        </w:tc>
      </w:tr>
      <w:tr>
        <w:trPr>
          <w:trHeight w:val="153"/>
        </w:trPr>
        <w:tc>
          <w:tcPr>
            <w:tcW w:w="3440" w:type="dxa"/>
            <w:vAlign w:val="bottom"/>
          </w:tcPr>
          <w:p>
            <w:pPr>
              <w:spacing w:after="0"/>
              <w:rPr>
                <w:sz w:val="13"/>
                <w:szCs w:val="13"/>
                <w:color w:val="auto"/>
              </w:rPr>
            </w:pPr>
          </w:p>
        </w:tc>
        <w:tc>
          <w:tcPr>
            <w:tcW w:w="1640" w:type="dxa"/>
            <w:vAlign w:val="bottom"/>
            <w:gridSpan w:val="3"/>
          </w:tcPr>
          <w:p>
            <w:pPr>
              <w:jc w:val="center"/>
              <w:ind w:right="40"/>
              <w:spacing w:after="0" w:line="153" w:lineRule="exact"/>
              <w:rPr>
                <w:sz w:val="20"/>
                <w:szCs w:val="20"/>
                <w:color w:val="auto"/>
              </w:rPr>
            </w:pPr>
            <w:r>
              <w:rPr>
                <w:rFonts w:ascii="Arial" w:cs="Arial" w:eastAsia="Arial" w:hAnsi="Arial"/>
                <w:sz w:val="14"/>
                <w:szCs w:val="14"/>
                <w:b w:val="1"/>
                <w:bCs w:val="1"/>
                <w:color w:val="auto"/>
                <w:w w:val="82"/>
              </w:rPr>
              <w:t>Issued Upon Exercise</w:t>
            </w: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4"/>
              </w:rPr>
              <w:t>Outstanding</w:t>
            </w:r>
          </w:p>
        </w:tc>
        <w:tc>
          <w:tcPr>
            <w:tcW w:w="200" w:type="dxa"/>
            <w:vAlign w:val="bottom"/>
          </w:tcPr>
          <w:p>
            <w:pPr>
              <w:spacing w:after="0"/>
              <w:rPr>
                <w:sz w:val="13"/>
                <w:szCs w:val="13"/>
                <w:color w:val="auto"/>
              </w:rPr>
            </w:pP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53"/>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4"/>
              </w:rPr>
              <w:t>of Outstanding</w:t>
            </w: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4"/>
              </w:rPr>
              <w:t>Options,</w:t>
            </w:r>
          </w:p>
        </w:tc>
        <w:tc>
          <w:tcPr>
            <w:tcW w:w="200" w:type="dxa"/>
            <w:vAlign w:val="bottom"/>
          </w:tcPr>
          <w:p>
            <w:pPr>
              <w:spacing w:after="0"/>
              <w:rPr>
                <w:sz w:val="13"/>
                <w:szCs w:val="13"/>
                <w:color w:val="auto"/>
              </w:rPr>
            </w:pP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3"/>
              </w:rPr>
              <w:t>Plans (Excluding</w:t>
            </w:r>
          </w:p>
        </w:tc>
        <w:tc>
          <w:tcPr>
            <w:tcW w:w="0" w:type="dxa"/>
            <w:vAlign w:val="bottom"/>
          </w:tcPr>
          <w:p>
            <w:pPr>
              <w:spacing w:after="0"/>
              <w:rPr>
                <w:sz w:val="1"/>
                <w:szCs w:val="1"/>
                <w:color w:val="auto"/>
              </w:rPr>
            </w:pPr>
          </w:p>
        </w:tc>
      </w:tr>
      <w:tr>
        <w:trPr>
          <w:trHeight w:val="153"/>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5"/>
              </w:rPr>
              <w:t>Options, Warrants</w:t>
            </w: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Warrants and</w:t>
            </w:r>
          </w:p>
        </w:tc>
        <w:tc>
          <w:tcPr>
            <w:tcW w:w="200" w:type="dxa"/>
            <w:vAlign w:val="bottom"/>
          </w:tcPr>
          <w:p>
            <w:pPr>
              <w:spacing w:after="0"/>
              <w:rPr>
                <w:sz w:val="13"/>
                <w:szCs w:val="13"/>
                <w:color w:val="auto"/>
              </w:rPr>
            </w:pP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2"/>
              </w:rPr>
              <w:t>Securities Reflected in</w:t>
            </w:r>
          </w:p>
        </w:tc>
        <w:tc>
          <w:tcPr>
            <w:tcW w:w="0" w:type="dxa"/>
            <w:vAlign w:val="bottom"/>
          </w:tcPr>
          <w:p>
            <w:pPr>
              <w:spacing w:after="0"/>
              <w:rPr>
                <w:sz w:val="1"/>
                <w:szCs w:val="1"/>
                <w:color w:val="auto"/>
              </w:rPr>
            </w:pPr>
          </w:p>
        </w:tc>
      </w:tr>
      <w:tr>
        <w:trPr>
          <w:trHeight w:val="175"/>
        </w:trPr>
        <w:tc>
          <w:tcPr>
            <w:tcW w:w="344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20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and Rights (a)</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2"/>
              </w:rPr>
              <w:t>Rights (b)</w:t>
            </w: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4"/>
              </w:rPr>
              <w:t>Column (a)) (c)</w:t>
            </w:r>
          </w:p>
        </w:tc>
        <w:tc>
          <w:tcPr>
            <w:tcW w:w="0" w:type="dxa"/>
            <w:vAlign w:val="bottom"/>
          </w:tcPr>
          <w:p>
            <w:pPr>
              <w:spacing w:after="0"/>
              <w:rPr>
                <w:sz w:val="1"/>
                <w:szCs w:val="1"/>
                <w:color w:val="auto"/>
              </w:rPr>
            </w:pPr>
          </w:p>
        </w:tc>
      </w:tr>
      <w:tr>
        <w:trPr>
          <w:trHeight w:val="24"/>
        </w:trPr>
        <w:tc>
          <w:tcPr>
            <w:tcW w:w="3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Equity compensation plans approved by</w:t>
            </w:r>
          </w:p>
        </w:tc>
        <w:tc>
          <w:tcPr>
            <w:tcW w:w="1440" w:type="dxa"/>
            <w:vAlign w:val="bottom"/>
            <w:gridSpan w:val="2"/>
            <w:vMerge w:val="restart"/>
            <w:shd w:val="clear" w:color="auto" w:fill="CCEEFF"/>
          </w:tcPr>
          <w:p>
            <w:pPr>
              <w:jc w:val="right"/>
              <w:ind w:right="49"/>
              <w:spacing w:after="0"/>
              <w:rPr>
                <w:sz w:val="20"/>
                <w:szCs w:val="20"/>
                <w:color w:val="auto"/>
              </w:rPr>
            </w:pPr>
            <w:r>
              <w:rPr>
                <w:rFonts w:ascii="Arial" w:cs="Arial" w:eastAsia="Arial" w:hAnsi="Arial"/>
                <w:sz w:val="17"/>
                <w:szCs w:val="17"/>
                <w:color w:val="auto"/>
              </w:rPr>
              <w:t>51,042,552</w:t>
            </w:r>
            <w:r>
              <w:rPr>
                <w:rFonts w:ascii="Arial" w:cs="Arial" w:eastAsia="Arial" w:hAnsi="Arial"/>
                <w:sz w:val="22"/>
                <w:szCs w:val="22"/>
                <w:color w:val="auto"/>
                <w:vertAlign w:val="superscript"/>
              </w:rPr>
              <w:t>(1)</w:t>
            </w:r>
          </w:p>
        </w:tc>
        <w:tc>
          <w:tcPr>
            <w:tcW w:w="2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87"/>
              <w:spacing w:after="0"/>
              <w:rPr>
                <w:sz w:val="20"/>
                <w:szCs w:val="20"/>
                <w:color w:val="auto"/>
              </w:rPr>
            </w:pPr>
            <w:r>
              <w:rPr>
                <w:rFonts w:ascii="Arial" w:cs="Arial" w:eastAsia="Arial" w:hAnsi="Arial"/>
                <w:sz w:val="17"/>
                <w:szCs w:val="17"/>
                <w:color w:val="auto"/>
              </w:rPr>
              <w:t>$1.53</w:t>
            </w:r>
            <w:r>
              <w:rPr>
                <w:rFonts w:ascii="Arial" w:cs="Arial" w:eastAsia="Arial" w:hAnsi="Arial"/>
                <w:sz w:val="22"/>
                <w:szCs w:val="22"/>
                <w:color w:val="auto"/>
                <w:vertAlign w:val="superscript"/>
              </w:rPr>
              <w:t>(2)</w:t>
            </w:r>
          </w:p>
        </w:tc>
        <w:tc>
          <w:tcPr>
            <w:tcW w:w="1720" w:type="dxa"/>
            <w:vAlign w:val="bottom"/>
            <w:gridSpan w:val="2"/>
            <w:vMerge w:val="restart"/>
            <w:shd w:val="clear" w:color="auto" w:fill="CCEEFF"/>
          </w:tcPr>
          <w:p>
            <w:pPr>
              <w:jc w:val="right"/>
              <w:ind w:right="170"/>
              <w:spacing w:after="0"/>
              <w:rPr>
                <w:sz w:val="20"/>
                <w:szCs w:val="20"/>
                <w:color w:val="auto"/>
              </w:rPr>
            </w:pPr>
            <w:r>
              <w:rPr>
                <w:rFonts w:ascii="Arial" w:cs="Arial" w:eastAsia="Arial" w:hAnsi="Arial"/>
                <w:sz w:val="17"/>
                <w:szCs w:val="17"/>
                <w:color w:val="auto"/>
              </w:rPr>
              <w:t>22,387,225</w:t>
            </w:r>
            <w:r>
              <w:rPr>
                <w:rFonts w:ascii="Arial" w:cs="Arial" w:eastAsia="Arial" w:hAnsi="Arial"/>
                <w:sz w:val="22"/>
                <w:szCs w:val="22"/>
                <w:color w:val="auto"/>
                <w:vertAlign w:val="superscript"/>
              </w:rPr>
              <w:t>(3)</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shareholders</w:t>
            </w:r>
          </w:p>
        </w:tc>
        <w:tc>
          <w:tcPr>
            <w:tcW w:w="14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40" w:type="dxa"/>
            <w:vAlign w:val="bottom"/>
          </w:tcPr>
          <w:p>
            <w:pPr>
              <w:spacing w:after="0"/>
              <w:rPr>
                <w:sz w:val="20"/>
                <w:szCs w:val="20"/>
                <w:color w:val="auto"/>
              </w:rPr>
            </w:pPr>
            <w:r>
              <w:rPr>
                <w:rFonts w:ascii="Arial" w:cs="Arial" w:eastAsia="Arial" w:hAnsi="Arial"/>
                <w:sz w:val="17"/>
                <w:szCs w:val="17"/>
                <w:color w:val="auto"/>
              </w:rPr>
              <w:t>Equity compensation plans not approved by</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160"/>
              <w:spacing w:after="0"/>
              <w:rPr>
                <w:sz w:val="20"/>
                <w:szCs w:val="20"/>
                <w:color w:val="auto"/>
              </w:rPr>
            </w:pPr>
            <w:r>
              <w:rPr>
                <w:rFonts w:ascii="Arial" w:cs="Arial" w:eastAsia="Arial" w:hAnsi="Arial"/>
                <w:sz w:val="17"/>
                <w:szCs w:val="17"/>
                <w:color w:val="auto"/>
              </w:rPr>
              <w:t>shareholders</w:t>
            </w:r>
          </w:p>
        </w:tc>
        <w:tc>
          <w:tcPr>
            <w:tcW w:w="200" w:type="dxa"/>
            <w:vAlign w:val="bottom"/>
          </w:tcPr>
          <w:p>
            <w:pPr>
              <w:spacing w:after="0"/>
              <w:rPr>
                <w:sz w:val="19"/>
                <w:szCs w:val="19"/>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2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520" w:type="dxa"/>
            <w:vAlign w:val="bottom"/>
          </w:tcPr>
          <w:p>
            <w:pPr>
              <w:jc w:val="right"/>
              <w:ind w:right="31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3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440" w:type="dxa"/>
            <w:vAlign w:val="bottom"/>
            <w:gridSpan w:val="2"/>
            <w:shd w:val="clear" w:color="auto" w:fill="CCEEFF"/>
          </w:tcPr>
          <w:p>
            <w:pPr>
              <w:jc w:val="right"/>
              <w:ind w:right="169"/>
              <w:spacing w:after="0"/>
              <w:rPr>
                <w:sz w:val="20"/>
                <w:szCs w:val="20"/>
                <w:color w:val="auto"/>
              </w:rPr>
            </w:pPr>
            <w:r>
              <w:rPr>
                <w:rFonts w:ascii="Arial" w:cs="Arial" w:eastAsia="Arial" w:hAnsi="Arial"/>
                <w:sz w:val="17"/>
                <w:szCs w:val="17"/>
                <w:color w:val="auto"/>
              </w:rPr>
              <w:t>51,042,552</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27"/>
              <w:spacing w:after="0"/>
              <w:rPr>
                <w:sz w:val="20"/>
                <w:szCs w:val="20"/>
                <w:color w:val="auto"/>
              </w:rPr>
            </w:pPr>
            <w:r>
              <w:rPr>
                <w:rFonts w:ascii="Arial" w:cs="Arial" w:eastAsia="Arial" w:hAnsi="Arial"/>
                <w:sz w:val="17"/>
                <w:szCs w:val="17"/>
                <w:color w:val="auto"/>
              </w:rPr>
              <w:t>$1.53</w:t>
            </w:r>
          </w:p>
        </w:tc>
        <w:tc>
          <w:tcPr>
            <w:tcW w:w="1720" w:type="dxa"/>
            <w:vAlign w:val="bottom"/>
            <w:gridSpan w:val="2"/>
            <w:shd w:val="clear" w:color="auto" w:fill="CCEEFF"/>
          </w:tcPr>
          <w:p>
            <w:pPr>
              <w:jc w:val="right"/>
              <w:ind w:right="310"/>
              <w:spacing w:after="0"/>
              <w:rPr>
                <w:sz w:val="20"/>
                <w:szCs w:val="20"/>
                <w:color w:val="auto"/>
              </w:rPr>
            </w:pPr>
            <w:r>
              <w:rPr>
                <w:rFonts w:ascii="Arial" w:cs="Arial" w:eastAsia="Arial" w:hAnsi="Arial"/>
                <w:sz w:val="17"/>
                <w:szCs w:val="17"/>
                <w:color w:val="auto"/>
              </w:rPr>
              <w:t>22,387,225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4613275</wp:posOffset>
            </wp:positionH>
            <wp:positionV relativeFrom="paragraph">
              <wp:posOffset>-721995</wp:posOffset>
            </wp:positionV>
            <wp:extent cx="1301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-721995</wp:posOffset>
            </wp:positionV>
            <wp:extent cx="1301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-721995</wp:posOffset>
            </wp:positionV>
            <wp:extent cx="1301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146050</wp:posOffset>
            </wp:positionV>
            <wp:extent cx="11696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364" w:lineRule="exact"/>
        <w:rPr>
          <w:sz w:val="20"/>
          <w:szCs w:val="20"/>
          <w:color w:val="auto"/>
        </w:rPr>
      </w:pPr>
    </w:p>
    <w:p>
      <w:pPr>
        <w:ind w:left="1540" w:right="1859" w:hanging="344"/>
        <w:spacing w:after="0" w:line="276" w:lineRule="auto"/>
        <w:tabs>
          <w:tab w:leader="none" w:pos="1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Includes 38,347,352 ordinary shares underlying outstanding restricted share units as of December 31, 2021.</w:t>
      </w:r>
    </w:p>
    <w:p>
      <w:pPr>
        <w:spacing w:after="0" w:line="331"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540" w:right="859" w:hanging="344"/>
        <w:spacing w:after="0" w:line="276" w:lineRule="auto"/>
        <w:tabs>
          <w:tab w:leader="none" w:pos="1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Represents the weighted average exercise price of outstanding options. Restricted share units are not taken into account for purposes of determining the weighted average exercise price.</w:t>
      </w:r>
    </w:p>
    <w:p>
      <w:pPr>
        <w:spacing w:after="0" w:line="49" w:lineRule="exact"/>
        <w:rPr>
          <w:rFonts w:ascii="Arial" w:cs="Arial" w:eastAsia="Arial" w:hAnsi="Arial"/>
          <w:sz w:val="17"/>
          <w:szCs w:val="17"/>
          <w:color w:val="auto"/>
        </w:rPr>
      </w:pPr>
    </w:p>
    <w:p>
      <w:pPr>
        <w:ind w:left="1540" w:hanging="344"/>
        <w:spacing w:after="0"/>
        <w:tabs>
          <w:tab w:leader="none" w:pos="1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Under the terms of our 2017 Plan, the number of common shares that may be issued under the</w:t>
      </w:r>
    </w:p>
    <w:p>
      <w:pPr>
        <w:spacing w:after="0" w:line="20" w:lineRule="exact"/>
        <w:rPr>
          <w:rFonts w:ascii="Arial" w:cs="Arial" w:eastAsia="Arial" w:hAnsi="Arial"/>
          <w:sz w:val="17"/>
          <w:szCs w:val="17"/>
          <w:color w:val="auto"/>
        </w:rPr>
      </w:pPr>
    </w:p>
    <w:p>
      <w:pPr>
        <w:ind w:left="1540" w:right="699"/>
        <w:spacing w:after="0" w:line="209" w:lineRule="auto"/>
        <w:rPr>
          <w:rFonts w:ascii="Arial" w:cs="Arial" w:eastAsia="Arial" w:hAnsi="Arial"/>
          <w:sz w:val="17"/>
          <w:szCs w:val="17"/>
          <w:color w:val="auto"/>
        </w:rPr>
      </w:pPr>
      <w:r>
        <w:rPr>
          <w:rFonts w:ascii="Arial" w:cs="Arial" w:eastAsia="Arial" w:hAnsi="Arial"/>
          <w:sz w:val="17"/>
          <w:szCs w:val="17"/>
          <w:color w:val="auto"/>
        </w:rPr>
        <w:t>2017 Plan will automatically increase on January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of each year, from January 1, 2021 continuing through January 1, 2030, by 1.5% of the total number of ordinary shares outstanding on December 31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of the preceding calendar year, or a lesser number of shares as may be determined by the Board of Directors.</w:t>
      </w:r>
    </w:p>
    <w:p>
      <w:pPr>
        <w:spacing w:after="0" w:line="23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Security Ownership of Certain Beneficial Owners and Management</w:t>
      </w:r>
    </w:p>
    <w:p>
      <w:pPr>
        <w:spacing w:after="0" w:line="205" w:lineRule="exact"/>
        <w:rPr>
          <w:sz w:val="20"/>
          <w:szCs w:val="20"/>
          <w:color w:val="auto"/>
        </w:rPr>
      </w:pPr>
    </w:p>
    <w:p>
      <w:pPr>
        <w:jc w:val="both"/>
        <w:ind w:left="1200" w:right="1139" w:firstLine="341"/>
        <w:spacing w:after="0" w:line="308" w:lineRule="auto"/>
        <w:rPr>
          <w:sz w:val="20"/>
          <w:szCs w:val="20"/>
          <w:color w:val="auto"/>
        </w:rPr>
      </w:pPr>
      <w:r>
        <w:rPr>
          <w:rFonts w:ascii="Arial" w:cs="Arial" w:eastAsia="Arial" w:hAnsi="Arial"/>
          <w:sz w:val="16"/>
          <w:szCs w:val="16"/>
          <w:color w:val="auto"/>
        </w:rPr>
        <w:t>The following table sets forth information with respect to the beneficial ownership of our voting ordinary shares (and our ADSs, each of which represents 8 ordinary shares), as of March 1, 2022, by:</w:t>
      </w:r>
    </w:p>
    <w:p>
      <w:pPr>
        <w:spacing w:after="0" w:line="52" w:lineRule="exact"/>
        <w:rPr>
          <w:sz w:val="20"/>
          <w:szCs w:val="20"/>
          <w:color w:val="auto"/>
        </w:rPr>
      </w:pPr>
    </w:p>
    <w:p>
      <w:pPr>
        <w:ind w:left="1700" w:right="639" w:hanging="163"/>
        <w:spacing w:after="0" w:line="276" w:lineRule="auto"/>
        <w:tabs>
          <w:tab w:leader="none" w:pos="1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ordinary shares;</w:t>
      </w:r>
    </w:p>
    <w:p>
      <w:pPr>
        <w:spacing w:after="0" w:line="87" w:lineRule="exact"/>
        <w:rPr>
          <w:rFonts w:ascii="Arial" w:cs="Arial" w:eastAsia="Arial" w:hAnsi="Arial"/>
          <w:sz w:val="17"/>
          <w:szCs w:val="17"/>
          <w:color w:val="auto"/>
        </w:rPr>
      </w:pPr>
    </w:p>
    <w:p>
      <w:pPr>
        <w:ind w:left="1700" w:hanging="163"/>
        <w:spacing w:after="0"/>
        <w:tabs>
          <w:tab w:leader="none" w:pos="1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each of our named executive officers and directors (which includes all nominees); and</w:t>
      </w:r>
    </w:p>
    <w:p>
      <w:pPr>
        <w:spacing w:after="0" w:line="137" w:lineRule="exact"/>
        <w:rPr>
          <w:rFonts w:ascii="Arial" w:cs="Arial" w:eastAsia="Arial" w:hAnsi="Arial"/>
          <w:sz w:val="17"/>
          <w:szCs w:val="17"/>
          <w:color w:val="auto"/>
        </w:rPr>
      </w:pPr>
    </w:p>
    <w:p>
      <w:pPr>
        <w:ind w:left="1700" w:hanging="163"/>
        <w:spacing w:after="0"/>
        <w:tabs>
          <w:tab w:leader="none" w:pos="1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w:t>
      </w:r>
    </w:p>
    <w:p>
      <w:pPr>
        <w:spacing w:after="0" w:line="188" w:lineRule="exact"/>
        <w:rPr>
          <w:sz w:val="20"/>
          <w:szCs w:val="20"/>
          <w:color w:val="auto"/>
        </w:rPr>
      </w:pPr>
    </w:p>
    <w:p>
      <w:pPr>
        <w:ind w:left="1200" w:right="719" w:firstLine="341"/>
        <w:spacing w:after="0" w:line="272" w:lineRule="auto"/>
        <w:rPr>
          <w:sz w:val="20"/>
          <w:szCs w:val="20"/>
          <w:color w:val="auto"/>
        </w:rPr>
      </w:pPr>
      <w:r>
        <w:rPr>
          <w:rFonts w:ascii="Arial" w:cs="Arial" w:eastAsia="Arial" w:hAnsi="Arial"/>
          <w:sz w:val="16"/>
          <w:szCs w:val="16"/>
          <w:color w:val="auto"/>
        </w:rPr>
        <w:t>The number of shares beneficially owned by each shareholder is determined under rules issued by the SEC. Under these rules, beneficial ownership includes any shares over which the individual or entity has sole or shared voting power or investment power. Applicable percentage ownership is based on 482,944,390 voting and non-voting ordinary shares outstanding as of March 1, 2022, including ordinary shares in the form of ADSs. In computing the number of shares beneficially owned by an individual or entity and the percentage ownership of that person, ordinary shares subject to options, restricted share units or other rights held by such person that are currently exercisable or will become exercisable or will vest within 60 days of March 1, 2022 are considered outstanding, although these shares are not considered outstanding for purposes of computing the percentage ownership of any other person.</w:t>
      </w:r>
    </w:p>
    <w:p>
      <w:pPr>
        <w:spacing w:after="0" w:line="157" w:lineRule="exact"/>
        <w:rPr>
          <w:sz w:val="20"/>
          <w:szCs w:val="20"/>
          <w:color w:val="auto"/>
        </w:rPr>
      </w:pPr>
    </w:p>
    <w:p>
      <w:pPr>
        <w:ind w:left="1200" w:right="659" w:firstLine="341"/>
        <w:spacing w:after="0" w:line="259" w:lineRule="auto"/>
        <w:rPr>
          <w:sz w:val="20"/>
          <w:szCs w:val="20"/>
          <w:color w:val="auto"/>
        </w:rPr>
      </w:pPr>
      <w:r>
        <w:rPr>
          <w:rFonts w:ascii="Arial" w:cs="Arial" w:eastAsia="Arial" w:hAnsi="Arial"/>
          <w:sz w:val="17"/>
          <w:szCs w:val="17"/>
          <w:color w:val="auto"/>
        </w:rPr>
        <w:t>Unless noted otherwise, the address of all listed shareholders is c/o Verona Pharma plc, 3 More London Riverside, London SE1 2RE UK. Each of the shareholders listed has sole voting and investment power with respect to the shares beneficially owned by the shareholder unless noted otherwise, subject to community property laws where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24130</wp:posOffset>
            </wp:positionV>
            <wp:extent cx="4499610"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499610" cy="162560"/>
                    </a:xfrm>
                    <a:prstGeom prst="rect">
                      <a:avLst/>
                    </a:prstGeom>
                    <a:noFill/>
                  </pic:spPr>
                </pic:pic>
              </a:graphicData>
            </a:graphic>
          </wp:anchor>
        </w:drawing>
      </w:r>
    </w:p>
    <w:p>
      <w:pPr>
        <w:spacing w:after="0" w:line="53" w:lineRule="exact"/>
        <w:rPr>
          <w:sz w:val="20"/>
          <w:szCs w:val="20"/>
          <w:color w:val="auto"/>
        </w:rPr>
      </w:pPr>
    </w:p>
    <w:p>
      <w:pPr>
        <w:ind w:left="1540"/>
        <w:spacing w:after="0"/>
        <w:rPr>
          <w:sz w:val="20"/>
          <w:szCs w:val="20"/>
          <w:color w:val="auto"/>
        </w:rPr>
      </w:pPr>
      <w:r>
        <w:rPr>
          <w:rFonts w:ascii="Arial" w:cs="Arial" w:eastAsia="Arial" w:hAnsi="Arial"/>
          <w:sz w:val="17"/>
          <w:szCs w:val="17"/>
          <w:b w:val="1"/>
          <w:bCs w:val="1"/>
          <w:color w:val="auto"/>
        </w:rPr>
        <w:t>5% or greater shareholders:</w:t>
      </w:r>
    </w:p>
    <w:p>
      <w:pPr>
        <w:spacing w:after="0" w:line="34"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RA Capital Management affiliates</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4445</wp:posOffset>
            </wp:positionV>
            <wp:extent cx="4499610" cy="1708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499610" cy="170815"/>
                    </a:xfrm>
                    <a:prstGeom prst="rect">
                      <a:avLst/>
                    </a:prstGeom>
                    <a:noFill/>
                  </pic:spPr>
                </pic:pic>
              </a:graphicData>
            </a:graphic>
          </wp:anchor>
        </w:drawing>
      </w:r>
    </w:p>
    <w:p>
      <w:pPr>
        <w:spacing w:after="0" w:line="4"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AI Biotechnology LLC</w:t>
      </w:r>
      <w:r>
        <w:rPr>
          <w:rFonts w:ascii="Arial" w:cs="Arial" w:eastAsia="Arial" w:hAnsi="Arial"/>
          <w:sz w:val="22"/>
          <w:szCs w:val="22"/>
          <w:color w:val="auto"/>
          <w:vertAlign w:val="superscript"/>
        </w:rPr>
        <w:t>(2)</w:t>
      </w:r>
    </w:p>
    <w:p>
      <w:pPr>
        <w:spacing w:after="0" w:line="16"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New Enterprise Associates affiliates</w:t>
      </w:r>
      <w:r>
        <w:rPr>
          <w:rFonts w:ascii="Arial" w:cs="Arial" w:eastAsia="Arial" w:hAnsi="Arial"/>
          <w:sz w:val="22"/>
          <w:szCs w:val="2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0</wp:posOffset>
            </wp:positionV>
            <wp:extent cx="4499610" cy="1708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499610" cy="170815"/>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7"/>
          <w:szCs w:val="17"/>
          <w:color w:val="auto"/>
        </w:rPr>
        <w:t>OrbiMed affiliates</w:t>
      </w:r>
      <w:r>
        <w:rPr>
          <w:rFonts w:ascii="Arial" w:cs="Arial" w:eastAsia="Arial" w:hAnsi="Arial"/>
          <w:sz w:val="22"/>
          <w:szCs w:val="22"/>
          <w:color w:val="auto"/>
          <w:vertAlign w:val="superscript"/>
        </w:rPr>
        <w:t>(4)</w:t>
      </w:r>
    </w:p>
    <w:p>
      <w:pPr>
        <w:spacing w:after="0" w:line="16"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Wellington Management affiliates</w:t>
      </w:r>
      <w:r>
        <w:rPr>
          <w:rFonts w:ascii="Arial" w:cs="Arial" w:eastAsia="Arial" w:hAnsi="Arial"/>
          <w:sz w:val="22"/>
          <w:szCs w:val="22"/>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0</wp:posOffset>
            </wp:positionV>
            <wp:extent cx="449961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499610" cy="154305"/>
                    </a:xfrm>
                    <a:prstGeom prst="rect">
                      <a:avLst/>
                    </a:prstGeom>
                    <a:noFill/>
                  </pic:spPr>
                </pic:pic>
              </a:graphicData>
            </a:graphic>
          </wp:anchor>
        </w:drawing>
      </w:r>
    </w:p>
    <w:p>
      <w:pPr>
        <w:spacing w:after="0" w:line="6" w:lineRule="exact"/>
        <w:rPr>
          <w:sz w:val="20"/>
          <w:szCs w:val="20"/>
          <w:color w:val="auto"/>
        </w:rPr>
      </w:pPr>
    </w:p>
    <w:p>
      <w:pPr>
        <w:ind w:left="1540"/>
        <w:spacing w:after="0"/>
        <w:rPr>
          <w:sz w:val="20"/>
          <w:szCs w:val="20"/>
          <w:color w:val="auto"/>
        </w:rPr>
      </w:pPr>
      <w:r>
        <w:rPr>
          <w:rFonts w:ascii="Arial" w:cs="Arial" w:eastAsia="Arial" w:hAnsi="Arial"/>
          <w:sz w:val="15"/>
          <w:szCs w:val="15"/>
          <w:b w:val="1"/>
          <w:bCs w:val="1"/>
          <w:color w:val="auto"/>
        </w:rPr>
        <w:t>Named Executive Officers, Directors and Director Nominees:</w:t>
      </w:r>
    </w:p>
    <w:p>
      <w:pPr>
        <w:spacing w:after="0" w:line="52"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David Zaccardelli, Pharm.D.</w:t>
      </w:r>
      <w:r>
        <w:rPr>
          <w:rFonts w:ascii="Arial" w:cs="Arial" w:eastAsia="Arial" w:hAnsi="Arial"/>
          <w:sz w:val="22"/>
          <w:szCs w:val="22"/>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4445</wp:posOffset>
            </wp:positionV>
            <wp:extent cx="4499610" cy="1708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499610" cy="170815"/>
                    </a:xfrm>
                    <a:prstGeom prst="rect">
                      <a:avLst/>
                    </a:prstGeom>
                    <a:noFill/>
                  </pic:spPr>
                </pic:pic>
              </a:graphicData>
            </a:graphic>
          </wp:anchor>
        </w:drawing>
      </w:r>
    </w:p>
    <w:p>
      <w:pPr>
        <w:spacing w:after="0" w:line="4"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Ken Cunningham, M.D.</w:t>
      </w:r>
      <w:r>
        <w:rPr>
          <w:rFonts w:ascii="Arial" w:cs="Arial" w:eastAsia="Arial" w:hAnsi="Arial"/>
          <w:sz w:val="22"/>
          <w:szCs w:val="22"/>
          <w:color w:val="auto"/>
          <w:vertAlign w:val="superscript"/>
        </w:rPr>
        <w:t>(7)</w:t>
      </w:r>
    </w:p>
    <w:p>
      <w:pPr>
        <w:spacing w:after="0" w:line="16"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Lisa Deschamps</w:t>
      </w:r>
      <w:r>
        <w:rPr>
          <w:rFonts w:ascii="Arial" w:cs="Arial" w:eastAsia="Arial" w:hAnsi="Arial"/>
          <w:sz w:val="22"/>
          <w:szCs w:val="22"/>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0</wp:posOffset>
            </wp:positionV>
            <wp:extent cx="4499610" cy="1708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499610" cy="170815"/>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7"/>
          <w:szCs w:val="17"/>
          <w:color w:val="auto"/>
        </w:rPr>
        <w:t>David Ebsworth, Ph.D.</w:t>
      </w:r>
      <w:r>
        <w:rPr>
          <w:rFonts w:ascii="Arial" w:cs="Arial" w:eastAsia="Arial" w:hAnsi="Arial"/>
          <w:sz w:val="22"/>
          <w:szCs w:val="22"/>
          <w:color w:val="auto"/>
          <w:vertAlign w:val="superscript"/>
        </w:rPr>
        <w:t>(9)</w:t>
      </w:r>
    </w:p>
    <w:p>
      <w:pPr>
        <w:spacing w:after="0" w:line="16"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Martin Edwards, M.D.</w:t>
      </w:r>
      <w:r>
        <w:rPr>
          <w:rFonts w:ascii="Arial" w:cs="Arial" w:eastAsia="Arial" w:hAnsi="Arial"/>
          <w:sz w:val="22"/>
          <w:szCs w:val="22"/>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0</wp:posOffset>
            </wp:positionV>
            <wp:extent cx="4499610" cy="1708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499610" cy="170815"/>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7"/>
          <w:szCs w:val="17"/>
          <w:color w:val="auto"/>
        </w:rPr>
        <w:t>Rishi Gupta</w:t>
      </w:r>
      <w:r>
        <w:rPr>
          <w:rFonts w:ascii="Arial" w:cs="Arial" w:eastAsia="Arial" w:hAnsi="Arial"/>
          <w:sz w:val="22"/>
          <w:szCs w:val="22"/>
          <w:color w:val="auto"/>
          <w:vertAlign w:val="superscript"/>
        </w:rPr>
        <w:t>(11)</w:t>
      </w:r>
    </w:p>
    <w:p>
      <w:pPr>
        <w:spacing w:after="0" w:line="16"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Mahendra Shah, Ph.D.</w:t>
      </w:r>
      <w:r>
        <w:rPr>
          <w:rFonts w:ascii="Arial" w:cs="Arial" w:eastAsia="Arial" w:hAnsi="Arial"/>
          <w:sz w:val="22"/>
          <w:szCs w:val="22"/>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0</wp:posOffset>
            </wp:positionV>
            <wp:extent cx="4499610" cy="1708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499610" cy="170815"/>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7"/>
          <w:szCs w:val="17"/>
          <w:color w:val="auto"/>
        </w:rPr>
        <w:t>Andrew Sinclair, Ph.D.</w:t>
      </w:r>
      <w:r>
        <w:rPr>
          <w:rFonts w:ascii="Arial" w:cs="Arial" w:eastAsia="Arial" w:hAnsi="Arial"/>
          <w:sz w:val="22"/>
          <w:szCs w:val="22"/>
          <w:color w:val="auto"/>
          <w:vertAlign w:val="superscript"/>
        </w:rPr>
        <w:t>(13)</w:t>
      </w:r>
    </w:p>
    <w:p>
      <w:pPr>
        <w:spacing w:after="0" w:line="16"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Vikas Sinha</w:t>
      </w:r>
      <w:r>
        <w:rPr>
          <w:rFonts w:ascii="Arial" w:cs="Arial" w:eastAsia="Arial" w:hAnsi="Arial"/>
          <w:sz w:val="22"/>
          <w:szCs w:val="22"/>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0</wp:posOffset>
            </wp:positionV>
            <wp:extent cx="4499610" cy="1708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499610" cy="170815"/>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7"/>
          <w:szCs w:val="17"/>
          <w:color w:val="auto"/>
        </w:rPr>
        <w:t>Anders Ullman, M.D., Ph.D.</w:t>
      </w:r>
      <w:r>
        <w:rPr>
          <w:rFonts w:ascii="Arial" w:cs="Arial" w:eastAsia="Arial" w:hAnsi="Arial"/>
          <w:sz w:val="22"/>
          <w:szCs w:val="22"/>
          <w:color w:val="auto"/>
          <w:vertAlign w:val="superscript"/>
        </w:rPr>
        <w:t>(15)</w:t>
      </w:r>
    </w:p>
    <w:p>
      <w:pPr>
        <w:spacing w:after="0" w:line="26"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James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13335</wp:posOffset>
            </wp:positionV>
            <wp:extent cx="4499610" cy="1708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499610" cy="170815"/>
                    </a:xfrm>
                    <a:prstGeom prst="rect">
                      <a:avLst/>
                    </a:prstGeom>
                    <a:noFill/>
                  </pic:spPr>
                </pic:pic>
              </a:graphicData>
            </a:graphic>
          </wp:anchor>
        </w:drawing>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Mark W. Hahn</w:t>
      </w:r>
      <w:r>
        <w:rPr>
          <w:rFonts w:ascii="Arial" w:cs="Arial" w:eastAsia="Arial" w:hAnsi="Arial"/>
          <w:sz w:val="22"/>
          <w:szCs w:val="22"/>
          <w:color w:val="auto"/>
          <w:vertAlign w:val="superscript"/>
        </w:rPr>
        <w:t>(16)</w:t>
      </w:r>
    </w:p>
    <w:p>
      <w:pPr>
        <w:spacing w:after="0" w:line="24"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 xml:space="preserve">Kathleen Rickard, M.D. </w:t>
      </w:r>
      <w:r>
        <w:rPr>
          <w:rFonts w:ascii="Arial" w:cs="Arial" w:eastAsia="Arial" w:hAnsi="Arial"/>
          <w:sz w:val="22"/>
          <w:szCs w:val="22"/>
          <w:color w:val="auto"/>
          <w:vertAlign w:val="super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0</wp:posOffset>
            </wp:positionV>
            <wp:extent cx="4499610" cy="1708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499610" cy="170815"/>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6"/>
          <w:szCs w:val="16"/>
          <w:color w:val="auto"/>
        </w:rPr>
        <w:t>All directors and executive officers as a group (14 persons)</w:t>
      </w:r>
      <w:r>
        <w:rPr>
          <w:rFonts w:ascii="Arial" w:cs="Arial" w:eastAsia="Arial" w:hAnsi="Arial"/>
          <w:sz w:val="21"/>
          <w:szCs w:val="21"/>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144780</wp:posOffset>
            </wp:positionV>
            <wp:extent cx="11696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Shares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46355</wp:posOffset>
            </wp:positionV>
            <wp:extent cx="9258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84" w:lineRule="exact"/>
        <w:rPr>
          <w:sz w:val="20"/>
          <w:szCs w:val="20"/>
          <w:color w:val="auto"/>
        </w:rPr>
      </w:pPr>
    </w:p>
    <w:p>
      <w:pPr>
        <w:ind w:left="140"/>
        <w:spacing w:after="0"/>
        <w:tabs>
          <w:tab w:leader="none" w:pos="980" w:val="left"/>
        </w:tabs>
        <w:rPr>
          <w:sz w:val="20"/>
          <w:szCs w:val="20"/>
          <w:color w:val="auto"/>
        </w:rPr>
      </w:pPr>
      <w:r>
        <w:rPr>
          <w:rFonts w:ascii="Arial" w:cs="Arial" w:eastAsia="Arial" w:hAnsi="Arial"/>
          <w:sz w:val="12"/>
          <w:szCs w:val="12"/>
          <w:b w:val="1"/>
          <w:bCs w:val="1"/>
          <w:color w:val="auto"/>
        </w:rPr>
        <w:t>Number</w:t>
      </w:r>
      <w:r>
        <w:rPr>
          <w:sz w:val="20"/>
          <w:szCs w:val="20"/>
          <w:color w:val="auto"/>
        </w:rPr>
        <w:tab/>
      </w:r>
      <w:r>
        <w:rPr>
          <w:rFonts w:ascii="Arial" w:cs="Arial" w:eastAsia="Arial" w:hAnsi="Arial"/>
          <w:sz w:val="12"/>
          <w:szCs w:val="12"/>
          <w:b w:val="1"/>
          <w:bCs w:val="1"/>
          <w:color w:val="auto"/>
        </w:rPr>
        <w:t>Percent</w:t>
      </w:r>
    </w:p>
    <w:p>
      <w:pPr>
        <w:spacing w:after="0" w:line="369" w:lineRule="exact"/>
        <w:rPr>
          <w:sz w:val="20"/>
          <w:szCs w:val="20"/>
          <w:color w:val="auto"/>
        </w:rPr>
      </w:pPr>
    </w:p>
    <w:p>
      <w:pPr>
        <w:spacing w:after="0"/>
        <w:tabs>
          <w:tab w:leader="none" w:pos="1040" w:val="left"/>
        </w:tabs>
        <w:rPr>
          <w:sz w:val="20"/>
          <w:szCs w:val="20"/>
          <w:color w:val="auto"/>
        </w:rPr>
      </w:pPr>
      <w:r>
        <w:rPr>
          <w:rFonts w:ascii="Arial" w:cs="Arial" w:eastAsia="Arial" w:hAnsi="Arial"/>
          <w:sz w:val="15"/>
          <w:szCs w:val="15"/>
          <w:color w:val="auto"/>
        </w:rPr>
        <w:t>48,246,144</w:t>
      </w:r>
      <w:r>
        <w:rPr>
          <w:sz w:val="20"/>
          <w:szCs w:val="20"/>
          <w:color w:val="auto"/>
        </w:rPr>
        <w:tab/>
      </w:r>
      <w:r>
        <w:rPr>
          <w:rFonts w:ascii="Arial" w:cs="Arial" w:eastAsia="Arial" w:hAnsi="Arial"/>
          <w:sz w:val="15"/>
          <w:szCs w:val="15"/>
          <w:color w:val="auto"/>
        </w:rPr>
        <w:t>9.99%</w:t>
      </w:r>
    </w:p>
    <w:p>
      <w:pPr>
        <w:spacing w:after="0" w:line="96"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44,444,448</w:t>
      </w:r>
      <w:r>
        <w:rPr>
          <w:sz w:val="20"/>
          <w:szCs w:val="20"/>
          <w:color w:val="auto"/>
        </w:rPr>
        <w:tab/>
      </w:r>
      <w:r>
        <w:rPr>
          <w:rFonts w:ascii="Arial" w:cs="Arial" w:eastAsia="Arial" w:hAnsi="Arial"/>
          <w:sz w:val="14"/>
          <w:szCs w:val="14"/>
          <w:color w:val="auto"/>
        </w:rPr>
        <w:t>9.2%</w:t>
      </w:r>
    </w:p>
    <w:p>
      <w:pPr>
        <w:spacing w:after="0" w:line="108"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42,638,131</w:t>
      </w:r>
      <w:r>
        <w:rPr>
          <w:sz w:val="20"/>
          <w:szCs w:val="20"/>
          <w:color w:val="auto"/>
        </w:rPr>
        <w:tab/>
      </w:r>
      <w:r>
        <w:rPr>
          <w:rFonts w:ascii="Arial" w:cs="Arial" w:eastAsia="Arial" w:hAnsi="Arial"/>
          <w:sz w:val="14"/>
          <w:szCs w:val="14"/>
          <w:color w:val="auto"/>
        </w:rPr>
        <w:t>8.8%</w:t>
      </w:r>
    </w:p>
    <w:p>
      <w:pPr>
        <w:spacing w:after="0" w:line="108"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42,093,330</w:t>
      </w:r>
      <w:r>
        <w:rPr>
          <w:sz w:val="20"/>
          <w:szCs w:val="20"/>
          <w:color w:val="auto"/>
        </w:rPr>
        <w:tab/>
      </w:r>
      <w:r>
        <w:rPr>
          <w:rFonts w:ascii="Arial" w:cs="Arial" w:eastAsia="Arial" w:hAnsi="Arial"/>
          <w:sz w:val="14"/>
          <w:szCs w:val="14"/>
          <w:color w:val="auto"/>
        </w:rPr>
        <w:t>8.7%</w:t>
      </w:r>
    </w:p>
    <w:p>
      <w:pPr>
        <w:spacing w:after="0" w:line="108"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38,655,904</w:t>
      </w:r>
      <w:r>
        <w:rPr>
          <w:sz w:val="20"/>
          <w:szCs w:val="20"/>
          <w:color w:val="auto"/>
        </w:rPr>
        <w:tab/>
      </w:r>
      <w:r>
        <w:rPr>
          <w:rFonts w:ascii="Arial" w:cs="Arial" w:eastAsia="Arial" w:hAnsi="Arial"/>
          <w:sz w:val="14"/>
          <w:szCs w:val="14"/>
          <w:color w:val="auto"/>
        </w:rPr>
        <w:t>8.0%</w:t>
      </w:r>
    </w:p>
    <w:p>
      <w:pPr>
        <w:spacing w:after="0" w:line="351" w:lineRule="exact"/>
        <w:rPr>
          <w:sz w:val="20"/>
          <w:szCs w:val="20"/>
          <w:color w:val="auto"/>
        </w:rPr>
      </w:pPr>
    </w:p>
    <w:p>
      <w:pPr>
        <w:ind w:left="80"/>
        <w:spacing w:after="0"/>
        <w:tabs>
          <w:tab w:leader="none" w:pos="1140" w:val="left"/>
        </w:tabs>
        <w:rPr>
          <w:sz w:val="20"/>
          <w:szCs w:val="20"/>
          <w:color w:val="auto"/>
        </w:rPr>
      </w:pPr>
      <w:r>
        <w:rPr>
          <w:rFonts w:ascii="Arial" w:cs="Arial" w:eastAsia="Arial" w:hAnsi="Arial"/>
          <w:sz w:val="14"/>
          <w:szCs w:val="14"/>
          <w:color w:val="auto"/>
        </w:rPr>
        <w:t>7,257,304</w:t>
      </w:r>
      <w:r>
        <w:rPr>
          <w:sz w:val="20"/>
          <w:szCs w:val="20"/>
          <w:color w:val="auto"/>
        </w:rPr>
        <w:tab/>
      </w:r>
      <w:r>
        <w:rPr>
          <w:rFonts w:ascii="Arial" w:cs="Arial" w:eastAsia="Arial" w:hAnsi="Arial"/>
          <w:sz w:val="14"/>
          <w:szCs w:val="14"/>
          <w:color w:val="auto"/>
        </w:rPr>
        <w:t>1.5%</w:t>
      </w:r>
    </w:p>
    <w:p>
      <w:pPr>
        <w:spacing w:after="0" w:line="108"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7"/>
          <w:szCs w:val="17"/>
          <w:color w:val="auto"/>
        </w:rPr>
        <w:t>114,584</w:t>
      </w:r>
      <w:r>
        <w:rPr>
          <w:sz w:val="20"/>
          <w:szCs w:val="20"/>
          <w:color w:val="auto"/>
        </w:rPr>
        <w:tab/>
      </w:r>
      <w:r>
        <w:rPr>
          <w:rFonts w:ascii="Arial" w:cs="Arial" w:eastAsia="Arial" w:hAnsi="Arial"/>
          <w:sz w:val="17"/>
          <w:szCs w:val="17"/>
          <w:color w:val="auto"/>
        </w:rPr>
        <w:t>*</w:t>
      </w:r>
    </w:p>
    <w:p>
      <w:pPr>
        <w:spacing w:after="0" w:line="73"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7"/>
          <w:szCs w:val="17"/>
          <w:color w:val="auto"/>
        </w:rPr>
        <w:t>118,320</w:t>
      </w:r>
      <w:r>
        <w:rPr>
          <w:sz w:val="20"/>
          <w:szCs w:val="20"/>
          <w:color w:val="auto"/>
        </w:rPr>
        <w:tab/>
      </w:r>
      <w:r>
        <w:rPr>
          <w:rFonts w:ascii="Arial" w:cs="Arial" w:eastAsia="Arial" w:hAnsi="Arial"/>
          <w:sz w:val="17"/>
          <w:szCs w:val="17"/>
          <w:color w:val="auto"/>
        </w:rPr>
        <w:t>*</w:t>
      </w:r>
    </w:p>
    <w:p>
      <w:pPr>
        <w:spacing w:after="0" w:line="73"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7"/>
          <w:szCs w:val="17"/>
          <w:color w:val="auto"/>
        </w:rPr>
        <w:t>737,560</w:t>
      </w:r>
      <w:r>
        <w:rPr>
          <w:sz w:val="20"/>
          <w:szCs w:val="20"/>
          <w:color w:val="auto"/>
        </w:rPr>
        <w:tab/>
      </w:r>
      <w:r>
        <w:rPr>
          <w:rFonts w:ascii="Arial" w:cs="Arial" w:eastAsia="Arial" w:hAnsi="Arial"/>
          <w:sz w:val="17"/>
          <w:szCs w:val="17"/>
          <w:color w:val="auto"/>
        </w:rPr>
        <w:t>*</w:t>
      </w:r>
    </w:p>
    <w:p>
      <w:pPr>
        <w:spacing w:after="0" w:line="73"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7"/>
          <w:szCs w:val="17"/>
          <w:color w:val="auto"/>
        </w:rPr>
        <w:t>126,776</w:t>
      </w:r>
      <w:r>
        <w:rPr>
          <w:sz w:val="20"/>
          <w:szCs w:val="20"/>
          <w:color w:val="auto"/>
        </w:rPr>
        <w:tab/>
      </w:r>
      <w:r>
        <w:rPr>
          <w:rFonts w:ascii="Arial" w:cs="Arial" w:eastAsia="Arial" w:hAnsi="Arial"/>
          <w:sz w:val="17"/>
          <w:szCs w:val="17"/>
          <w:color w:val="auto"/>
        </w:rPr>
        <w:t>*</w:t>
      </w:r>
    </w:p>
    <w:p>
      <w:pPr>
        <w:spacing w:after="0" w:line="73"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7"/>
          <w:szCs w:val="17"/>
          <w:color w:val="auto"/>
        </w:rPr>
        <w:t>233,600</w:t>
      </w:r>
      <w:r>
        <w:rPr>
          <w:sz w:val="20"/>
          <w:szCs w:val="20"/>
          <w:color w:val="auto"/>
        </w:rPr>
        <w:tab/>
      </w:r>
      <w:r>
        <w:rPr>
          <w:rFonts w:ascii="Arial" w:cs="Arial" w:eastAsia="Arial" w:hAnsi="Arial"/>
          <w:sz w:val="17"/>
          <w:szCs w:val="17"/>
          <w:color w:val="auto"/>
        </w:rPr>
        <w:t>*</w:t>
      </w:r>
    </w:p>
    <w:p>
      <w:pPr>
        <w:spacing w:after="0" w:line="73"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7"/>
          <w:szCs w:val="17"/>
          <w:color w:val="auto"/>
        </w:rPr>
        <w:t>121,080</w:t>
      </w:r>
      <w:r>
        <w:rPr>
          <w:sz w:val="20"/>
          <w:szCs w:val="20"/>
          <w:color w:val="auto"/>
        </w:rPr>
        <w:tab/>
      </w:r>
      <w:r>
        <w:rPr>
          <w:rFonts w:ascii="Arial" w:cs="Arial" w:eastAsia="Arial" w:hAnsi="Arial"/>
          <w:sz w:val="17"/>
          <w:szCs w:val="17"/>
          <w:color w:val="auto"/>
        </w:rPr>
        <w:t>*</w:t>
      </w:r>
    </w:p>
    <w:p>
      <w:pPr>
        <w:spacing w:after="0" w:line="73"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7"/>
          <w:szCs w:val="17"/>
          <w:color w:val="auto"/>
        </w:rPr>
        <w:t>233,600</w:t>
      </w:r>
      <w:r>
        <w:rPr>
          <w:sz w:val="20"/>
          <w:szCs w:val="20"/>
          <w:color w:val="auto"/>
        </w:rPr>
        <w:tab/>
      </w:r>
      <w:r>
        <w:rPr>
          <w:rFonts w:ascii="Arial" w:cs="Arial" w:eastAsia="Arial" w:hAnsi="Arial"/>
          <w:sz w:val="17"/>
          <w:szCs w:val="17"/>
          <w:color w:val="auto"/>
        </w:rPr>
        <w:t>*</w:t>
      </w:r>
    </w:p>
    <w:p>
      <w:pPr>
        <w:spacing w:after="0" w:line="73"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7"/>
          <w:szCs w:val="17"/>
          <w:color w:val="auto"/>
        </w:rPr>
        <w:t>242,824</w:t>
      </w:r>
      <w:r>
        <w:rPr>
          <w:sz w:val="20"/>
          <w:szCs w:val="20"/>
          <w:color w:val="auto"/>
        </w:rPr>
        <w:tab/>
      </w:r>
      <w:r>
        <w:rPr>
          <w:rFonts w:ascii="Arial" w:cs="Arial" w:eastAsia="Arial" w:hAnsi="Arial"/>
          <w:sz w:val="17"/>
          <w:szCs w:val="17"/>
          <w:color w:val="auto"/>
        </w:rPr>
        <w:t>*</w:t>
      </w:r>
    </w:p>
    <w:p>
      <w:pPr>
        <w:spacing w:after="0" w:line="73"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7"/>
          <w:szCs w:val="17"/>
          <w:color w:val="auto"/>
        </w:rPr>
        <w:t>382,856</w:t>
      </w:r>
      <w:r>
        <w:rPr>
          <w:sz w:val="20"/>
          <w:szCs w:val="20"/>
          <w:color w:val="auto"/>
        </w:rPr>
        <w:tab/>
      </w:r>
      <w:r>
        <w:rPr>
          <w:rFonts w:ascii="Arial" w:cs="Arial" w:eastAsia="Arial" w:hAnsi="Arial"/>
          <w:sz w:val="17"/>
          <w:szCs w:val="17"/>
          <w:color w:val="auto"/>
        </w:rPr>
        <w:t>*</w:t>
      </w:r>
    </w:p>
    <w:p>
      <w:pPr>
        <w:spacing w:after="0" w:line="4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7"/>
          <w:szCs w:val="17"/>
          <w:color w:val="auto"/>
        </w:rPr>
        <w:t>6,445,048</w:t>
      </w:r>
      <w:r>
        <w:rPr>
          <w:rFonts w:ascii="Arial" w:cs="Arial" w:eastAsia="Arial" w:hAnsi="Arial"/>
          <w:sz w:val="14"/>
          <w:szCs w:val="14"/>
          <w:color w:val="auto"/>
        </w:rPr>
        <w:t>1.3%</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7"/>
          <w:szCs w:val="17"/>
          <w:color w:val="auto"/>
        </w:rPr>
        <w:t>1,411,960*</w:t>
      </w:r>
    </w:p>
    <w:p>
      <w:pPr>
        <w:spacing w:after="0" w:line="73"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19,506,146</w:t>
      </w:r>
      <w:r>
        <w:rPr>
          <w:sz w:val="20"/>
          <w:szCs w:val="20"/>
          <w:color w:val="auto"/>
        </w:rPr>
        <w:tab/>
      </w:r>
      <w:r>
        <w:rPr>
          <w:rFonts w:ascii="Arial" w:cs="Arial" w:eastAsia="Arial" w:hAnsi="Arial"/>
          <w:sz w:val="14"/>
          <w:szCs w:val="14"/>
          <w:color w:val="auto"/>
        </w:rPr>
        <w:t>3.9%</w:t>
      </w:r>
    </w:p>
    <w:p>
      <w:pPr>
        <w:spacing w:after="0" w:line="245" w:lineRule="exact"/>
        <w:rPr>
          <w:sz w:val="20"/>
          <w:szCs w:val="20"/>
          <w:color w:val="auto"/>
        </w:rPr>
      </w:pPr>
    </w:p>
    <w:p>
      <w:pPr>
        <w:sectPr>
          <w:pgSz w:w="11900" w:h="16838" w:orient="portrait"/>
          <w:cols w:equalWidth="0" w:num="2">
            <w:col w:w="6460" w:space="720"/>
            <w:col w:w="2419"/>
          </w:cols>
          <w:pgMar w:left="860" w:top="132" w:right="1440" w:bottom="1440" w:gutter="0" w:footer="0" w:header="0"/>
        </w:sectPr>
      </w:pPr>
    </w:p>
    <w:p>
      <w:pPr>
        <w:spacing w:after="0" w:line="156" w:lineRule="exact"/>
        <w:rPr>
          <w:sz w:val="20"/>
          <w:szCs w:val="20"/>
          <w:color w:val="auto"/>
        </w:rPr>
      </w:pPr>
    </w:p>
    <w:p>
      <w:pPr>
        <w:ind w:left="1540" w:hanging="344"/>
        <w:spacing w:after="0"/>
        <w:tabs>
          <w:tab w:leader="none" w:pos="1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Indicates beneficial ownership of less than 1% of the total outstanding ordinary shares.</w:t>
      </w:r>
    </w:p>
    <w:p>
      <w:pPr>
        <w:spacing w:after="0" w:line="86" w:lineRule="exact"/>
        <w:rPr>
          <w:sz w:val="20"/>
          <w:szCs w:val="20"/>
          <w:color w:val="auto"/>
        </w:rPr>
      </w:pPr>
    </w:p>
    <w:p>
      <w:pPr>
        <w:ind w:left="1540" w:right="639" w:hanging="344"/>
        <w:spacing w:after="0" w:line="269" w:lineRule="auto"/>
        <w:tabs>
          <w:tab w:leader="none" w:pos="1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Consists of (a) 40,800,000 ordinary shares held directly by RA Capital Healthcare Fund, L.P., or RA Capital, all of which are held in the form of ADSs, and (b) 48,088,896 non-voting ordinary shares to be re-designated as ordinary shares, held directly by RA Capital. RA Capital may elect to have any portion of their non-voting ordinary shares re-designated as voting ordinary shares at any time, unless, immediately following such conversion, they would beneficially own more than 9.99% of the outstanding ordinary shares. If RA Capital would beneficially own more than 9.99% of the outstanding ordinary shares following such re-designation, then the re-designation would occur no earlier than</w:t>
      </w:r>
    </w:p>
    <w:p>
      <w:pPr>
        <w:jc w:val="both"/>
        <w:ind w:left="1540" w:right="639"/>
        <w:spacing w:after="0" w:line="266" w:lineRule="auto"/>
        <w:rPr>
          <w:rFonts w:ascii="Arial" w:cs="Arial" w:eastAsia="Arial" w:hAnsi="Arial"/>
          <w:sz w:val="16"/>
          <w:szCs w:val="16"/>
          <w:color w:val="auto"/>
        </w:rPr>
      </w:pPr>
      <w:r>
        <w:rPr>
          <w:rFonts w:ascii="Arial" w:cs="Arial" w:eastAsia="Arial" w:hAnsi="Arial"/>
          <w:sz w:val="16"/>
          <w:szCs w:val="16"/>
          <w:color w:val="auto"/>
        </w:rPr>
        <w:t>61 days following the election for such re-designation. RA Capital Management, L.P., or Adviser, is the investment manager for RA Capital. The general partner of the Adviser is RA Capital Management GP, LLC, or Adviser GP, of which Dr. Peter Kolchinsky and Mr. Rajeev Shah are the managing members.</w:t>
      </w:r>
    </w:p>
    <w:p>
      <w:pPr>
        <w:spacing w:after="0" w:line="2" w:lineRule="exact"/>
        <w:rPr>
          <w:rFonts w:ascii="Arial" w:cs="Arial" w:eastAsia="Arial" w:hAnsi="Arial"/>
          <w:sz w:val="16"/>
          <w:szCs w:val="16"/>
          <w:color w:val="auto"/>
        </w:rPr>
      </w:pPr>
    </w:p>
    <w:p>
      <w:pPr>
        <w:ind w:left="1540" w:right="679"/>
        <w:spacing w:after="0" w:line="255" w:lineRule="auto"/>
        <w:rPr>
          <w:rFonts w:ascii="Arial" w:cs="Arial" w:eastAsia="Arial" w:hAnsi="Arial"/>
          <w:sz w:val="16"/>
          <w:szCs w:val="16"/>
          <w:color w:val="auto"/>
        </w:rPr>
      </w:pPr>
      <w:r>
        <w:rPr>
          <w:rFonts w:ascii="Arial" w:cs="Arial" w:eastAsia="Arial" w:hAnsi="Arial"/>
          <w:sz w:val="17"/>
          <w:szCs w:val="17"/>
          <w:color w:val="auto"/>
        </w:rPr>
        <w:t>The Adviser, the Adviser GP, Dr. Kolchinsky, and Mr. Shah disclaim beneficial ownership of securities held by RA Capital except to the extent of their pecuniary interest therein. Beneficial ownership information is based on a Schedule 13G filed on February 14, 2022. RA Capital Management’s mailing address is 200 Berkeley Street, 18th Floor, Boston, MA 02116.</w:t>
      </w:r>
    </w:p>
    <w:p>
      <w:pPr>
        <w:spacing w:after="0" w:line="40" w:lineRule="exact"/>
        <w:rPr>
          <w:rFonts w:ascii="Arial" w:cs="Arial" w:eastAsia="Arial" w:hAnsi="Arial"/>
          <w:sz w:val="16"/>
          <w:szCs w:val="16"/>
          <w:color w:val="auto"/>
        </w:rPr>
      </w:pPr>
    </w:p>
    <w:p>
      <w:pPr>
        <w:ind w:left="1540" w:right="719" w:hanging="344"/>
        <w:spacing w:after="0" w:line="268" w:lineRule="auto"/>
        <w:tabs>
          <w:tab w:leader="none" w:pos="1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Consists of 44,444,448 ordinary shares held directly by AI Biotechnology LLC, or AI, all of which are held in the form of ADSs. AI is a subsidiary in a multi-tier corporate structure of which Access Industries Holdings LLC, or Access Holdings, is the parent holding company and is ultimately managed by Access Industries Management, LLC, or Access Industries, and controlled by Mr. Len Blavatnik. Each of Access Holdings, Access Industries and Mr. Blavatnik disclaims beneficial ownership of all shares held by AI except to the extent of their actual pecuniary interest therein. Beneficial ownership information is based on information known to us and a Schedule 13G filed with the SEC on July 24, 2020. The mailing address of AI, Access Holdings, Access Industries and</w:t>
      </w:r>
    </w:p>
    <w:p>
      <w:pPr>
        <w:spacing w:after="0" w:line="4"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7"/>
          <w:szCs w:val="17"/>
          <w:color w:val="auto"/>
        </w:rPr>
        <w:t>Mr. Blavatnik is 40 West 57th Street, 28th Floor, New York, NY 10019.</w:t>
      </w:r>
    </w:p>
    <w:p>
      <w:pPr>
        <w:spacing w:after="0" w:line="369"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540" w:right="659" w:hanging="344"/>
        <w:spacing w:after="0" w:line="268" w:lineRule="auto"/>
        <w:tabs>
          <w:tab w:leader="none" w:pos="1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Consists of (a) 9,757,393 ordinary shares held directly by Growth Equity Opportunities Fund IV, LLC, or GEO, of which 5,333,328 are held in the form of ADSs, (b) warrants to purchase 1,769,626 ordinary shares held directly by GEO, and (c) 31,111,112 ordinary shares held directly by Growth Equity Opportunities 17, LP, or GEO 17, all of which are held in the form of ADSs. New Enterprise Associates 15, L.P., or NEA 15, is the sole member of GEO. NEA Partners 15, L.P., NEA Partners 15, is the sole general partner of NEA 15. NEA 15 GP, LLC, or NEA 15 LLC, is the sole general partner of NEA Partners 15. Forest Baskett, Anthony Florence, Jr., Mohamad Makhzoumi, Scott D. Sandell, and Peter Sonsini are the managers of NEA 15 LLC. NEA 15, NEA Partners 15, NEA 15 LLC and the managers of NEA 15 LLC share voting and dispositive power with regard to the securities held by GEO. Each of NEA 15, NEA Partners 15 and NEA 15 LLC as well as each of the managers of</w:t>
      </w:r>
    </w:p>
    <w:p>
      <w:pPr>
        <w:spacing w:after="0" w:line="3" w:lineRule="exact"/>
        <w:rPr>
          <w:rFonts w:ascii="Arial" w:cs="Arial" w:eastAsia="Arial" w:hAnsi="Arial"/>
          <w:sz w:val="16"/>
          <w:szCs w:val="16"/>
          <w:color w:val="auto"/>
        </w:rPr>
      </w:pPr>
    </w:p>
    <w:p>
      <w:pPr>
        <w:ind w:left="1540" w:right="659"/>
        <w:spacing w:after="0" w:line="266" w:lineRule="auto"/>
        <w:rPr>
          <w:rFonts w:ascii="Arial" w:cs="Arial" w:eastAsia="Arial" w:hAnsi="Arial"/>
          <w:sz w:val="16"/>
          <w:szCs w:val="16"/>
          <w:color w:val="auto"/>
        </w:rPr>
      </w:pPr>
      <w:r>
        <w:rPr>
          <w:rFonts w:ascii="Arial" w:cs="Arial" w:eastAsia="Arial" w:hAnsi="Arial"/>
          <w:sz w:val="16"/>
          <w:szCs w:val="16"/>
          <w:color w:val="auto"/>
        </w:rPr>
        <w:t>NEA 15 LLC disclaims beneficial ownership of all shares held by GEO except to the extent of their actual pecuniary interest therein. New Enterprise Associates 17, L.P., or NEA 17, is the sole member of GEO 17. NEA Partners 17, L.P., or NEA Partners 17, is the sole general partner of NEA 17.</w:t>
      </w:r>
    </w:p>
    <w:p>
      <w:pPr>
        <w:spacing w:after="0" w:line="2" w:lineRule="exact"/>
        <w:rPr>
          <w:rFonts w:ascii="Arial" w:cs="Arial" w:eastAsia="Arial" w:hAnsi="Arial"/>
          <w:sz w:val="16"/>
          <w:szCs w:val="16"/>
          <w:color w:val="auto"/>
        </w:rPr>
      </w:pPr>
    </w:p>
    <w:p>
      <w:pPr>
        <w:ind w:left="1540" w:right="639"/>
        <w:spacing w:after="0" w:line="252" w:lineRule="auto"/>
        <w:rPr>
          <w:rFonts w:ascii="Arial" w:cs="Arial" w:eastAsia="Arial" w:hAnsi="Arial"/>
          <w:sz w:val="16"/>
          <w:szCs w:val="16"/>
          <w:color w:val="auto"/>
        </w:rPr>
      </w:pPr>
      <w:r>
        <w:rPr>
          <w:rFonts w:ascii="Arial" w:cs="Arial" w:eastAsia="Arial" w:hAnsi="Arial"/>
          <w:sz w:val="17"/>
          <w:szCs w:val="17"/>
          <w:color w:val="auto"/>
        </w:rPr>
        <w:t>NEA 17 GP, LLC, or NEA 17 LLC, is the sole general partner of NEA Partners 17. Forest Baskett, Ali Behbahani, Carmen Chang, Anthony Florence, Jr., Mohamad Makhzoumi, Joshua Makower, Edward Mathers, Scott D. Sandell, Paul Walker, Rick Yang, Liza Landsman, and Peter Sonsini, are the managers of NEA 17 LLC. NEA 17, NEA Partners 17, NEA 17 LLC and the managers of NEA 17 LLC share voting and dispositive power with regard to the securities held by GEO 17. Each of NEA 17, NEA Partners 17 and NEA 17 LLC as well as each of the managers of NEA 17 LLC disclaims beneficial ownership of all shares held by GEO 17 except to the extent of their actual pecuniary interest therein. Beneficial ownership information is based on information known to us and a Schedule 13D/A filed with the SEC on August 3, 2020. GEO’s and GEO 17’s mailing address is 1954 Greenspring Drive, Suite 600, Timonium, MD 21093-4135.</w:t>
      </w:r>
    </w:p>
    <w:p>
      <w:pPr>
        <w:spacing w:after="0" w:line="46" w:lineRule="exact"/>
        <w:rPr>
          <w:rFonts w:ascii="Arial" w:cs="Arial" w:eastAsia="Arial" w:hAnsi="Arial"/>
          <w:sz w:val="16"/>
          <w:szCs w:val="16"/>
          <w:color w:val="auto"/>
        </w:rPr>
      </w:pPr>
    </w:p>
    <w:p>
      <w:pPr>
        <w:ind w:left="1540" w:right="639" w:hanging="344"/>
        <w:spacing w:after="0" w:line="270" w:lineRule="auto"/>
        <w:tabs>
          <w:tab w:leader="none" w:pos="1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Consists of (a) 40,225,392 ordinary shares held directly by OrbiMed Private Investments VI, LP, or OPI VI, all of which are held in the form of ADSs and (b) warrants to purchase 1,867,938 ordinary shares are held directly by OPI VI. OrbiMed Capital GP VI LLC, or OrbiMed GP VI, is the general partner of OPI VI. OrbiMed Advisors LLC, or OrbiMed Advisors, is the managing member of OrbiMed GP VI. By virtue of such relationships, OrbiMed GP VI and OrbiMed Advisors may be deemed to have voting and investment power over the securities held by OPI VI and as a result, may be deemed to have beneficial ownership over such securities. OrbiMed Advisors exercises this investment and voting power through a management committee comprised of Carl L. Gordon, Sven H. Borho, and Jonathan T. Silverstein, each of whom disclaims beneficial ownership of the ordinary shares held by OPI VI. Beneficial ownership information is based on information known to us and a Schedule 13 D/A filed with the SEC on January 26, 2018. The mailing address of OPI VI, OrbiMed GP VI, and OrbiMed Advisors is c/o OrbiMed Advisors LLC, 601 Lexington Avenue, 54th Floor, New York, NY 10022.</w:t>
      </w:r>
    </w:p>
    <w:p>
      <w:pPr>
        <w:spacing w:after="0" w:line="36" w:lineRule="exact"/>
        <w:rPr>
          <w:rFonts w:ascii="Arial" w:cs="Arial" w:eastAsia="Arial" w:hAnsi="Arial"/>
          <w:sz w:val="16"/>
          <w:szCs w:val="16"/>
          <w:color w:val="auto"/>
        </w:rPr>
      </w:pPr>
    </w:p>
    <w:p>
      <w:pPr>
        <w:ind w:left="1540" w:right="639" w:hanging="344"/>
        <w:spacing w:after="0" w:line="270" w:lineRule="auto"/>
        <w:tabs>
          <w:tab w:leader="none" w:pos="1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Beneficial ownership information is based on a joint Schedule 13G filed on February 4, 2022 by Wellington Management Group LLP, Wellington Group Holdings LLP, Wellington Investment Advisors Holdings LLP and Wellington Management Company LLP (collectively, “Wellington”) with respect to 38,655,904 ordinary shares owned of record by clients of one or more investment advisers directly or indirectly owned by Wellington Management Group LLP. Each of Wellington Management Group LLP, Wellington Group Holdings LLP, and Wellington Investment Advisors Holdings LLP has sole voting power with respect to 0 shares, shared voting power with respect to 36,255,864 shares, sole dispositive power with respect to 0 shares, and shared dispositive power with respect to 38,655,904 shares. Wellington Management Company LLP has sole voting power with respect to 0 shares, shared voting power with respect to 36,255,864 shares, sole dispositive power with respect to 0 shares, and shared dispositive power with respect to 36,255,864 shares. Wellington’s mailing address is c/o Wellington Management Company LLP, 280 Congress Street, Boston, MA 02210.</w:t>
      </w:r>
    </w:p>
    <w:p>
      <w:pPr>
        <w:spacing w:after="0" w:line="36" w:lineRule="exact"/>
        <w:rPr>
          <w:rFonts w:ascii="Arial" w:cs="Arial" w:eastAsia="Arial" w:hAnsi="Arial"/>
          <w:sz w:val="16"/>
          <w:szCs w:val="16"/>
          <w:color w:val="auto"/>
        </w:rPr>
      </w:pPr>
    </w:p>
    <w:p>
      <w:pPr>
        <w:ind w:left="1540" w:hanging="344"/>
        <w:spacing w:after="0"/>
        <w:tabs>
          <w:tab w:leader="none" w:pos="1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Consists of 7,257,304 ordinary shares, all of which are held in the form of ADSs.</w:t>
      </w:r>
    </w:p>
    <w:p>
      <w:pPr>
        <w:spacing w:after="0" w:line="60" w:lineRule="exact"/>
        <w:rPr>
          <w:rFonts w:ascii="Arial" w:cs="Arial" w:eastAsia="Arial" w:hAnsi="Arial"/>
          <w:sz w:val="17"/>
          <w:szCs w:val="17"/>
          <w:color w:val="auto"/>
        </w:rPr>
      </w:pPr>
    </w:p>
    <w:p>
      <w:pPr>
        <w:ind w:left="1540" w:right="979" w:hanging="344"/>
        <w:spacing w:after="0" w:line="263" w:lineRule="auto"/>
        <w:tabs>
          <w:tab w:leader="none" w:pos="1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Consists of 66,584 ordinary shares, all of which are held in the form of ADSs, and 48,000 ordinary shares underlying options that are exercisable within or that will be exercisable within 60 days of March 1, 2022.</w:t>
      </w:r>
    </w:p>
    <w:p>
      <w:pPr>
        <w:spacing w:after="0" w:line="35" w:lineRule="exact"/>
        <w:rPr>
          <w:rFonts w:ascii="Arial" w:cs="Arial" w:eastAsia="Arial" w:hAnsi="Arial"/>
          <w:sz w:val="17"/>
          <w:szCs w:val="17"/>
          <w:color w:val="auto"/>
        </w:rPr>
      </w:pPr>
    </w:p>
    <w:p>
      <w:pPr>
        <w:ind w:left="1540" w:right="979" w:hanging="344"/>
        <w:spacing w:after="0" w:line="263" w:lineRule="auto"/>
        <w:tabs>
          <w:tab w:leader="none" w:pos="1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Consists of 70,320 ordinary shares, all of which are held in the form of ADSs, and 48,000 ordinary shares underlying options that are exercisable within or that will be exercisable within 60 days of March 1, 2022.</w:t>
      </w:r>
    </w:p>
    <w:p>
      <w:pPr>
        <w:spacing w:after="0" w:line="355"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540" w:hanging="344"/>
        <w:spacing w:after="0"/>
        <w:tabs>
          <w:tab w:leader="none" w:pos="1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Consists of (a) 684,643 ordinary shares, 684,640 of which are held in the form of ADSs, and</w:t>
      </w:r>
    </w:p>
    <w:p>
      <w:pPr>
        <w:spacing w:after="0" w:line="20" w:lineRule="exact"/>
        <w:rPr>
          <w:rFonts w:ascii="Arial" w:cs="Arial" w:eastAsia="Arial" w:hAnsi="Arial"/>
          <w:sz w:val="17"/>
          <w:szCs w:val="17"/>
          <w:color w:val="auto"/>
        </w:rPr>
      </w:pPr>
    </w:p>
    <w:p>
      <w:pPr>
        <w:jc w:val="both"/>
        <w:ind w:left="1540" w:right="879" w:hanging="3"/>
        <w:spacing w:after="0" w:line="256" w:lineRule="auto"/>
        <w:tabs>
          <w:tab w:leader="none" w:pos="1795" w:val="left"/>
        </w:tabs>
        <w:numPr>
          <w:ilvl w:val="1"/>
          <w:numId w:val="40"/>
        </w:numPr>
        <w:rPr>
          <w:rFonts w:ascii="Arial" w:cs="Arial" w:eastAsia="Arial" w:hAnsi="Arial"/>
          <w:sz w:val="17"/>
          <w:szCs w:val="17"/>
          <w:color w:val="auto"/>
        </w:rPr>
      </w:pPr>
      <w:r>
        <w:rPr>
          <w:rFonts w:ascii="Arial" w:cs="Arial" w:eastAsia="Arial" w:hAnsi="Arial"/>
          <w:sz w:val="17"/>
          <w:szCs w:val="17"/>
          <w:color w:val="auto"/>
        </w:rPr>
        <w:t>4,920 warrants to purchase ordinary shares that are exercisable within or that will be exercisable within 60 days of March 1, 2022, and 48,000 ordinary shares underlying options that are exercisable within or that will be exercisable within 60 days of March 1, 2022.</w:t>
      </w:r>
    </w:p>
    <w:p>
      <w:pPr>
        <w:spacing w:after="0" w:line="41" w:lineRule="exact"/>
        <w:rPr>
          <w:rFonts w:ascii="Arial" w:cs="Arial" w:eastAsia="Arial" w:hAnsi="Arial"/>
          <w:sz w:val="17"/>
          <w:szCs w:val="17"/>
          <w:color w:val="auto"/>
        </w:rPr>
      </w:pPr>
    </w:p>
    <w:p>
      <w:pPr>
        <w:ind w:left="1540" w:right="979" w:hanging="344"/>
        <w:spacing w:after="0" w:line="263" w:lineRule="auto"/>
        <w:tabs>
          <w:tab w:leader="none" w:pos="1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Consists of 78,776 ordinary shares, all of which are held in the form of ADSs, and 48,000 ordinary shares underlying options that are exercisable within or that will be exercisable within 60 days of March 1, 2022.</w:t>
      </w:r>
    </w:p>
    <w:p>
      <w:pPr>
        <w:spacing w:after="0" w:line="35" w:lineRule="exact"/>
        <w:rPr>
          <w:rFonts w:ascii="Arial" w:cs="Arial" w:eastAsia="Arial" w:hAnsi="Arial"/>
          <w:sz w:val="17"/>
          <w:szCs w:val="17"/>
          <w:color w:val="auto"/>
        </w:rPr>
      </w:pPr>
    </w:p>
    <w:p>
      <w:pPr>
        <w:ind w:left="1540" w:right="639" w:hanging="344"/>
        <w:spacing w:after="0" w:line="259" w:lineRule="auto"/>
        <w:tabs>
          <w:tab w:leader="none" w:pos="1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Consists of 233,600 ordinary shares underlying options that are exercisable in or that will be exercisable within 60 days of March 1, 2022. Rishi Gupta is a Partner at OrbiMed Advisors LLC and a member of our Board of Directors. Mr. Gupta does not have voting or dispositive power over any of the securities held by OrbiMed identified in footnote 4.</w:t>
      </w:r>
    </w:p>
    <w:p>
      <w:pPr>
        <w:spacing w:after="0" w:line="25" w:lineRule="exact"/>
        <w:rPr>
          <w:rFonts w:ascii="Arial" w:cs="Arial" w:eastAsia="Arial" w:hAnsi="Arial"/>
          <w:sz w:val="17"/>
          <w:szCs w:val="17"/>
          <w:color w:val="auto"/>
        </w:rPr>
      </w:pPr>
    </w:p>
    <w:p>
      <w:pPr>
        <w:ind w:left="1540" w:right="979" w:hanging="344"/>
        <w:spacing w:after="0" w:line="263" w:lineRule="auto"/>
        <w:tabs>
          <w:tab w:leader="none" w:pos="1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Consists of 73,080 ordinary shares, all of which are held in the form of ADSs, and 48,000 ordinary shares underlying options that are exercisable within or that will be exercisable within 60 days of March 1, 2022.</w:t>
      </w:r>
    </w:p>
    <w:p>
      <w:pPr>
        <w:spacing w:after="0" w:line="35" w:lineRule="exact"/>
        <w:rPr>
          <w:rFonts w:ascii="Arial" w:cs="Arial" w:eastAsia="Arial" w:hAnsi="Arial"/>
          <w:sz w:val="17"/>
          <w:szCs w:val="17"/>
          <w:color w:val="auto"/>
        </w:rPr>
      </w:pPr>
    </w:p>
    <w:p>
      <w:pPr>
        <w:ind w:left="1540" w:right="779" w:hanging="344"/>
        <w:spacing w:after="0" w:line="259" w:lineRule="auto"/>
        <w:tabs>
          <w:tab w:leader="none" w:pos="1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Consists of 233,600 options to purchase ordinary shares exercisable within 60 days of March 1, 2022. Andrew Sinclair, Ph.D. is a Partner and Portfolio Manager at Abingworth LLP and a member of our Board of Directors. Dr. Sinclair does not have voting or dispositive power over any of the securities held by Abingworth Vl.</w:t>
      </w:r>
    </w:p>
    <w:p>
      <w:pPr>
        <w:spacing w:after="0" w:line="51" w:lineRule="exact"/>
        <w:rPr>
          <w:rFonts w:ascii="Arial" w:cs="Arial" w:eastAsia="Arial" w:hAnsi="Arial"/>
          <w:sz w:val="17"/>
          <w:szCs w:val="17"/>
          <w:color w:val="auto"/>
        </w:rPr>
      </w:pPr>
    </w:p>
    <w:p>
      <w:pPr>
        <w:ind w:left="1540" w:hanging="344"/>
        <w:spacing w:after="0"/>
        <w:tabs>
          <w:tab w:leader="none" w:pos="1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Consists of (a) 74,440 ordinary shares, all of which are held in the form of ADSs, and</w:t>
      </w:r>
    </w:p>
    <w:p>
      <w:pPr>
        <w:spacing w:after="0" w:line="20" w:lineRule="exact"/>
        <w:rPr>
          <w:rFonts w:ascii="Arial" w:cs="Arial" w:eastAsia="Arial" w:hAnsi="Arial"/>
          <w:sz w:val="17"/>
          <w:szCs w:val="17"/>
          <w:color w:val="auto"/>
        </w:rPr>
      </w:pPr>
    </w:p>
    <w:p>
      <w:pPr>
        <w:ind w:left="1800" w:hanging="263"/>
        <w:spacing w:after="0"/>
        <w:tabs>
          <w:tab w:leader="none" w:pos="18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168,384 ordinary shares underlying options that are exercisable or that will be exercisable within</w:t>
      </w:r>
    </w:p>
    <w:p>
      <w:pPr>
        <w:spacing w:after="0" w:line="20"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7"/>
          <w:szCs w:val="17"/>
          <w:color w:val="auto"/>
        </w:rPr>
        <w:t>60 days of March 1, 2022.</w:t>
      </w:r>
    </w:p>
    <w:p>
      <w:pPr>
        <w:spacing w:after="0" w:line="61" w:lineRule="exact"/>
        <w:rPr>
          <w:rFonts w:ascii="Arial" w:cs="Arial" w:eastAsia="Arial" w:hAnsi="Arial"/>
          <w:sz w:val="16"/>
          <w:szCs w:val="16"/>
          <w:color w:val="auto"/>
        </w:rPr>
      </w:pPr>
    </w:p>
    <w:p>
      <w:pPr>
        <w:ind w:left="1540" w:hanging="344"/>
        <w:spacing w:after="0"/>
        <w:tabs>
          <w:tab w:leader="none" w:pos="1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Consists of (a) 334,856 ordinary shares, all of which are held in the form of ADSs, and</w:t>
      </w:r>
    </w:p>
    <w:p>
      <w:pPr>
        <w:spacing w:after="0" w:line="20" w:lineRule="exact"/>
        <w:rPr>
          <w:rFonts w:ascii="Arial" w:cs="Arial" w:eastAsia="Arial" w:hAnsi="Arial"/>
          <w:sz w:val="17"/>
          <w:szCs w:val="17"/>
          <w:color w:val="auto"/>
        </w:rPr>
      </w:pPr>
    </w:p>
    <w:p>
      <w:pPr>
        <w:ind w:left="1800" w:hanging="263"/>
        <w:spacing w:after="0"/>
        <w:tabs>
          <w:tab w:leader="none" w:pos="18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48,000 ordinary shares underlying options that are exercisable or that will be exercisable within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60 days of March 1, 2022.</w:t>
      </w:r>
    </w:p>
    <w:p>
      <w:pPr>
        <w:spacing w:after="0" w:line="62" w:lineRule="exact"/>
        <w:rPr>
          <w:sz w:val="20"/>
          <w:szCs w:val="20"/>
          <w:color w:val="auto"/>
        </w:rPr>
      </w:pPr>
    </w:p>
    <w:p>
      <w:pPr>
        <w:ind w:left="1540" w:hanging="344"/>
        <w:spacing w:after="0"/>
        <w:tabs>
          <w:tab w:leader="none" w:pos="1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Consists of 6,445,048 ordinary shares, all of which are held in the form of ADSs.</w:t>
      </w:r>
    </w:p>
    <w:p>
      <w:pPr>
        <w:spacing w:after="0" w:line="73" w:lineRule="exact"/>
        <w:rPr>
          <w:rFonts w:ascii="Arial" w:cs="Arial" w:eastAsia="Arial" w:hAnsi="Arial"/>
          <w:sz w:val="17"/>
          <w:szCs w:val="17"/>
          <w:color w:val="auto"/>
        </w:rPr>
      </w:pPr>
    </w:p>
    <w:p>
      <w:pPr>
        <w:ind w:left="1540" w:hanging="344"/>
        <w:spacing w:after="0"/>
        <w:tabs>
          <w:tab w:leader="none" w:pos="1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Consists of (a) 1,411,960 ordinary shares, all of which are held in the form of ADSs,</w:t>
      </w:r>
    </w:p>
    <w:p>
      <w:pPr>
        <w:spacing w:after="0" w:line="20" w:lineRule="exact"/>
        <w:rPr>
          <w:rFonts w:ascii="Arial" w:cs="Arial" w:eastAsia="Arial" w:hAnsi="Arial"/>
          <w:sz w:val="17"/>
          <w:szCs w:val="17"/>
          <w:color w:val="auto"/>
        </w:rPr>
      </w:pPr>
    </w:p>
    <w:p>
      <w:pPr>
        <w:ind w:left="1800" w:hanging="263"/>
        <w:spacing w:after="0"/>
        <w:tabs>
          <w:tab w:leader="none" w:pos="18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540,000 ordinary shares underlying options that are exercisable or that will be exercisable within</w:t>
      </w:r>
    </w:p>
    <w:p>
      <w:pPr>
        <w:spacing w:after="0" w:line="20" w:lineRule="exact"/>
        <w:rPr>
          <w:rFonts w:ascii="Arial" w:cs="Arial" w:eastAsia="Arial" w:hAnsi="Arial"/>
          <w:sz w:val="16"/>
          <w:szCs w:val="16"/>
          <w:color w:val="auto"/>
        </w:rPr>
      </w:pPr>
    </w:p>
    <w:p>
      <w:pPr>
        <w:ind w:left="1540" w:right="639"/>
        <w:spacing w:after="0" w:line="262" w:lineRule="auto"/>
        <w:rPr>
          <w:rFonts w:ascii="Arial" w:cs="Arial" w:eastAsia="Arial" w:hAnsi="Arial"/>
          <w:sz w:val="16"/>
          <w:szCs w:val="16"/>
          <w:color w:val="auto"/>
        </w:rPr>
      </w:pPr>
      <w:r>
        <w:rPr>
          <w:rFonts w:ascii="Arial" w:cs="Arial" w:eastAsia="Arial" w:hAnsi="Arial"/>
          <w:sz w:val="17"/>
          <w:szCs w:val="17"/>
          <w:color w:val="auto"/>
        </w:rPr>
        <w:t>60 days of March 1, 2022, and (c) 70,000 ordinary shares underlying restricted share units that will vest within 60 days of March 1, 2022.</w:t>
      </w:r>
    </w:p>
    <w:p>
      <w:pPr>
        <w:spacing w:after="0" w:line="35" w:lineRule="exact"/>
        <w:rPr>
          <w:rFonts w:ascii="Arial" w:cs="Arial" w:eastAsia="Arial" w:hAnsi="Arial"/>
          <w:sz w:val="16"/>
          <w:szCs w:val="16"/>
          <w:color w:val="auto"/>
        </w:rPr>
      </w:pPr>
    </w:p>
    <w:p>
      <w:pPr>
        <w:ind w:left="1540" w:hanging="344"/>
        <w:spacing w:after="0"/>
        <w:tabs>
          <w:tab w:leader="none" w:pos="1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Consists of (a) 16,558,130 ordinary shares, 16,558,120 of which are held in the form of ADSs,</w:t>
      </w:r>
    </w:p>
    <w:p>
      <w:pPr>
        <w:spacing w:after="0" w:line="20" w:lineRule="exact"/>
        <w:rPr>
          <w:rFonts w:ascii="Arial" w:cs="Arial" w:eastAsia="Arial" w:hAnsi="Arial"/>
          <w:sz w:val="17"/>
          <w:szCs w:val="17"/>
          <w:color w:val="auto"/>
        </w:rPr>
      </w:pPr>
    </w:p>
    <w:p>
      <w:pPr>
        <w:ind w:left="1800" w:hanging="263"/>
        <w:spacing w:after="0"/>
        <w:tabs>
          <w:tab w:leader="none" w:pos="18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2,718,016 ordinary shares underlying options that are exercisable or that will be exercisable within</w:t>
      </w:r>
    </w:p>
    <w:p>
      <w:pPr>
        <w:spacing w:after="0" w:line="20" w:lineRule="exact"/>
        <w:rPr>
          <w:rFonts w:ascii="Arial" w:cs="Arial" w:eastAsia="Arial" w:hAnsi="Arial"/>
          <w:sz w:val="16"/>
          <w:szCs w:val="16"/>
          <w:color w:val="auto"/>
        </w:rPr>
      </w:pPr>
    </w:p>
    <w:p>
      <w:pPr>
        <w:ind w:left="1540" w:right="839"/>
        <w:spacing w:after="0" w:line="256" w:lineRule="auto"/>
        <w:rPr>
          <w:rFonts w:ascii="Arial" w:cs="Arial" w:eastAsia="Arial" w:hAnsi="Arial"/>
          <w:sz w:val="16"/>
          <w:szCs w:val="16"/>
          <w:color w:val="auto"/>
        </w:rPr>
      </w:pPr>
      <w:r>
        <w:rPr>
          <w:rFonts w:ascii="Arial" w:cs="Arial" w:eastAsia="Arial" w:hAnsi="Arial"/>
          <w:sz w:val="17"/>
          <w:szCs w:val="17"/>
          <w:color w:val="auto"/>
        </w:rPr>
        <w:t>60 days of March 1, 2022, (c) 225,080 ordinary shares underlying restricted share units that will vest within 60 days of March 1, 2022, and (d) 4,920 warrants to purchase ordinary shares that are exercisable within or that will be exercisable within 60 days of March 1, 2022.</w:t>
      </w:r>
    </w:p>
    <w:p>
      <w:pPr>
        <w:spacing w:after="0" w:line="169"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Delinquent Section 16(a) Reports</w:t>
      </w:r>
    </w:p>
    <w:p>
      <w:pPr>
        <w:spacing w:after="0" w:line="141" w:lineRule="exact"/>
        <w:rPr>
          <w:sz w:val="20"/>
          <w:szCs w:val="20"/>
          <w:color w:val="auto"/>
        </w:rPr>
      </w:pPr>
    </w:p>
    <w:p>
      <w:pPr>
        <w:ind w:left="1200" w:right="639" w:firstLine="341"/>
        <w:spacing w:after="0" w:line="238" w:lineRule="auto"/>
        <w:rPr>
          <w:sz w:val="20"/>
          <w:szCs w:val="20"/>
          <w:color w:val="auto"/>
        </w:rPr>
      </w:pPr>
      <w:r>
        <w:rPr>
          <w:rFonts w:ascii="Arial" w:cs="Arial" w:eastAsia="Arial" w:hAnsi="Arial"/>
          <w:sz w:val="17"/>
          <w:szCs w:val="17"/>
          <w:color w:val="auto"/>
        </w:rPr>
        <w:t>Section 16(a) of the Exchange Act requires our directors, officers (as defined under Rule 16a-1(f) under the Exchange Act)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To our knowledge, based solely on our review of the copies of such forms filed with the SEC and upon written representations of the Reporting Persons received by us, we believe that there has been a late Form 3 filing in January 2021 for OrbiMed Advisors LLC reporting two late transactions, a late Form 3 filing in January 2021 for Rishi Gupta reporting two late transactions, and a late Form 4 filing in August 2021 for David Zaccardelli reporting one late transaction.</w:t>
      </w:r>
    </w:p>
    <w:p>
      <w:pPr>
        <w:spacing w:after="0" w:line="172"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Certain Relationships</w:t>
      </w:r>
    </w:p>
    <w:p>
      <w:pPr>
        <w:spacing w:after="0" w:line="154"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POLICIES AND PROCEDURES FOR RELATED PERSON TRANSACTIONS</w:t>
      </w:r>
    </w:p>
    <w:p>
      <w:pPr>
        <w:spacing w:after="0" w:line="150" w:lineRule="exact"/>
        <w:rPr>
          <w:sz w:val="20"/>
          <w:szCs w:val="20"/>
          <w:color w:val="auto"/>
        </w:rPr>
      </w:pPr>
    </w:p>
    <w:p>
      <w:pPr>
        <w:ind w:left="1200" w:right="719" w:firstLine="341"/>
        <w:spacing w:after="0" w:line="260" w:lineRule="auto"/>
        <w:rPr>
          <w:sz w:val="20"/>
          <w:szCs w:val="20"/>
          <w:color w:val="auto"/>
        </w:rPr>
      </w:pPr>
      <w:r>
        <w:rPr>
          <w:rFonts w:ascii="Arial" w:cs="Arial" w:eastAsia="Arial" w:hAnsi="Arial"/>
          <w:sz w:val="16"/>
          <w:szCs w:val="16"/>
          <w:color w:val="auto"/>
        </w:rPr>
        <w:t>Our Board of Directors has adopted a written Related Person Transaction Policy, setting forth the policies and procedures for the review and approval or ratification of related person transactions. Under the policy, our finance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w:t>
      </w:r>
    </w:p>
    <w:p>
      <w:pPr>
        <w:sectPr>
          <w:pgSz w:w="11900" w:h="16838" w:orient="portrait"/>
          <w:cols w:equalWidth="0" w:num="1">
            <w:col w:w="9599"/>
          </w:cols>
          <w:pgMar w:left="860" w:top="131" w:right="1440" w:bottom="1440" w:gutter="0" w:footer="0" w:header="0"/>
        </w:sectPr>
      </w:pPr>
    </w:p>
    <w:p>
      <w:pPr>
        <w:spacing w:after="0" w:line="334"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258445</wp:posOffset>
            </wp:positionV>
            <wp:extent cx="646620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right="639"/>
        <w:spacing w:after="0" w:line="252" w:lineRule="auto"/>
        <w:rPr>
          <w:sz w:val="20"/>
          <w:szCs w:val="20"/>
          <w:color w:val="auto"/>
        </w:rPr>
      </w:pPr>
      <w:r>
        <w:rPr>
          <w:rFonts w:ascii="Arial" w:cs="Arial" w:eastAsia="Arial" w:hAnsi="Arial"/>
          <w:sz w:val="17"/>
          <w:szCs w:val="17"/>
          <w:color w:val="auto"/>
        </w:rPr>
        <w:t>person transactions do, in fact, constitute related person transactions requiring compliance with the policy. If our finance department determines that a transaction or relationship is a related person transaction requiring compliance with the policy, our Chief Financial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116" w:lineRule="exact"/>
        <w:rPr>
          <w:sz w:val="20"/>
          <w:szCs w:val="20"/>
          <w:color w:val="auto"/>
        </w:rPr>
      </w:pPr>
    </w:p>
    <w:p>
      <w:pPr>
        <w:ind w:left="1200" w:right="659" w:firstLine="341"/>
        <w:spacing w:after="0" w:line="259" w:lineRule="auto"/>
        <w:rPr>
          <w:sz w:val="20"/>
          <w:szCs w:val="20"/>
          <w:color w:val="auto"/>
        </w:rPr>
      </w:pPr>
      <w:r>
        <w:rPr>
          <w:rFonts w:ascii="Arial" w:cs="Arial" w:eastAsia="Arial" w:hAnsi="Arial"/>
          <w:sz w:val="17"/>
          <w:szCs w:val="17"/>
          <w:color w:val="auto"/>
        </w:rPr>
        <w:t>The following are certain transactions, arrangements and relationships with persons who are, or were during the period beginning January 1, 2020, our directors, executive officers or shareholders owning 5% or more of our outstanding ordinary shares, or any member of the immediate family of any of the foregoing persons.</w:t>
      </w:r>
    </w:p>
    <w:p>
      <w:pPr>
        <w:spacing w:after="0" w:line="116"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2020 PRIVATE PLACEMENT</w:t>
      </w:r>
    </w:p>
    <w:p>
      <w:pPr>
        <w:spacing w:after="0" w:line="150" w:lineRule="exact"/>
        <w:rPr>
          <w:sz w:val="20"/>
          <w:szCs w:val="20"/>
          <w:color w:val="auto"/>
        </w:rPr>
      </w:pPr>
    </w:p>
    <w:p>
      <w:pPr>
        <w:ind w:left="1200" w:right="859" w:firstLine="341"/>
        <w:spacing w:after="0" w:line="274" w:lineRule="auto"/>
        <w:rPr>
          <w:sz w:val="20"/>
          <w:szCs w:val="20"/>
          <w:color w:val="auto"/>
        </w:rPr>
      </w:pPr>
      <w:r>
        <w:rPr>
          <w:rFonts w:ascii="Arial" w:cs="Arial" w:eastAsia="Arial" w:hAnsi="Arial"/>
          <w:sz w:val="16"/>
          <w:szCs w:val="16"/>
          <w:color w:val="auto"/>
        </w:rPr>
        <w:t>On July 17, 2020, we entered into a securities purchase agreement (the “Purchase Agreement”), with certain purchasers. Pursuant to the Purchase Agreement, we agreed to sell an aggregate of</w:t>
      </w:r>
    </w:p>
    <w:p>
      <w:pPr>
        <w:ind w:left="1200" w:right="719"/>
        <w:spacing w:after="0" w:line="253" w:lineRule="auto"/>
        <w:rPr>
          <w:sz w:val="20"/>
          <w:szCs w:val="20"/>
          <w:color w:val="auto"/>
        </w:rPr>
      </w:pPr>
      <w:r>
        <w:rPr>
          <w:rFonts w:ascii="Arial" w:cs="Arial" w:eastAsia="Arial" w:hAnsi="Arial"/>
          <w:sz w:val="17"/>
          <w:szCs w:val="17"/>
          <w:color w:val="auto"/>
        </w:rPr>
        <w:t>38,440,009 ADSs, each representing eight ordinary shares, and 48,088,896 non-voting ordinary shares, at a purchase price equal to $4.50 per ADS and $0.5625 per non-voting ordinary share (the “2020 Private Placement”). The Purchase Agreement contained customary representations and warranties from us and the selling shareholders and customary closing conditions. The closing of the 2020 Private Placement occurred on July 22, 2020. We received aggregate gross proceeds from the 2020 Private Placement of approximately $200 million.</w:t>
      </w:r>
    </w:p>
    <w:p>
      <w:pPr>
        <w:spacing w:after="0" w:line="108" w:lineRule="exact"/>
        <w:rPr>
          <w:sz w:val="20"/>
          <w:szCs w:val="20"/>
          <w:color w:val="auto"/>
        </w:rPr>
      </w:pPr>
    </w:p>
    <w:p>
      <w:pPr>
        <w:ind w:left="1200" w:right="679" w:firstLine="341"/>
        <w:spacing w:after="0" w:line="254" w:lineRule="auto"/>
        <w:rPr>
          <w:sz w:val="20"/>
          <w:szCs w:val="20"/>
          <w:color w:val="auto"/>
        </w:rPr>
      </w:pPr>
      <w:r>
        <w:rPr>
          <w:rFonts w:ascii="Arial" w:cs="Arial" w:eastAsia="Arial" w:hAnsi="Arial"/>
          <w:sz w:val="17"/>
          <w:szCs w:val="17"/>
          <w:color w:val="auto"/>
        </w:rPr>
        <w:t>In connection with the 2020 Private Placement, we entered into a registration rights agreement with the purchasers (the “2020 Registration Rights Agreement”). Pursuant to the 2020 Registration Rights Agreement, we agreed to prepare and file a registration statement with the SEC no later than 30 days following the closing date for purposes of registering the resale of the ordinary shares underlying the ADSs and the ordinary shares into which the non-voting ordinary shares may be re-designated. We also agreed to use our commercially reasonable efforts to cause the registration statement to be declared effective by the SEC. Under 2020 Registration Rights Agreement, we agreed to pay all expenses relating to the registration, other than selling commission, discounts or brokerage fees and stock transfer taxes, subject to specified conditions and limitations.</w:t>
      </w:r>
    </w:p>
    <w:p>
      <w:pPr>
        <w:spacing w:after="0" w:line="121" w:lineRule="exact"/>
        <w:rPr>
          <w:sz w:val="20"/>
          <w:szCs w:val="20"/>
          <w:color w:val="auto"/>
        </w:rPr>
      </w:pPr>
    </w:p>
    <w:p>
      <w:pPr>
        <w:ind w:left="1200" w:right="759" w:firstLine="341"/>
        <w:spacing w:after="0" w:line="263" w:lineRule="auto"/>
        <w:rPr>
          <w:sz w:val="20"/>
          <w:szCs w:val="20"/>
          <w:color w:val="auto"/>
        </w:rPr>
      </w:pPr>
      <w:r>
        <w:rPr>
          <w:rFonts w:ascii="Arial" w:cs="Arial" w:eastAsia="Arial" w:hAnsi="Arial"/>
          <w:sz w:val="17"/>
          <w:szCs w:val="17"/>
          <w:color w:val="auto"/>
        </w:rPr>
        <w:t>The following table sets forth the aggregate number of ADSs and non-voting ordinary shares acquired by our directors, executive officers and our major shareholders in the 2020 Private Placement. Each ADS represents eight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244475</wp:posOffset>
            </wp:positionV>
            <wp:extent cx="646620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Participants</w:t>
            </w:r>
            <w:r>
              <w:rPr>
                <w:rFonts w:ascii="Arial" w:cs="Arial" w:eastAsia="Arial" w:hAnsi="Arial"/>
                <w:sz w:val="17"/>
                <w:szCs w:val="17"/>
                <w:b w:val="1"/>
                <w:bCs w:val="1"/>
                <w:color w:val="auto"/>
                <w:vertAlign w:val="superscript"/>
              </w:rPr>
              <w:t>(1)</w:t>
            </w:r>
          </w:p>
        </w:tc>
        <w:tc>
          <w:tcPr>
            <w:tcW w:w="200" w:type="dxa"/>
            <w:vAlign w:val="bottom"/>
            <w:vMerge w:val="restart"/>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Arial" w:cs="Arial" w:eastAsia="Arial" w:hAnsi="Arial"/>
                <w:sz w:val="14"/>
                <w:szCs w:val="14"/>
                <w:b w:val="1"/>
                <w:bCs w:val="1"/>
                <w:color w:val="auto"/>
              </w:rPr>
              <w:t>Non-Voting</w:t>
            </w:r>
          </w:p>
        </w:tc>
        <w:tc>
          <w:tcPr>
            <w:tcW w:w="0" w:type="dxa"/>
            <w:vAlign w:val="bottom"/>
          </w:tcPr>
          <w:p>
            <w:pPr>
              <w:spacing w:after="0"/>
              <w:rPr>
                <w:sz w:val="1"/>
                <w:szCs w:val="1"/>
                <w:color w:val="auto"/>
              </w:rPr>
            </w:pPr>
          </w:p>
        </w:tc>
      </w:tr>
      <w:tr>
        <w:trPr>
          <w:trHeight w:val="199"/>
        </w:trPr>
        <w:tc>
          <w:tcPr>
            <w:tcW w:w="50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vMerge w:val="continue"/>
          </w:tcPr>
          <w:p>
            <w:pPr>
              <w:spacing w:after="0"/>
              <w:rPr>
                <w:sz w:val="17"/>
                <w:szCs w:val="17"/>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ADSs</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Ordinary Shares</w:t>
            </w:r>
          </w:p>
        </w:tc>
        <w:tc>
          <w:tcPr>
            <w:tcW w:w="0" w:type="dxa"/>
            <w:vAlign w:val="bottom"/>
          </w:tcPr>
          <w:p>
            <w:pPr>
              <w:spacing w:after="0"/>
              <w:rPr>
                <w:sz w:val="1"/>
                <w:szCs w:val="1"/>
                <w:color w:val="auto"/>
              </w:rPr>
            </w:pPr>
          </w:p>
        </w:tc>
      </w:tr>
      <w:tr>
        <w:trPr>
          <w:trHeight w:val="236"/>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 Capital Healthcare Fund L.P.</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2"/>
              </w:rPr>
              <w:t>4,596,313</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43,339,542</w:t>
            </w:r>
          </w:p>
        </w:tc>
        <w:tc>
          <w:tcPr>
            <w:tcW w:w="0" w:type="dxa"/>
            <w:vAlign w:val="bottom"/>
          </w:tcPr>
          <w:p>
            <w:pPr>
              <w:spacing w:after="0"/>
              <w:rPr>
                <w:sz w:val="1"/>
                <w:szCs w:val="1"/>
                <w:color w:val="auto"/>
              </w:rPr>
            </w:pPr>
          </w:p>
        </w:tc>
      </w:tr>
      <w:tr>
        <w:trPr>
          <w:trHeight w:val="242"/>
        </w:trPr>
        <w:tc>
          <w:tcPr>
            <w:tcW w:w="5220" w:type="dxa"/>
            <w:vAlign w:val="bottom"/>
            <w:gridSpan w:val="2"/>
          </w:tcPr>
          <w:p>
            <w:pPr>
              <w:spacing w:after="0"/>
              <w:rPr>
                <w:sz w:val="20"/>
                <w:szCs w:val="20"/>
                <w:color w:val="auto"/>
              </w:rPr>
            </w:pPr>
            <w:r>
              <w:rPr>
                <w:rFonts w:ascii="Arial" w:cs="Arial" w:eastAsia="Arial" w:hAnsi="Arial"/>
                <w:sz w:val="17"/>
                <w:szCs w:val="17"/>
                <w:color w:val="auto"/>
              </w:rPr>
              <w:t>Blackwell Partners LLC - Series A</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503,687</w:t>
            </w:r>
          </w:p>
        </w:tc>
        <w:tc>
          <w:tcPr>
            <w:tcW w:w="940" w:type="dxa"/>
            <w:vAlign w:val="bottom"/>
          </w:tcPr>
          <w:p>
            <w:pPr>
              <w:jc w:val="right"/>
              <w:spacing w:after="0"/>
              <w:rPr>
                <w:sz w:val="20"/>
                <w:szCs w:val="20"/>
                <w:color w:val="auto"/>
              </w:rPr>
            </w:pPr>
            <w:r>
              <w:rPr>
                <w:rFonts w:ascii="Arial" w:cs="Arial" w:eastAsia="Arial" w:hAnsi="Arial"/>
                <w:sz w:val="17"/>
                <w:szCs w:val="17"/>
                <w:color w:val="auto"/>
              </w:rPr>
              <w:t>4,749,354</w:t>
            </w:r>
          </w:p>
        </w:tc>
        <w:tc>
          <w:tcPr>
            <w:tcW w:w="0" w:type="dxa"/>
            <w:vAlign w:val="bottom"/>
          </w:tcPr>
          <w:p>
            <w:pPr>
              <w:spacing w:after="0"/>
              <w:rPr>
                <w:sz w:val="1"/>
                <w:szCs w:val="1"/>
                <w:color w:val="auto"/>
              </w:rPr>
            </w:pPr>
          </w:p>
        </w:tc>
      </w:tr>
      <w:tr>
        <w:trPr>
          <w:trHeight w:val="244"/>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AI Biotechnology LLC</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2"/>
              </w:rPr>
              <w:t>5,555,556</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5220" w:type="dxa"/>
            <w:vAlign w:val="bottom"/>
            <w:gridSpan w:val="2"/>
          </w:tcPr>
          <w:p>
            <w:pPr>
              <w:spacing w:after="0"/>
              <w:rPr>
                <w:sz w:val="20"/>
                <w:szCs w:val="20"/>
                <w:color w:val="auto"/>
              </w:rPr>
            </w:pPr>
            <w:r>
              <w:rPr>
                <w:rFonts w:ascii="Arial" w:cs="Arial" w:eastAsia="Arial" w:hAnsi="Arial"/>
                <w:sz w:val="17"/>
                <w:szCs w:val="17"/>
                <w:color w:val="auto"/>
              </w:rPr>
              <w:t>Growth Equity Opportunities 17 LP</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w w:val="92"/>
              </w:rPr>
              <w:t>3,888,889</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9"/>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OrbiMed Private Investments VI, LP</w:t>
            </w:r>
            <w:r>
              <w:rPr>
                <w:rFonts w:ascii="Arial" w:cs="Arial" w:eastAsia="Arial" w:hAnsi="Arial"/>
                <w:sz w:val="22"/>
                <w:szCs w:val="22"/>
                <w:color w:val="auto"/>
                <w:vertAlign w:val="superscript"/>
              </w:rPr>
              <w:t>(2)</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2"/>
              </w:rPr>
              <w:t>3,777,778</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5220" w:type="dxa"/>
            <w:vAlign w:val="bottom"/>
            <w:gridSpan w:val="2"/>
          </w:tcPr>
          <w:p>
            <w:pPr>
              <w:spacing w:after="0"/>
              <w:rPr>
                <w:sz w:val="20"/>
                <w:szCs w:val="20"/>
                <w:color w:val="auto"/>
              </w:rPr>
            </w:pPr>
            <w:r>
              <w:rPr>
                <w:rFonts w:ascii="Arial" w:cs="Arial" w:eastAsia="Arial" w:hAnsi="Arial"/>
                <w:sz w:val="17"/>
                <w:szCs w:val="17"/>
                <w:color w:val="auto"/>
              </w:rPr>
              <w:t>Perceptive Life Sciences Masters Fund, Ltd.</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w w:val="92"/>
              </w:rPr>
              <w:t>2,888,889</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9"/>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Abingworth Bioventures VI, LP</w:t>
            </w:r>
            <w:r>
              <w:rPr>
                <w:rFonts w:ascii="Arial" w:cs="Arial" w:eastAsia="Arial" w:hAnsi="Arial"/>
                <w:sz w:val="22"/>
                <w:szCs w:val="22"/>
                <w:color w:val="auto"/>
                <w:vertAlign w:val="superscript"/>
              </w:rPr>
              <w:t>(3)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2"/>
              </w:rPr>
              <w:t>1,555,556</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9"/>
        </w:trPr>
        <w:tc>
          <w:tcPr>
            <w:tcW w:w="5220" w:type="dxa"/>
            <w:vAlign w:val="bottom"/>
            <w:gridSpan w:val="2"/>
          </w:tcPr>
          <w:p>
            <w:pPr>
              <w:spacing w:after="0"/>
              <w:rPr>
                <w:sz w:val="20"/>
                <w:szCs w:val="20"/>
                <w:color w:val="auto"/>
              </w:rPr>
            </w:pPr>
            <w:r>
              <w:rPr>
                <w:rFonts w:ascii="Arial" w:cs="Arial" w:eastAsia="Arial" w:hAnsi="Arial"/>
                <w:sz w:val="17"/>
                <w:szCs w:val="17"/>
                <w:color w:val="auto"/>
              </w:rPr>
              <w:t>Vivo Venture Fund Cayman VII, L.P.</w:t>
            </w:r>
            <w:r>
              <w:rPr>
                <w:rFonts w:ascii="Arial" w:cs="Arial" w:eastAsia="Arial" w:hAnsi="Arial"/>
                <w:sz w:val="22"/>
                <w:szCs w:val="22"/>
                <w:color w:val="auto"/>
                <w:vertAlign w:val="superscript"/>
              </w:rPr>
              <w:t>(4)</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w w:val="92"/>
              </w:rPr>
              <w:t>1,244,445</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9"/>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Vivo Ventures Fund VII, L.P.</w:t>
            </w:r>
            <w:r>
              <w:rPr>
                <w:rFonts w:ascii="Arial" w:cs="Arial" w:eastAsia="Arial" w:hAnsi="Arial"/>
                <w:sz w:val="22"/>
                <w:szCs w:val="22"/>
                <w:color w:val="auto"/>
                <w:vertAlign w:val="superscript"/>
              </w:rPr>
              <w:t>(4)</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304,475</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9"/>
        </w:trPr>
        <w:tc>
          <w:tcPr>
            <w:tcW w:w="5220" w:type="dxa"/>
            <w:vAlign w:val="bottom"/>
            <w:gridSpan w:val="2"/>
          </w:tcPr>
          <w:p>
            <w:pPr>
              <w:spacing w:after="0"/>
              <w:rPr>
                <w:sz w:val="20"/>
                <w:szCs w:val="20"/>
                <w:color w:val="auto"/>
              </w:rPr>
            </w:pPr>
            <w:r>
              <w:rPr>
                <w:rFonts w:ascii="Arial" w:cs="Arial" w:eastAsia="Arial" w:hAnsi="Arial"/>
                <w:sz w:val="17"/>
                <w:szCs w:val="17"/>
                <w:color w:val="auto"/>
              </w:rPr>
              <w:t>Vivo Ventures VII Affiliates Fund, L.P.</w:t>
            </w:r>
            <w:r>
              <w:rPr>
                <w:rFonts w:ascii="Arial" w:cs="Arial" w:eastAsia="Arial" w:hAnsi="Arial"/>
                <w:sz w:val="22"/>
                <w:szCs w:val="22"/>
                <w:color w:val="auto"/>
                <w:vertAlign w:val="superscript"/>
              </w:rPr>
              <w:t>(4)</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6,636</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9"/>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Novo Holdings A/S</w:t>
            </w:r>
            <w:r>
              <w:rPr>
                <w:rFonts w:ascii="Arial" w:cs="Arial" w:eastAsia="Arial" w:hAnsi="Arial"/>
                <w:sz w:val="22"/>
                <w:szCs w:val="22"/>
                <w:color w:val="auto"/>
                <w:vertAlign w:val="superscript"/>
              </w:rPr>
              <w:t>(5)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2"/>
              </w:rPr>
              <w:t>1,111,111</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5220" w:type="dxa"/>
            <w:vAlign w:val="bottom"/>
            <w:gridSpan w:val="2"/>
          </w:tcPr>
          <w:p>
            <w:pPr>
              <w:spacing w:after="0"/>
              <w:rPr>
                <w:sz w:val="20"/>
                <w:szCs w:val="20"/>
                <w:color w:val="auto"/>
              </w:rPr>
            </w:pPr>
            <w:r>
              <w:rPr>
                <w:rFonts w:ascii="Arial" w:cs="Arial" w:eastAsia="Arial" w:hAnsi="Arial"/>
                <w:sz w:val="17"/>
                <w:szCs w:val="17"/>
                <w:color w:val="auto"/>
              </w:rPr>
              <w:t>David Zaccardelli, Pharm.D.</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55,555</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4"/>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Mark W. Hahn</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22,223</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5220" w:type="dxa"/>
            <w:vAlign w:val="bottom"/>
            <w:gridSpan w:val="2"/>
          </w:tcPr>
          <w:p>
            <w:pPr>
              <w:spacing w:after="0"/>
              <w:rPr>
                <w:sz w:val="20"/>
                <w:szCs w:val="20"/>
                <w:color w:val="auto"/>
              </w:rPr>
            </w:pPr>
            <w:r>
              <w:rPr>
                <w:rFonts w:ascii="Arial" w:cs="Arial" w:eastAsia="Arial" w:hAnsi="Arial"/>
                <w:sz w:val="17"/>
                <w:szCs w:val="17"/>
                <w:color w:val="auto"/>
              </w:rPr>
              <w:t>Martin Edwards, Ph.D.</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6,666</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4743450</wp:posOffset>
            </wp:positionH>
            <wp:positionV relativeFrom="paragraph">
              <wp:posOffset>-2265045</wp:posOffset>
            </wp:positionV>
            <wp:extent cx="1301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-2265045</wp:posOffset>
            </wp:positionV>
            <wp:extent cx="1301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130810</wp:posOffset>
            </wp:positionV>
            <wp:extent cx="11696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301" w:lineRule="exact"/>
        <w:rPr>
          <w:sz w:val="20"/>
          <w:szCs w:val="20"/>
          <w:color w:val="auto"/>
        </w:rPr>
      </w:pPr>
    </w:p>
    <w:p>
      <w:pPr>
        <w:ind w:left="1540" w:right="699" w:hanging="344"/>
        <w:spacing w:after="0" w:line="263" w:lineRule="auto"/>
        <w:tabs>
          <w:tab w:leader="none" w:pos="1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Additional details regarding certain of these shareholders and their equity holdings are provided in this proxy statement under the caption “Security Ownership of Certain Beneficial Owners and Management.”</w:t>
      </w:r>
    </w:p>
    <w:p>
      <w:pPr>
        <w:spacing w:after="0" w:line="22" w:lineRule="exact"/>
        <w:rPr>
          <w:rFonts w:ascii="Arial" w:cs="Arial" w:eastAsia="Arial" w:hAnsi="Arial"/>
          <w:sz w:val="17"/>
          <w:szCs w:val="17"/>
          <w:color w:val="auto"/>
        </w:rPr>
      </w:pPr>
    </w:p>
    <w:p>
      <w:pPr>
        <w:ind w:left="1540" w:hanging="344"/>
        <w:spacing w:after="0"/>
        <w:tabs>
          <w:tab w:leader="none" w:pos="1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Associated with Rishi Gupta, one of our directors.</w:t>
      </w:r>
    </w:p>
    <w:p>
      <w:pPr>
        <w:spacing w:after="0" w:line="60" w:lineRule="exact"/>
        <w:rPr>
          <w:rFonts w:ascii="Arial" w:cs="Arial" w:eastAsia="Arial" w:hAnsi="Arial"/>
          <w:sz w:val="17"/>
          <w:szCs w:val="17"/>
          <w:color w:val="auto"/>
        </w:rPr>
      </w:pPr>
    </w:p>
    <w:p>
      <w:pPr>
        <w:ind w:left="1540" w:hanging="344"/>
        <w:spacing w:after="0"/>
        <w:tabs>
          <w:tab w:leader="none" w:pos="1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Associated with Andrew Sinclair, Ph.D., one of our directors.</w:t>
      </w:r>
    </w:p>
    <w:p>
      <w:pPr>
        <w:spacing w:after="0" w:line="60" w:lineRule="exact"/>
        <w:rPr>
          <w:rFonts w:ascii="Arial" w:cs="Arial" w:eastAsia="Arial" w:hAnsi="Arial"/>
          <w:sz w:val="17"/>
          <w:szCs w:val="17"/>
          <w:color w:val="auto"/>
        </w:rPr>
      </w:pPr>
    </w:p>
    <w:p>
      <w:pPr>
        <w:ind w:left="1540" w:hanging="344"/>
        <w:spacing w:after="0"/>
        <w:tabs>
          <w:tab w:leader="none" w:pos="1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Associated with Mahendra Shah, Ph.D., one of our directors.</w:t>
      </w:r>
    </w:p>
    <w:p>
      <w:pPr>
        <w:spacing w:after="0" w:line="47" w:lineRule="exact"/>
        <w:rPr>
          <w:rFonts w:ascii="Arial" w:cs="Arial" w:eastAsia="Arial" w:hAnsi="Arial"/>
          <w:sz w:val="17"/>
          <w:szCs w:val="17"/>
          <w:color w:val="auto"/>
        </w:rPr>
      </w:pPr>
    </w:p>
    <w:p>
      <w:pPr>
        <w:ind w:left="1540" w:hanging="344"/>
        <w:spacing w:after="0"/>
        <w:tabs>
          <w:tab w:leader="none" w:pos="1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Former holder of 5% or more of our outstanding ordinary shares.</w:t>
      </w:r>
    </w:p>
    <w:p>
      <w:pPr>
        <w:spacing w:after="0" w:line="149" w:lineRule="exact"/>
        <w:rPr>
          <w:rFonts w:ascii="Arial" w:cs="Arial" w:eastAsia="Arial" w:hAnsi="Arial"/>
          <w:sz w:val="17"/>
          <w:szCs w:val="17"/>
          <w:color w:val="auto"/>
        </w:rPr>
      </w:pPr>
    </w:p>
    <w:p>
      <w:pPr>
        <w:ind w:left="1540"/>
        <w:spacing w:after="0"/>
        <w:rPr>
          <w:rFonts w:ascii="Arial" w:cs="Arial" w:eastAsia="Arial" w:hAnsi="Arial"/>
          <w:sz w:val="17"/>
          <w:szCs w:val="17"/>
          <w:color w:val="auto"/>
        </w:rPr>
      </w:pPr>
      <w:r>
        <w:rPr>
          <w:rFonts w:ascii="Arial" w:cs="Arial" w:eastAsia="Arial" w:hAnsi="Arial"/>
          <w:sz w:val="17"/>
          <w:szCs w:val="17"/>
          <w:color w:val="auto"/>
        </w:rPr>
        <w:t>CONCURRENT PLACEMENT</w:t>
      </w:r>
    </w:p>
    <w:p>
      <w:pPr>
        <w:spacing w:after="0" w:line="150" w:lineRule="exact"/>
        <w:rPr>
          <w:sz w:val="20"/>
          <w:szCs w:val="20"/>
          <w:color w:val="auto"/>
        </w:rPr>
      </w:pPr>
    </w:p>
    <w:p>
      <w:pPr>
        <w:ind w:left="1200" w:right="799" w:firstLine="341"/>
        <w:spacing w:after="0" w:line="248" w:lineRule="auto"/>
        <w:rPr>
          <w:sz w:val="20"/>
          <w:szCs w:val="20"/>
          <w:color w:val="auto"/>
        </w:rPr>
      </w:pPr>
      <w:r>
        <w:rPr>
          <w:rFonts w:ascii="Arial" w:cs="Arial" w:eastAsia="Arial" w:hAnsi="Arial"/>
          <w:sz w:val="17"/>
          <w:szCs w:val="17"/>
          <w:color w:val="auto"/>
        </w:rPr>
        <w:t>On July 14, 2020, we entered into a subscription agreement with David Ebsworth, Ph.D., one of our directors, pursuant to which Dr. Ebsworth purchased 222,216 ordinary shares at a purchase price per share of £0.45 concurrently with, and contingent upon, the 2020 Private Placement.</w:t>
      </w:r>
    </w:p>
    <w:p>
      <w:pPr>
        <w:spacing w:after="0" w:line="98"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2016 REGISTRATION RIGHTS AGREEMENT</w:t>
      </w:r>
    </w:p>
    <w:p>
      <w:pPr>
        <w:spacing w:after="0" w:line="150" w:lineRule="exact"/>
        <w:rPr>
          <w:sz w:val="20"/>
          <w:szCs w:val="20"/>
          <w:color w:val="auto"/>
        </w:rPr>
      </w:pPr>
    </w:p>
    <w:p>
      <w:pPr>
        <w:ind w:left="1200" w:right="779" w:firstLine="341"/>
        <w:spacing w:after="0"/>
        <w:rPr>
          <w:sz w:val="20"/>
          <w:szCs w:val="20"/>
          <w:color w:val="auto"/>
        </w:rPr>
      </w:pPr>
      <w:r>
        <w:rPr>
          <w:rFonts w:ascii="Arial" w:cs="Arial" w:eastAsia="Arial" w:hAnsi="Arial"/>
          <w:sz w:val="17"/>
          <w:szCs w:val="17"/>
          <w:color w:val="auto"/>
        </w:rPr>
        <w:t>In July 2016, we entered into a registration rights agreement (the “2016 Registration Rights Agreement”), which provides certain demand registration rights to Abingworth Bioventures VI, LP (“Abingworth”), Growth Equity Opportunities Fund IV, LLC, OrbiMed Private Investments VI, LP (“OrbiMed”), and Vivo Ventures Fund VII, L.P., Vivo Ventures VII Affiliates Fund, L.P., Vivo Ventures Fund VI, L.P., and Vivo Ventures Fund VI Affiliates Fund, L.P. (collectively, “Vivo Capital”), with respect to the ordinary shares and any ADSs held by them.</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150" w:lineRule="exact"/>
        <w:rPr>
          <w:sz w:val="20"/>
          <w:szCs w:val="20"/>
          <w:color w:val="auto"/>
        </w:rPr>
      </w:pPr>
    </w:p>
    <w:p>
      <w:pPr>
        <w:ind w:left="1200" w:right="719" w:firstLine="341"/>
        <w:spacing w:after="0" w:line="258" w:lineRule="auto"/>
        <w:rPr>
          <w:sz w:val="20"/>
          <w:szCs w:val="20"/>
          <w:color w:val="auto"/>
        </w:rPr>
      </w:pPr>
      <w:r>
        <w:rPr>
          <w:rFonts w:ascii="Arial" w:cs="Arial" w:eastAsia="Arial" w:hAnsi="Arial"/>
          <w:sz w:val="16"/>
          <w:szCs w:val="16"/>
          <w:color w:val="auto"/>
        </w:rPr>
        <w:t>At any time, the holders of at least a majority of the registrable securities as defined in the 2016 Registration Rights Agreement have the right to demand that we effect an underwritten public offering of their registrable securities pursuant to an effective registration statement under the Securities Act. These registration rights are subject to specified conditions and limitations including the right of the underwriters, if any, to limit the number of shares included in any such registration under specified circumstances. Upon such a request, we are required to use commercially reasonable efforts to effect the public offering.</w:t>
      </w:r>
    </w:p>
    <w:p>
      <w:pPr>
        <w:spacing w:after="0" w:line="169"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auto"/>
        </w:rPr>
        <w:t>Expenses of Registration</w:t>
      </w:r>
    </w:p>
    <w:p>
      <w:pPr>
        <w:spacing w:after="0" w:line="137" w:lineRule="exact"/>
        <w:rPr>
          <w:sz w:val="20"/>
          <w:szCs w:val="20"/>
          <w:color w:val="auto"/>
        </w:rPr>
      </w:pPr>
    </w:p>
    <w:p>
      <w:pPr>
        <w:jc w:val="both"/>
        <w:ind w:left="1200" w:right="959" w:firstLine="341"/>
        <w:spacing w:after="0" w:line="248" w:lineRule="auto"/>
        <w:rPr>
          <w:sz w:val="20"/>
          <w:szCs w:val="20"/>
          <w:color w:val="auto"/>
        </w:rPr>
      </w:pPr>
      <w:r>
        <w:rPr>
          <w:rFonts w:ascii="Arial" w:cs="Arial" w:eastAsia="Arial" w:hAnsi="Arial"/>
          <w:sz w:val="17"/>
          <w:szCs w:val="17"/>
          <w:color w:val="auto"/>
        </w:rPr>
        <w:t>Under the 2016 Registration Rights Agreement we will pay all expenses relating to any registration under the registration rights agreement, other than selling commission, discounts or brokerage fees and stock transfer taxes, subject to specified conditions and limitations.</w:t>
      </w:r>
    </w:p>
    <w:p>
      <w:pPr>
        <w:spacing w:after="0" w:line="35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137" w:lineRule="exact"/>
        <w:rPr>
          <w:sz w:val="20"/>
          <w:szCs w:val="20"/>
          <w:color w:val="auto"/>
        </w:rPr>
      </w:pPr>
    </w:p>
    <w:p>
      <w:pPr>
        <w:ind w:left="1200" w:right="659" w:firstLine="341"/>
        <w:spacing w:after="0" w:line="254" w:lineRule="auto"/>
        <w:rPr>
          <w:sz w:val="20"/>
          <w:szCs w:val="20"/>
          <w:color w:val="auto"/>
        </w:rPr>
      </w:pPr>
      <w:r>
        <w:rPr>
          <w:rFonts w:ascii="Arial" w:cs="Arial" w:eastAsia="Arial" w:hAnsi="Arial"/>
          <w:sz w:val="16"/>
          <w:szCs w:val="16"/>
          <w:color w:val="auto"/>
        </w:rPr>
        <w:t>The registration rights granted under the 2016 Registration Rights Agreement terminate upon the earlier to occur of (i) the fifth anniversary of the closing of global offering of ordinary shares offered by us, consisting of ordinary shares in the form of ADSs offered in the U.S. offering and ordinary shares offered in the European private placement, as described in our prospectus filed with the SEC on April 28, 2017, and</w:t>
      </w:r>
    </w:p>
    <w:p>
      <w:pPr>
        <w:spacing w:after="0" w:line="3" w:lineRule="exact"/>
        <w:rPr>
          <w:sz w:val="20"/>
          <w:szCs w:val="20"/>
          <w:color w:val="auto"/>
        </w:rPr>
      </w:pPr>
    </w:p>
    <w:p>
      <w:pPr>
        <w:ind w:left="1200" w:right="1259" w:hanging="4"/>
        <w:spacing w:after="0" w:line="243" w:lineRule="auto"/>
        <w:tabs>
          <w:tab w:leader="none" w:pos="146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date on which there are no registrable securities remaining pursuant to the registration rights agreement.</w:t>
      </w:r>
    </w:p>
    <w:p>
      <w:pPr>
        <w:spacing w:after="0" w:line="115"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OTHER AGREEMENTS AND TRANSACTIONS</w:t>
      </w:r>
    </w:p>
    <w:p>
      <w:pPr>
        <w:spacing w:after="0" w:line="214"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auto"/>
        </w:rPr>
        <w:t>Relationship Agreements</w:t>
      </w:r>
    </w:p>
    <w:p>
      <w:pPr>
        <w:spacing w:after="0" w:line="150" w:lineRule="exact"/>
        <w:rPr>
          <w:sz w:val="20"/>
          <w:szCs w:val="20"/>
          <w:color w:val="auto"/>
        </w:rPr>
      </w:pPr>
    </w:p>
    <w:p>
      <w:pPr>
        <w:ind w:left="1200" w:right="639" w:firstLine="341"/>
        <w:spacing w:after="0" w:line="253" w:lineRule="auto"/>
        <w:rPr>
          <w:sz w:val="20"/>
          <w:szCs w:val="20"/>
          <w:color w:val="auto"/>
        </w:rPr>
      </w:pPr>
      <w:r>
        <w:rPr>
          <w:rFonts w:ascii="Arial" w:cs="Arial" w:eastAsia="Arial" w:hAnsi="Arial"/>
          <w:sz w:val="16"/>
          <w:szCs w:val="16"/>
          <w:color w:val="auto"/>
        </w:rPr>
        <w:t>In June 2016, we entered into relationship agreements with each of Vivo Capital, OrbiMed and Abingworth, pursuant to which our relationship with such parties is regulated and their influence over our corporate actions and activities, and the outcome of general matters pertaining to us, are limited. Pursuant to the relationship agreements, we also agreed to appoint representatives designated by Vivo Capital, OrbiMed and Abingworth to our Board of Directors, who are Dr. Mahendra Shah, Mr. Rishi Gupta, and Dr. Andrew Sinclair, respectively. The appointment rights under the relationship agreements will automatically terminate upon (i) Vivo Capital, OrbiMed or Abingworth (or any of their associates), as applicable, ceasing to beneficially hold 6.5% of our issued ordinary shares, or (ii) our ordinary shares ceasing to be admitted to AIM. In addition, each of the relationship agreements will automatically terminate upon the first date which Vivo Capital, OrbiMed or Abingworth, as applicable, cease to have certain rights and obligations under the relationship agreements. Upon closing of the 2020 Private Placement, Vivo Capital and Abingworth ceased to beneficially hold 6.5% of our issued ordinary shares and, as a result, the appointment rights under the relationship agreements with such parties and the relationship agreements themselves automatically terminated as of July 22, 2020. On October 30, 2020, our ordinary shares were delisted from AIM and, as a result, the appointment rights under the relationship agreement with OrbiMed and the relationship agreement itself automatically terminated.</w:t>
      </w: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137" w:lineRule="exact"/>
        <w:rPr>
          <w:sz w:val="20"/>
          <w:szCs w:val="20"/>
          <w:color w:val="auto"/>
        </w:rPr>
      </w:pPr>
    </w:p>
    <w:p>
      <w:pPr>
        <w:ind w:left="1200" w:right="679" w:firstLine="341"/>
        <w:spacing w:after="0" w:line="243" w:lineRule="auto"/>
        <w:rPr>
          <w:sz w:val="20"/>
          <w:szCs w:val="20"/>
          <w:color w:val="auto"/>
        </w:rPr>
      </w:pPr>
      <w:r>
        <w:rPr>
          <w:rFonts w:ascii="Arial" w:cs="Arial" w:eastAsia="Arial" w:hAnsi="Arial"/>
          <w:sz w:val="17"/>
          <w:szCs w:val="17"/>
          <w:color w:val="auto"/>
        </w:rPr>
        <w:t>To the extent permitted by the U.K. Companies Act 2006, we are empowered to indemnify our directors against any liability they incur by reason of their directorship. We have also entered into a deed of indemnity with each of our directors and executive officers. In addition to such indemnification, we provide our directors and executive officers with directors’ and officers’ liability insurance.</w:t>
      </w:r>
    </w:p>
    <w:p>
      <w:pPr>
        <w:spacing w:after="0" w:line="180"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auto"/>
        </w:rPr>
        <w:t>Agreements with Our Executive Officers and Directors</w:t>
      </w:r>
    </w:p>
    <w:p>
      <w:pPr>
        <w:spacing w:after="0" w:line="150" w:lineRule="exact"/>
        <w:rPr>
          <w:sz w:val="20"/>
          <w:szCs w:val="20"/>
          <w:color w:val="auto"/>
        </w:rPr>
      </w:pPr>
    </w:p>
    <w:p>
      <w:pPr>
        <w:ind w:left="1200" w:right="719" w:firstLine="341"/>
        <w:spacing w:after="0" w:line="271" w:lineRule="auto"/>
        <w:rPr>
          <w:sz w:val="20"/>
          <w:szCs w:val="20"/>
          <w:color w:val="auto"/>
        </w:rPr>
      </w:pPr>
      <w:r>
        <w:rPr>
          <w:rFonts w:ascii="Arial" w:cs="Arial" w:eastAsia="Arial" w:hAnsi="Arial"/>
          <w:sz w:val="16"/>
          <w:szCs w:val="16"/>
          <w:color w:val="auto"/>
        </w:rPr>
        <w:t>We have entered into employment agreements with certain of our executive officers and service agreements with our non-executive directors, as well as separation agreements with certain of our former executive officers. See the section in this proxy statement entitled “Executive and Director Compensation.”</w:t>
      </w:r>
    </w:p>
    <w:p>
      <w:pPr>
        <w:spacing w:after="0" w:line="144"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Additional Information</w:t>
      </w:r>
    </w:p>
    <w:p>
      <w:pPr>
        <w:spacing w:after="0" w:line="154"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SHAREHOLDERS’ RIGHTS TO CALL A GENERAL MEETING</w:t>
      </w:r>
    </w:p>
    <w:p>
      <w:pPr>
        <w:spacing w:after="0" w:line="137" w:lineRule="exact"/>
        <w:rPr>
          <w:sz w:val="20"/>
          <w:szCs w:val="20"/>
          <w:color w:val="auto"/>
        </w:rPr>
      </w:pPr>
    </w:p>
    <w:p>
      <w:pPr>
        <w:ind w:left="1200" w:right="799" w:firstLine="341"/>
        <w:spacing w:after="0" w:line="239" w:lineRule="auto"/>
        <w:rPr>
          <w:sz w:val="20"/>
          <w:szCs w:val="20"/>
          <w:color w:val="auto"/>
        </w:rPr>
      </w:pPr>
      <w:r>
        <w:rPr>
          <w:rFonts w:ascii="Arial" w:cs="Arial" w:eastAsia="Arial" w:hAnsi="Arial"/>
          <w:sz w:val="17"/>
          <w:szCs w:val="17"/>
          <w:color w:val="auto"/>
        </w:rPr>
        <w:t>Our shareholders have the right to call a meeting of our shareholders. The U.K. Companies Act 2006 generally requires the directors to call a general meeting once we have received requests to do so from shareholders representing at least 5% of our paid-up shares entitled to vote at a general meeting. The U.K. Companies Act 2006 generally prohibits shareholders of a U.K. public limited company from passing written resolutions. However, significant shareholders would, in any case, still have the power to call a general meeting and propose resolutions. These provisions are mandatory under the U.K. Companies Act 2006 and cannot be waived by our shareholders.</w:t>
      </w:r>
    </w:p>
    <w:p>
      <w:pPr>
        <w:spacing w:after="0" w:line="12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SHAREHOLDER PROPOSALS FOR THE 2023 ANNUAL GENERAL MEETING</w:t>
      </w:r>
    </w:p>
    <w:p>
      <w:pPr>
        <w:spacing w:after="0" w:line="150" w:lineRule="exact"/>
        <w:rPr>
          <w:sz w:val="20"/>
          <w:szCs w:val="20"/>
          <w:color w:val="auto"/>
        </w:rPr>
      </w:pPr>
    </w:p>
    <w:p>
      <w:pPr>
        <w:ind w:left="1200" w:right="759" w:firstLine="341"/>
        <w:spacing w:after="0" w:line="291" w:lineRule="auto"/>
        <w:rPr>
          <w:sz w:val="20"/>
          <w:szCs w:val="20"/>
          <w:color w:val="auto"/>
        </w:rPr>
      </w:pPr>
      <w:r>
        <w:rPr>
          <w:rFonts w:ascii="Arial" w:cs="Arial" w:eastAsia="Arial" w:hAnsi="Arial"/>
          <w:sz w:val="16"/>
          <w:szCs w:val="16"/>
          <w:i w:val="1"/>
          <w:iCs w:val="1"/>
          <w:color w:val="auto"/>
        </w:rPr>
        <w:t xml:space="preserve">Rule 14a-8 Proposals — </w:t>
      </w:r>
      <w:r>
        <w:rPr>
          <w:rFonts w:ascii="Arial" w:cs="Arial" w:eastAsia="Arial" w:hAnsi="Arial"/>
          <w:sz w:val="16"/>
          <w:szCs w:val="16"/>
          <w:color w:val="auto"/>
        </w:rPr>
        <w:t>Pursuant to Rule 14a-8 under the Exchange Act, shareholders who intend to</w:t>
      </w:r>
      <w:r>
        <w:rPr>
          <w:rFonts w:ascii="Arial" w:cs="Arial" w:eastAsia="Arial" w:hAnsi="Arial"/>
          <w:sz w:val="16"/>
          <w:szCs w:val="16"/>
          <w:i w:val="1"/>
          <w:iCs w:val="1"/>
          <w:color w:val="auto"/>
        </w:rPr>
        <w:t xml:space="preserve"> </w:t>
      </w:r>
      <w:r>
        <w:rPr>
          <w:rFonts w:ascii="Arial" w:cs="Arial" w:eastAsia="Arial" w:hAnsi="Arial"/>
          <w:sz w:val="16"/>
          <w:szCs w:val="16"/>
          <w:color w:val="auto"/>
        </w:rPr>
        <w:t>have a proposal considered for inclusion in our proxy materials for presentation at our 2023 annual general</w:t>
      </w:r>
    </w:p>
    <w:p>
      <w:pPr>
        <w:spacing w:after="0" w:line="309"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meeting of shareholders must submit the proposal to the Company Secretary, Verona Pharma plc,</w:t>
      </w:r>
    </w:p>
    <w:p>
      <w:pPr>
        <w:spacing w:after="0" w:line="10" w:lineRule="exact"/>
        <w:rPr>
          <w:sz w:val="20"/>
          <w:szCs w:val="20"/>
          <w:color w:val="auto"/>
        </w:rPr>
      </w:pPr>
    </w:p>
    <w:p>
      <w:pPr>
        <w:ind w:left="1200" w:right="719"/>
        <w:spacing w:after="0" w:line="238" w:lineRule="auto"/>
        <w:rPr>
          <w:sz w:val="20"/>
          <w:szCs w:val="20"/>
          <w:color w:val="auto"/>
        </w:rPr>
      </w:pPr>
      <w:r>
        <w:rPr>
          <w:rFonts w:ascii="Arial" w:cs="Arial" w:eastAsia="Arial" w:hAnsi="Arial"/>
          <w:sz w:val="17"/>
          <w:szCs w:val="17"/>
          <w:color w:val="auto"/>
        </w:rPr>
        <w:t>c/o Shakespeare Martineau LLP, at 6th Floor, 60 Gracechurch Street, London, EC3V 0H, Attn: Ben Harber, in writing not later than 120 days before the anniversary of the date on which we sent our proxy materials for the AGM, or November 25, 2022, unless the date of the 2023 annual general meeting of shareholders is changed by more than 30 days from the date of the AGM, and must satisfy the requirements of the proxy rules promulgated by the SEC.</w:t>
      </w:r>
    </w:p>
    <w:p>
      <w:pPr>
        <w:spacing w:after="0" w:line="104" w:lineRule="exact"/>
        <w:rPr>
          <w:sz w:val="20"/>
          <w:szCs w:val="20"/>
          <w:color w:val="auto"/>
        </w:rPr>
      </w:pPr>
    </w:p>
    <w:p>
      <w:pPr>
        <w:ind w:left="1200" w:right="699" w:firstLine="341"/>
        <w:spacing w:after="0" w:line="231" w:lineRule="auto"/>
        <w:rPr>
          <w:sz w:val="20"/>
          <w:szCs w:val="20"/>
          <w:color w:val="auto"/>
        </w:rPr>
      </w:pPr>
      <w:r>
        <w:rPr>
          <w:rFonts w:ascii="Arial" w:cs="Arial" w:eastAsia="Arial" w:hAnsi="Arial"/>
          <w:sz w:val="17"/>
          <w:szCs w:val="17"/>
          <w:i w:val="1"/>
          <w:iCs w:val="1"/>
          <w:color w:val="auto"/>
        </w:rPr>
        <w:t xml:space="preserve">Other Proposals — </w:t>
      </w:r>
      <w:r>
        <w:rPr>
          <w:rFonts w:ascii="Arial" w:cs="Arial" w:eastAsia="Arial" w:hAnsi="Arial"/>
          <w:sz w:val="17"/>
          <w:szCs w:val="17"/>
          <w:color w:val="auto"/>
        </w:rPr>
        <w:t>Shareholders intending to include a proposal on the agenda for the 2023 annual</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meeting of shareholders, irrespective of whether they intend to have the proposal included in our proxy statement, must comply with the requirements under our Articles of Association and English law. Under Section 338 of the U.K. Companies Act 2006, shareholders representing at least 5% of holders entitled to vote on a resolution at an annual general meeting may require the Company to include such resolution in its notice of an annual general meeting. Provided the applicable thresholds are met, notice of the resolution must be received by the Company Secretary, Verona Pharma plc, c/o Shakespeare Martineau LLP, at 6</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60 Gracechurch Street, London, EC3V 0H, Attn: Ben Harber, at least six weeks prior to the date of the annual general meeting, or, if later, at the time notice of the annual general meeting is delivered to shareholders. Additionally, in accordance with our Articles of Association, shareholders who intend to nominate a director to be elected at the 2023 annual general meeting of shareholders must provide the Company Secretary with written notice of such nomination between 7 and 21 days prior to the date of such meeting, together with written notice signed by the director nominee regarding his or her willingness to be elected.</w:t>
      </w:r>
    </w:p>
    <w:p>
      <w:pPr>
        <w:spacing w:after="0" w:line="117" w:lineRule="exact"/>
        <w:rPr>
          <w:sz w:val="20"/>
          <w:szCs w:val="20"/>
          <w:color w:val="auto"/>
        </w:rPr>
      </w:pPr>
    </w:p>
    <w:p>
      <w:pPr>
        <w:ind w:left="1200" w:right="699" w:firstLine="341"/>
        <w:spacing w:after="0" w:line="241" w:lineRule="auto"/>
        <w:rPr>
          <w:sz w:val="20"/>
          <w:szCs w:val="20"/>
          <w:color w:val="auto"/>
        </w:rPr>
      </w:pPr>
      <w:r>
        <w:rPr>
          <w:rFonts w:ascii="Arial" w:cs="Arial" w:eastAsia="Arial" w:hAnsi="Arial"/>
          <w:sz w:val="17"/>
          <w:szCs w:val="17"/>
          <w:color w:val="auto"/>
        </w:rPr>
        <w:t>Proposals and nominations that are not received by the dates specified above, or otherwise do not meet all relevant requirements, will be considered untimely or improper, as applicable. You may contact Ben Harber, Company Secretary, c/o Shakespeare Martineau LLP, 6th Floor, 60 Gracechurch Street, London, EC3V 0HR, for a copy of the relevant provisions of our Articles of Association regarding the requirements for making shareholder proposals.</w:t>
      </w:r>
    </w:p>
    <w:p>
      <w:pPr>
        <w:spacing w:after="0" w:line="119" w:lineRule="exact"/>
        <w:rPr>
          <w:sz w:val="20"/>
          <w:szCs w:val="20"/>
          <w:color w:val="auto"/>
        </w:rPr>
      </w:pPr>
    </w:p>
    <w:p>
      <w:pPr>
        <w:jc w:val="both"/>
        <w:ind w:left="1200" w:right="779" w:firstLine="341"/>
        <w:spacing w:after="0" w:line="243" w:lineRule="auto"/>
        <w:rPr>
          <w:sz w:val="20"/>
          <w:szCs w:val="20"/>
          <w:color w:val="auto"/>
        </w:rPr>
      </w:pPr>
      <w:r>
        <w:rPr>
          <w:rFonts w:ascii="Arial" w:cs="Arial" w:eastAsia="Arial" w:hAnsi="Arial"/>
          <w:sz w:val="17"/>
          <w:szCs w:val="17"/>
          <w:color w:val="auto"/>
        </w:rPr>
        <w:t>In addition to satisfying the foregoing requirements under our Articles of Association, to comply with the universal proxy rules, shareholders who intend to solicit proxies in support of director nominees other than the Company’s nominees must provide notice that sets forth the information required by Rule 14a-19 under the Exchange Act no later than February 27, 2023.</w:t>
      </w:r>
    </w:p>
    <w:p>
      <w:pPr>
        <w:spacing w:after="0" w:line="104" w:lineRule="exact"/>
        <w:rPr>
          <w:sz w:val="20"/>
          <w:szCs w:val="20"/>
          <w:color w:val="auto"/>
        </w:rPr>
      </w:pPr>
    </w:p>
    <w:p>
      <w:pPr>
        <w:ind w:left="1200" w:right="999" w:firstLine="341"/>
        <w:spacing w:after="0" w:line="260" w:lineRule="auto"/>
        <w:rPr>
          <w:sz w:val="20"/>
          <w:szCs w:val="20"/>
          <w:color w:val="auto"/>
        </w:rPr>
      </w:pPr>
      <w:r>
        <w:rPr>
          <w:rFonts w:ascii="Arial" w:cs="Arial" w:eastAsia="Arial" w:hAnsi="Arial"/>
          <w:sz w:val="17"/>
          <w:szCs w:val="17"/>
          <w:color w:val="auto"/>
        </w:rPr>
        <w:t>We reserve the right to reject, rule out of order, or take other appropriate action with respect to any proposal that does not comply with these or other applicable requirements.</w:t>
      </w:r>
    </w:p>
    <w:p>
      <w:pPr>
        <w:spacing w:after="0" w:line="10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OTHER MATTERS</w:t>
      </w:r>
    </w:p>
    <w:p>
      <w:pPr>
        <w:spacing w:after="0" w:line="150"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No business shall be voted on at the AGM, except such items as included in the agenda for the AGM.</w:t>
      </w:r>
    </w:p>
    <w:p>
      <w:pPr>
        <w:spacing w:after="0" w:line="149"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SOLICITATION OF PROXIES</w:t>
      </w:r>
    </w:p>
    <w:p>
      <w:pPr>
        <w:spacing w:after="0" w:line="150" w:lineRule="exact"/>
        <w:rPr>
          <w:sz w:val="20"/>
          <w:szCs w:val="20"/>
          <w:color w:val="auto"/>
        </w:rPr>
      </w:pPr>
    </w:p>
    <w:p>
      <w:pPr>
        <w:ind w:left="1200" w:right="719" w:firstLine="341"/>
        <w:spacing w:after="0" w:line="271" w:lineRule="auto"/>
        <w:rPr>
          <w:sz w:val="20"/>
          <w:szCs w:val="20"/>
          <w:color w:val="auto"/>
        </w:rPr>
      </w:pPr>
      <w:r>
        <w:rPr>
          <w:rFonts w:ascii="Arial" w:cs="Arial" w:eastAsia="Arial" w:hAnsi="Arial"/>
          <w:sz w:val="16"/>
          <w:szCs w:val="16"/>
          <w:color w:val="auto"/>
        </w:rPr>
        <w:t>The accompanying proxy is solicited by and on behalf of our Board of Directors, whose Notice of AGM is attached to this proxy statement, and the entire cost of such solicitation will be borne by us. We have retained Mackenzie Partners, Inc. to assist in the distribution of proxy materials and the solicitation of proxies from brokerage firms, fiduciaries, custodians, and other similar organizations representing beneficial owners of shares for the AGM. We have agreed to pay Mackenzie Partners, Inc. a fee of approximately $15,000 plus out-of-pocket expenses. You may contact Mackenzie Partners, Inc. at +1-212-929-5500.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107" w:lineRule="exact"/>
        <w:rPr>
          <w:sz w:val="20"/>
          <w:szCs w:val="20"/>
          <w:color w:val="auto"/>
        </w:rPr>
      </w:pPr>
    </w:p>
    <w:p>
      <w:pPr>
        <w:ind w:left="1200" w:right="719" w:firstLine="341"/>
        <w:spacing w:after="0" w:line="308" w:lineRule="auto"/>
        <w:rPr>
          <w:sz w:val="20"/>
          <w:szCs w:val="20"/>
          <w:color w:val="auto"/>
        </w:rPr>
      </w:pPr>
      <w:r>
        <w:rPr>
          <w:rFonts w:ascii="Arial" w:cs="Arial" w:eastAsia="Arial" w:hAnsi="Arial"/>
          <w:sz w:val="16"/>
          <w:szCs w:val="16"/>
          <w:color w:val="auto"/>
        </w:rPr>
        <w:t>Certain information contained in this proxy statement relating to the occupations and security holdings of our directors and officers is based upon information received from the individual directors and officers.</w:t>
      </w:r>
    </w:p>
    <w:p>
      <w:pPr>
        <w:spacing w:after="0" w:line="65" w:lineRule="exact"/>
        <w:rPr>
          <w:sz w:val="20"/>
          <w:szCs w:val="20"/>
          <w:color w:val="auto"/>
        </w:rPr>
      </w:pPr>
    </w:p>
    <w:p>
      <w:pPr>
        <w:ind w:left="1200" w:right="899" w:firstLine="341"/>
        <w:spacing w:after="0" w:line="308" w:lineRule="auto"/>
        <w:rPr>
          <w:sz w:val="20"/>
          <w:szCs w:val="20"/>
          <w:color w:val="auto"/>
        </w:rPr>
      </w:pPr>
      <w:r>
        <w:rPr>
          <w:rFonts w:ascii="Arial" w:cs="Arial" w:eastAsia="Arial" w:hAnsi="Arial"/>
          <w:sz w:val="16"/>
          <w:szCs w:val="16"/>
          <w:color w:val="auto"/>
        </w:rPr>
        <w:t>We intend to file a Proxy Statement and WHITE proxy card with the SEC in connection with the solicitation of proxies for our 2023 annual general meeting of shareholders. Shareholders may obtain our</w:t>
      </w:r>
    </w:p>
    <w:p>
      <w:pPr>
        <w:spacing w:after="0" w:line="321"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0" w:right="719"/>
        <w:spacing w:after="0" w:line="276" w:lineRule="auto"/>
        <w:rPr>
          <w:sz w:val="20"/>
          <w:szCs w:val="20"/>
          <w:color w:val="auto"/>
        </w:rPr>
      </w:pPr>
      <w:r>
        <w:rPr>
          <w:rFonts w:ascii="Arial" w:cs="Arial" w:eastAsia="Arial" w:hAnsi="Arial"/>
          <w:sz w:val="17"/>
          <w:szCs w:val="17"/>
          <w:color w:val="auto"/>
        </w:rPr>
        <w:t xml:space="preserve">Proxy Statement (and any amendments and supplements thereto) and other documents as and when filed by us with the SEC without charge from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88"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HOUSEHOLDING</w:t>
      </w:r>
    </w:p>
    <w:p>
      <w:pPr>
        <w:spacing w:after="0" w:line="150" w:lineRule="exact"/>
        <w:rPr>
          <w:sz w:val="20"/>
          <w:szCs w:val="20"/>
          <w:color w:val="auto"/>
        </w:rPr>
      </w:pPr>
    </w:p>
    <w:p>
      <w:pPr>
        <w:ind w:left="1200" w:right="659" w:firstLine="341"/>
        <w:spacing w:after="0" w:line="253" w:lineRule="auto"/>
        <w:rPr>
          <w:sz w:val="20"/>
          <w:szCs w:val="20"/>
          <w:color w:val="auto"/>
        </w:rPr>
      </w:pPr>
      <w:r>
        <w:rPr>
          <w:rFonts w:ascii="Arial" w:cs="Arial" w:eastAsia="Arial" w:hAnsi="Arial"/>
          <w:sz w:val="17"/>
          <w:szCs w:val="17"/>
          <w:color w:val="auto"/>
        </w:rPr>
        <w:t>The SEC’s rules permit us to deliver a single set of proxy materials to one address shared by two or more of our ADS holders. This delivery method is referred to as “householding” and can result in significant cost savings. To take advantage of this opportunity, we have delivered only one set of proxy materials to multiple ADS holders who share an address, unless we received contrary instructions from the impacted ADS holders prior to the mailing date. We agree to deliver promptly, upon written or oral request, a separate copy of the proxy materials, as requested, to any ADS holder at the shared address to which a single copy of those documents was delivered. If you are an ADS holder and your household received a single set of proxy materials this year, but you would prefer to receive your own copy, or if you currently share an address with another ADS holder and wish to receive only one copy of proxy materials either now or in future for your household, please contact your bank or broker. If you have requested to be removed from the householding program, you will be removed within 30 days of receipt of your instructions at which time you will then be sent separate copies of the documents. If you hold ADSs and you prefer to receive separate copies of proxy materials either now or in the future, please contact the Depositary, your brokerage firm or bank, as applicable.</w:t>
      </w:r>
    </w:p>
    <w:p>
      <w:pPr>
        <w:spacing w:after="0" w:line="12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VERONA PHARMA’S ANNUAL REPORT ON FORM 10-K</w:t>
      </w:r>
    </w:p>
    <w:p>
      <w:pPr>
        <w:spacing w:after="0" w:line="137" w:lineRule="exact"/>
        <w:rPr>
          <w:sz w:val="20"/>
          <w:szCs w:val="20"/>
          <w:color w:val="auto"/>
        </w:rPr>
      </w:pPr>
    </w:p>
    <w:p>
      <w:pPr>
        <w:ind w:left="1200" w:right="659" w:firstLine="341"/>
        <w:spacing w:after="0" w:line="259" w:lineRule="auto"/>
        <w:rPr>
          <w:sz w:val="20"/>
          <w:szCs w:val="20"/>
          <w:color w:val="auto"/>
        </w:rPr>
      </w:pPr>
      <w:r>
        <w:rPr>
          <w:rFonts w:ascii="Arial" w:cs="Arial" w:eastAsia="Arial" w:hAnsi="Arial"/>
          <w:sz w:val="17"/>
          <w:szCs w:val="17"/>
          <w:color w:val="auto"/>
        </w:rPr>
        <w:t>A copy of Verona Pharma’s Annual Report on Form 10-K for the fiscal year ended December 31, 2021, including financial statements and schedules thereto but not including exhibits, as filed with the SEC, will be sent to any shareholder of record as of the close of business on March 15, 2022 without charge upon written request addressed to:</w:t>
      </w:r>
    </w:p>
    <w:p>
      <w:pPr>
        <w:spacing w:after="0" w:line="11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Verona Pharma plc</w:t>
      </w:r>
    </w:p>
    <w:p>
      <w:pPr>
        <w:spacing w:after="0" w:line="2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Attention: General Counsel</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Email: claire.poll@veronapharma.com</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3 More London Riverside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London SE1 2RE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United Kingdom</w:t>
      </w:r>
    </w:p>
    <w:p>
      <w:pPr>
        <w:spacing w:after="0" w:line="139" w:lineRule="exact"/>
        <w:rPr>
          <w:sz w:val="20"/>
          <w:szCs w:val="20"/>
          <w:color w:val="auto"/>
        </w:rPr>
      </w:pPr>
    </w:p>
    <w:p>
      <w:pPr>
        <w:ind w:left="1200" w:right="979" w:firstLine="341"/>
        <w:spacing w:after="0" w:line="308" w:lineRule="auto"/>
        <w:rPr>
          <w:sz w:val="20"/>
          <w:szCs w:val="20"/>
          <w:color w:val="auto"/>
        </w:rPr>
      </w:pPr>
      <w:r>
        <w:rPr>
          <w:rFonts w:ascii="Arial" w:cs="Arial" w:eastAsia="Arial" w:hAnsi="Arial"/>
          <w:sz w:val="16"/>
          <w:szCs w:val="16"/>
          <w:color w:val="auto"/>
        </w:rPr>
        <w:t xml:space="preserve">A reasonable fee will be charged for copies of exhibits. You also may access our Annual Report on Form 10-K for the year ended December 31, 2021 at </w:t>
      </w:r>
      <w:r>
        <w:rPr>
          <w:rFonts w:ascii="Arial" w:cs="Arial" w:eastAsia="Arial" w:hAnsi="Arial"/>
          <w:sz w:val="16"/>
          <w:szCs w:val="16"/>
          <w:i w:val="1"/>
          <w:iCs w:val="1"/>
          <w:color w:val="auto"/>
        </w:rPr>
        <w:t>www.veronapharma.com/investors</w:t>
      </w:r>
      <w:r>
        <w:rPr>
          <w:rFonts w:ascii="Arial" w:cs="Arial" w:eastAsia="Arial" w:hAnsi="Arial"/>
          <w:sz w:val="16"/>
          <w:szCs w:val="16"/>
          <w:color w:val="auto"/>
        </w:rPr>
        <w:t>.</w:t>
      </w:r>
    </w:p>
    <w:p>
      <w:pPr>
        <w:spacing w:after="0" w:line="65" w:lineRule="exact"/>
        <w:rPr>
          <w:sz w:val="20"/>
          <w:szCs w:val="20"/>
          <w:color w:val="auto"/>
        </w:rPr>
      </w:pPr>
    </w:p>
    <w:p>
      <w:pPr>
        <w:ind w:left="1200" w:right="1059" w:firstLine="341"/>
        <w:spacing w:after="0" w:line="308" w:lineRule="auto"/>
        <w:rPr>
          <w:sz w:val="20"/>
          <w:szCs w:val="20"/>
          <w:color w:val="auto"/>
        </w:rPr>
      </w:pPr>
      <w:r>
        <w:rPr>
          <w:rFonts w:ascii="Arial" w:cs="Arial" w:eastAsia="Arial" w:hAnsi="Arial"/>
          <w:sz w:val="16"/>
          <w:szCs w:val="16"/>
          <w:color w:val="auto"/>
        </w:rPr>
        <w:t>U.K. STATUTORY ANNUAL ACCOUNTS AND REPORTS OF THE BOARD OF DIRECTORS AND AUDITORS OF VERONA PHARMA PLC FOR THE YEAR ENDED DECEMBER 31, 2021</w:t>
      </w:r>
    </w:p>
    <w:p>
      <w:pPr>
        <w:spacing w:after="0" w:line="78" w:lineRule="exact"/>
        <w:rPr>
          <w:sz w:val="20"/>
          <w:szCs w:val="20"/>
          <w:color w:val="auto"/>
        </w:rPr>
      </w:pPr>
    </w:p>
    <w:p>
      <w:pPr>
        <w:ind w:left="1200" w:right="639" w:firstLine="341"/>
        <w:spacing w:after="0" w:line="253" w:lineRule="auto"/>
        <w:rPr>
          <w:sz w:val="20"/>
          <w:szCs w:val="20"/>
          <w:color w:val="auto"/>
        </w:rPr>
      </w:pPr>
      <w:r>
        <w:rPr>
          <w:rFonts w:ascii="Arial" w:cs="Arial" w:eastAsia="Arial" w:hAnsi="Arial"/>
          <w:sz w:val="17"/>
          <w:szCs w:val="17"/>
          <w:color w:val="auto"/>
        </w:rPr>
        <w:t>Consistent with its obligations under the U.K. Companies Act 2006, our Board of Directors will present at the AGM our 2021 U.K. Annual Report. Accordingly, our Board of Directors will lay before the Company at the AGM the Company’s 2021 U.K. Annual Report, which have been approved by and, where appropriate, signed on behalf of our Board of Directors and will be delivered to the Registrar of Companies in the United Kingdom following the AGM. A copy of our U.K. statutory directors’ remuneration report, including the annual report on remuneration, is included within Annex A to this proxy statement. A complete copy of our 2021 U.K. Annual Report will be sent separately to those shareholders who have opted in to receive a printed copy of the document no less than 21 days prior to the AGM. You will be provided an opportunity to raise questions in relation to such accounts and reports at the AGM vie teleconference. Full accounts and reports will be available on the Company’s website prior to and during the AGM.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EACH SHAREHOLDER IS URGED TO VOTE YOUR SHARES AS DESCRIBED IN THIS PROXY</w:t>
      </w:r>
    </w:p>
    <w:p>
      <w:pPr>
        <w:spacing w:after="0" w:line="24" w:lineRule="exact"/>
        <w:rPr>
          <w:sz w:val="20"/>
          <w:szCs w:val="20"/>
          <w:color w:val="auto"/>
        </w:rPr>
      </w:pPr>
    </w:p>
    <w:p>
      <w:pPr>
        <w:jc w:val="center"/>
        <w:ind w:left="2100"/>
        <w:spacing w:after="0" w:line="256" w:lineRule="auto"/>
        <w:rPr>
          <w:sz w:val="20"/>
          <w:szCs w:val="20"/>
          <w:color w:val="auto"/>
        </w:rPr>
      </w:pPr>
      <w:r>
        <w:rPr>
          <w:rFonts w:ascii="Arial" w:cs="Arial" w:eastAsia="Arial" w:hAnsi="Arial"/>
          <w:sz w:val="17"/>
          <w:szCs w:val="17"/>
          <w:b w:val="1"/>
          <w:bCs w:val="1"/>
          <w:color w:val="auto"/>
        </w:rPr>
        <w:t>STATEMENT. PROMPTLY VOTING YOUR SHARES WILL ENSURE THE PRESENCE OF A QUORUM AT THE ANNUAL GENERAL MEETING OF SHAREHOLDERS AND WILL SAVE US THE EXPENSE OF FURTHER SOLICITATION.</w:t>
      </w:r>
    </w:p>
    <w:p>
      <w:pPr>
        <w:spacing w:after="0" w:line="178"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EACH ADS HOLDER IS URGED TO COMPLETE, DATE, SIGN AND PROMPTLY RETURN ADS</w:t>
      </w:r>
    </w:p>
    <w:p>
      <w:pPr>
        <w:spacing w:after="0" w:line="24"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VOTING INSTRUCTIONS TO CITIBANK, N.A., THE DEPOSITARY FOR THE ADSs.</w:t>
      </w:r>
    </w:p>
    <w:p>
      <w:pPr>
        <w:spacing w:after="0" w:line="200" w:lineRule="exact"/>
        <w:rPr>
          <w:sz w:val="20"/>
          <w:szCs w:val="20"/>
          <w:color w:val="auto"/>
        </w:rPr>
      </w:pPr>
    </w:p>
    <w:p>
      <w:pPr>
        <w:spacing w:after="0" w:line="20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By Order of the Board of Directors</w:t>
      </w:r>
    </w:p>
    <w:p>
      <w:pPr>
        <w:spacing w:after="0" w:line="200" w:lineRule="exact"/>
        <w:rPr>
          <w:sz w:val="20"/>
          <w:szCs w:val="20"/>
          <w:color w:val="auto"/>
        </w:rPr>
      </w:pPr>
    </w:p>
    <w:p>
      <w:pPr>
        <w:spacing w:after="0" w:line="2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David Zaccardelli, Pharm.D.</w:t>
      </w:r>
    </w:p>
    <w:p>
      <w:pPr>
        <w:spacing w:after="0" w:line="2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President and Chief Executive Officer</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London, United Kingdom</w:t>
      </w:r>
    </w:p>
    <w:p>
      <w:pPr>
        <w:spacing w:after="0" w:line="21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March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0" w:right="1159"/>
        <w:spacing w:after="0" w:line="281" w:lineRule="auto"/>
        <w:rPr>
          <w:sz w:val="20"/>
          <w:szCs w:val="20"/>
          <w:color w:val="auto"/>
        </w:rPr>
      </w:pPr>
      <w:r>
        <w:rPr>
          <w:rFonts w:ascii="Arial" w:cs="Arial" w:eastAsia="Arial" w:hAnsi="Arial"/>
          <w:sz w:val="17"/>
          <w:szCs w:val="17"/>
          <w:b w:val="1"/>
          <w:bCs w:val="1"/>
          <w:color w:val="auto"/>
        </w:rPr>
        <w:t>Annex A to Proxy Statement: U.K. Statutory Annual Accounts and Directors’ Report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3810</wp:posOffset>
            </wp:positionV>
            <wp:extent cx="49383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38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1" w:right="1440" w:bottom="1440"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9908540</wp:posOffset>
            </wp:positionV>
            <wp:extent cx="6765925" cy="241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65925" cy="24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9908540</wp:posOffset>
            </wp:positionV>
            <wp:extent cx="6765925" cy="241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65925" cy="24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444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87845" cy="9844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rFonts w:ascii="Arial" w:cs="Arial" w:eastAsia="Arial" w:hAnsi="Arial"/>
          <w:sz w:val="12"/>
          <w:szCs w:val="12"/>
          <w:color w:val="003366"/>
        </w:rPr>
      </w:pPr>
      <w:hyperlink w:anchor="page10">
        <w:r>
          <w:rPr>
            <w:rFonts w:ascii="Arial" w:cs="Arial" w:eastAsia="Arial" w:hAnsi="Arial"/>
            <w:sz w:val="12"/>
            <w:szCs w:val="12"/>
            <w:color w:val="003366"/>
          </w:rPr>
          <w:t>TABLE OF CONTENTS</w:t>
        </w:r>
      </w:hyperlink>
    </w:p>
    <w:p>
      <w:pPr>
        <w:sectPr>
          <w:pgSz w:w="11900" w:h="16838" w:orient="portrait"/>
          <w:cols w:equalWidth="0" w:num="1">
            <w:col w:w="9599"/>
          </w:cols>
          <w:pgMar w:left="860" w:top="1440" w:right="1440" w:bottom="0" w:gutter="0" w:footer="0" w:header="0"/>
        </w:sectPr>
      </w:pPr>
    </w:p>
    <w:bookmarkStart w:id="152" w:name="page153"/>
    <w:bookmarkEnd w:id="152"/>
    <w:p>
      <w:pPr>
        <w:ind w:left="3540"/>
        <w:spacing w:after="0"/>
        <w:rPr>
          <w:sz w:val="20"/>
          <w:szCs w:val="20"/>
          <w:color w:val="auto"/>
        </w:rPr>
      </w:pPr>
      <w:r>
        <w:rPr>
          <w:rFonts w:ascii="Arial" w:cs="Arial" w:eastAsia="Arial" w:hAnsi="Arial"/>
          <w:sz w:val="17"/>
          <w:szCs w:val="17"/>
          <w:b w:val="1"/>
          <w:bCs w:val="1"/>
          <w:color w:val="auto"/>
        </w:rPr>
        <w:t>VERONA PHARMA PLC</w:t>
      </w:r>
    </w:p>
    <w:p>
      <w:pPr>
        <w:spacing w:after="0" w:line="24"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FORM OF PROXY</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21590</wp:posOffset>
            </wp:positionV>
            <wp:extent cx="51739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73980" cy="8255"/>
                    </a:xfrm>
                    <a:prstGeom prst="rect">
                      <a:avLst/>
                    </a:prstGeom>
                    <a:noFill/>
                  </pic:spPr>
                </pic:pic>
              </a:graphicData>
            </a:graphic>
          </wp:anchor>
        </w:drawing>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21590</wp:posOffset>
            </wp:positionV>
            <wp:extent cx="52959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95900" cy="8255"/>
                    </a:xfrm>
                    <a:prstGeom prst="rect">
                      <a:avLst/>
                    </a:prstGeom>
                    <a:noFill/>
                  </pic:spPr>
                </pic:pic>
              </a:graphicData>
            </a:graphic>
          </wp:anchor>
        </w:drawing>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being a member of the Company, hereby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21590</wp:posOffset>
            </wp:positionV>
            <wp:extent cx="31432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143250" cy="8255"/>
                    </a:xfrm>
                    <a:prstGeom prst="rect">
                      <a:avLst/>
                    </a:prstGeom>
                    <a:noFill/>
                  </pic:spPr>
                </pic:pic>
              </a:graphicData>
            </a:graphic>
          </wp:anchor>
        </w:drawing>
      </w:r>
    </w:p>
    <w:p>
      <w:pPr>
        <w:spacing w:after="0" w:line="258" w:lineRule="exact"/>
        <w:rPr>
          <w:sz w:val="20"/>
          <w:szCs w:val="20"/>
          <w:color w:val="auto"/>
        </w:rPr>
      </w:pPr>
    </w:p>
    <w:p>
      <w:pPr>
        <w:ind w:left="200" w:right="259"/>
        <w:spacing w:after="0" w:line="263" w:lineRule="auto"/>
        <w:rPr>
          <w:sz w:val="20"/>
          <w:szCs w:val="20"/>
          <w:color w:val="auto"/>
        </w:rPr>
      </w:pPr>
      <w:r>
        <w:rPr>
          <w:rFonts w:ascii="Arial" w:cs="Arial" w:eastAsia="Arial" w:hAnsi="Arial"/>
          <w:sz w:val="17"/>
          <w:szCs w:val="17"/>
          <w:color w:val="auto"/>
        </w:rPr>
        <w:t>or failing him/her, the Chairperson of the Meeting, as my/our proxy to attend, speak and vote for me/us on my/our behalf at the 2022 Annual General Meeting (the “AGM”) of the Company to be held at 2:00 pm (British Summer Time) on April 27, 2022 and at any adjournment thereof.</w:t>
      </w:r>
    </w:p>
    <w:p>
      <w:pPr>
        <w:spacing w:after="0" w:line="99" w:lineRule="exact"/>
        <w:rPr>
          <w:sz w:val="20"/>
          <w:szCs w:val="20"/>
          <w:color w:val="auto"/>
        </w:rPr>
      </w:pPr>
    </w:p>
    <w:p>
      <w:pPr>
        <w:ind w:left="200" w:right="399"/>
        <w:spacing w:after="0" w:line="276" w:lineRule="auto"/>
        <w:rPr>
          <w:sz w:val="20"/>
          <w:szCs w:val="20"/>
          <w:color w:val="auto"/>
        </w:rPr>
      </w:pPr>
      <w:r>
        <w:rPr>
          <w:rFonts w:ascii="Arial" w:cs="Arial" w:eastAsia="Arial" w:hAnsi="Arial"/>
          <w:sz w:val="17"/>
          <w:szCs w:val="17"/>
          <w:color w:val="auto"/>
        </w:rPr>
        <w:t>I/We direct my/our vote as indicated below in respect of the resolutions which are referred to in the Notice convening the AGM (see note 1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95885</wp:posOffset>
            </wp:positionV>
            <wp:extent cx="5458460" cy="42805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458460" cy="4280535"/>
                    </a:xfrm>
                    <a:prstGeom prst="rect">
                      <a:avLst/>
                    </a:prstGeom>
                    <a:noFill/>
                  </pic:spPr>
                </pic:pic>
              </a:graphicData>
            </a:graphic>
          </wp:anchor>
        </w:drawing>
      </w:r>
    </w:p>
    <w:p>
      <w:pPr>
        <w:spacing w:after="0" w:line="155"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4940" w:type="dxa"/>
            <w:vAlign w:val="bottom"/>
            <w:tcBorders>
              <w:bottom w:val="single" w:sz="8" w:color="auto"/>
            </w:tcBorders>
          </w:tcPr>
          <w:p>
            <w:pPr>
              <w:ind w:left="1180"/>
              <w:spacing w:after="0"/>
              <w:rPr>
                <w:sz w:val="20"/>
                <w:szCs w:val="20"/>
                <w:color w:val="auto"/>
              </w:rPr>
            </w:pPr>
            <w:r>
              <w:rPr>
                <w:rFonts w:ascii="Arial" w:cs="Arial" w:eastAsia="Arial" w:hAnsi="Arial"/>
                <w:sz w:val="17"/>
                <w:szCs w:val="17"/>
                <w:b w:val="1"/>
                <w:bCs w:val="1"/>
                <w:color w:val="auto"/>
              </w:rPr>
              <w:t>Ordinary Resolutions</w:t>
            </w:r>
          </w:p>
        </w:tc>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FOR AGAINST  WITHHELD  DISCRETION</w:t>
            </w:r>
          </w:p>
        </w:tc>
      </w:tr>
      <w:tr>
        <w:trPr>
          <w:trHeight w:val="174"/>
        </w:trPr>
        <w:tc>
          <w:tcPr>
            <w:tcW w:w="4940" w:type="dxa"/>
            <w:vAlign w:val="bottom"/>
          </w:tcPr>
          <w:p>
            <w:pPr>
              <w:ind w:left="60"/>
              <w:spacing w:after="0" w:line="174" w:lineRule="exact"/>
              <w:rPr>
                <w:sz w:val="20"/>
                <w:szCs w:val="20"/>
                <w:color w:val="auto"/>
              </w:rPr>
            </w:pPr>
            <w:r>
              <w:rPr>
                <w:rFonts w:ascii="Arial" w:cs="Arial" w:eastAsia="Arial" w:hAnsi="Arial"/>
                <w:sz w:val="17"/>
                <w:szCs w:val="17"/>
                <w:color w:val="auto"/>
                <w:w w:val="96"/>
              </w:rPr>
              <w:t>Resolution 1   To re-elect Kenneth Cunningham as a director of the</w:t>
            </w:r>
          </w:p>
        </w:tc>
        <w:tc>
          <w:tcPr>
            <w:tcW w:w="3620" w:type="dxa"/>
            <w:vAlign w:val="bottom"/>
          </w:tcPr>
          <w:p>
            <w:pPr>
              <w:spacing w:after="0"/>
              <w:rPr>
                <w:sz w:val="15"/>
                <w:szCs w:val="15"/>
                <w:color w:val="auto"/>
              </w:rPr>
            </w:pPr>
          </w:p>
        </w:tc>
      </w:tr>
      <w:tr>
        <w:trPr>
          <w:trHeight w:val="203"/>
        </w:trPr>
        <w:tc>
          <w:tcPr>
            <w:tcW w:w="494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rPr>
              <w:t>Company.</w:t>
            </w:r>
          </w:p>
        </w:tc>
        <w:tc>
          <w:tcPr>
            <w:tcW w:w="3620" w:type="dxa"/>
            <w:vAlign w:val="bottom"/>
            <w:tcBorders>
              <w:bottom w:val="single" w:sz="8" w:color="auto"/>
            </w:tcBorders>
          </w:tcPr>
          <w:p>
            <w:pPr>
              <w:spacing w:after="0"/>
              <w:rPr>
                <w:sz w:val="17"/>
                <w:szCs w:val="17"/>
                <w:color w:val="auto"/>
              </w:rPr>
            </w:pPr>
          </w:p>
        </w:tc>
      </w:tr>
      <w:tr>
        <w:trPr>
          <w:trHeight w:val="174"/>
        </w:trPr>
        <w:tc>
          <w:tcPr>
            <w:tcW w:w="4940" w:type="dxa"/>
            <w:vAlign w:val="bottom"/>
          </w:tcPr>
          <w:p>
            <w:pPr>
              <w:ind w:left="60"/>
              <w:spacing w:after="0" w:line="174" w:lineRule="exact"/>
              <w:rPr>
                <w:sz w:val="20"/>
                <w:szCs w:val="20"/>
                <w:color w:val="auto"/>
              </w:rPr>
            </w:pPr>
            <w:r>
              <w:rPr>
                <w:rFonts w:ascii="Arial" w:cs="Arial" w:eastAsia="Arial" w:hAnsi="Arial"/>
                <w:sz w:val="17"/>
                <w:szCs w:val="17"/>
                <w:color w:val="auto"/>
              </w:rPr>
              <w:t>Resolution 2   To re-elect Rishi Gupta as a director of the</w:t>
            </w:r>
          </w:p>
        </w:tc>
        <w:tc>
          <w:tcPr>
            <w:tcW w:w="3620" w:type="dxa"/>
            <w:vAlign w:val="bottom"/>
          </w:tcPr>
          <w:p>
            <w:pPr>
              <w:spacing w:after="0"/>
              <w:rPr>
                <w:sz w:val="15"/>
                <w:szCs w:val="15"/>
                <w:color w:val="auto"/>
              </w:rPr>
            </w:pPr>
          </w:p>
        </w:tc>
      </w:tr>
      <w:tr>
        <w:trPr>
          <w:trHeight w:val="203"/>
        </w:trPr>
        <w:tc>
          <w:tcPr>
            <w:tcW w:w="494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rPr>
              <w:t>Company.</w:t>
            </w:r>
          </w:p>
        </w:tc>
        <w:tc>
          <w:tcPr>
            <w:tcW w:w="3620" w:type="dxa"/>
            <w:vAlign w:val="bottom"/>
            <w:tcBorders>
              <w:bottom w:val="single" w:sz="8" w:color="auto"/>
            </w:tcBorders>
          </w:tcPr>
          <w:p>
            <w:pPr>
              <w:spacing w:after="0"/>
              <w:rPr>
                <w:sz w:val="17"/>
                <w:szCs w:val="17"/>
                <w:color w:val="auto"/>
              </w:rPr>
            </w:pPr>
          </w:p>
        </w:tc>
      </w:tr>
      <w:tr>
        <w:trPr>
          <w:trHeight w:val="174"/>
        </w:trPr>
        <w:tc>
          <w:tcPr>
            <w:tcW w:w="4940" w:type="dxa"/>
            <w:vAlign w:val="bottom"/>
          </w:tcPr>
          <w:p>
            <w:pPr>
              <w:ind w:left="60"/>
              <w:spacing w:after="0" w:line="174" w:lineRule="exact"/>
              <w:rPr>
                <w:sz w:val="20"/>
                <w:szCs w:val="20"/>
                <w:color w:val="auto"/>
              </w:rPr>
            </w:pPr>
            <w:r>
              <w:rPr>
                <w:rFonts w:ascii="Arial" w:cs="Arial" w:eastAsia="Arial" w:hAnsi="Arial"/>
                <w:sz w:val="17"/>
                <w:szCs w:val="17"/>
                <w:color w:val="auto"/>
              </w:rPr>
              <w:t>Resolution 3   To re-elect Vikas Sinha as a director of the</w:t>
            </w:r>
          </w:p>
        </w:tc>
        <w:tc>
          <w:tcPr>
            <w:tcW w:w="3620" w:type="dxa"/>
            <w:vAlign w:val="bottom"/>
          </w:tcPr>
          <w:p>
            <w:pPr>
              <w:spacing w:after="0"/>
              <w:rPr>
                <w:sz w:val="15"/>
                <w:szCs w:val="15"/>
                <w:color w:val="auto"/>
              </w:rPr>
            </w:pPr>
          </w:p>
        </w:tc>
      </w:tr>
      <w:tr>
        <w:trPr>
          <w:trHeight w:val="203"/>
        </w:trPr>
        <w:tc>
          <w:tcPr>
            <w:tcW w:w="494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rPr>
              <w:t>Company.</w:t>
            </w:r>
          </w:p>
        </w:tc>
        <w:tc>
          <w:tcPr>
            <w:tcW w:w="3620" w:type="dxa"/>
            <w:vAlign w:val="bottom"/>
            <w:tcBorders>
              <w:bottom w:val="single" w:sz="8" w:color="auto"/>
            </w:tcBorders>
          </w:tcPr>
          <w:p>
            <w:pPr>
              <w:spacing w:after="0"/>
              <w:rPr>
                <w:sz w:val="17"/>
                <w:szCs w:val="17"/>
                <w:color w:val="auto"/>
              </w:rPr>
            </w:pPr>
          </w:p>
        </w:tc>
      </w:tr>
      <w:tr>
        <w:trPr>
          <w:trHeight w:val="174"/>
        </w:trPr>
        <w:tc>
          <w:tcPr>
            <w:tcW w:w="4940" w:type="dxa"/>
            <w:vAlign w:val="bottom"/>
          </w:tcPr>
          <w:p>
            <w:pPr>
              <w:ind w:left="60"/>
              <w:spacing w:after="0" w:line="174" w:lineRule="exact"/>
              <w:rPr>
                <w:sz w:val="20"/>
                <w:szCs w:val="20"/>
                <w:color w:val="auto"/>
              </w:rPr>
            </w:pPr>
            <w:r>
              <w:rPr>
                <w:rFonts w:ascii="Arial" w:cs="Arial" w:eastAsia="Arial" w:hAnsi="Arial"/>
                <w:sz w:val="17"/>
                <w:szCs w:val="17"/>
                <w:color w:val="auto"/>
              </w:rPr>
              <w:t>Resolution 4   To re-elect James Brady as a director of the</w:t>
            </w:r>
          </w:p>
        </w:tc>
        <w:tc>
          <w:tcPr>
            <w:tcW w:w="3620" w:type="dxa"/>
            <w:vAlign w:val="bottom"/>
          </w:tcPr>
          <w:p>
            <w:pPr>
              <w:spacing w:after="0"/>
              <w:rPr>
                <w:sz w:val="15"/>
                <w:szCs w:val="15"/>
                <w:color w:val="auto"/>
              </w:rPr>
            </w:pPr>
          </w:p>
        </w:tc>
      </w:tr>
      <w:tr>
        <w:trPr>
          <w:trHeight w:val="203"/>
        </w:trPr>
        <w:tc>
          <w:tcPr>
            <w:tcW w:w="494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rPr>
              <w:t>Company.</w:t>
            </w:r>
          </w:p>
        </w:tc>
        <w:tc>
          <w:tcPr>
            <w:tcW w:w="3620" w:type="dxa"/>
            <w:vAlign w:val="bottom"/>
            <w:tcBorders>
              <w:bottom w:val="single" w:sz="8" w:color="auto"/>
            </w:tcBorders>
          </w:tcPr>
          <w:p>
            <w:pPr>
              <w:spacing w:after="0"/>
              <w:rPr>
                <w:sz w:val="17"/>
                <w:szCs w:val="17"/>
                <w:color w:val="auto"/>
              </w:rPr>
            </w:pPr>
          </w:p>
        </w:tc>
      </w:tr>
      <w:tr>
        <w:trPr>
          <w:trHeight w:val="174"/>
        </w:trPr>
        <w:tc>
          <w:tcPr>
            <w:tcW w:w="4940" w:type="dxa"/>
            <w:vAlign w:val="bottom"/>
          </w:tcPr>
          <w:p>
            <w:pPr>
              <w:ind w:left="60"/>
              <w:spacing w:after="0" w:line="174" w:lineRule="exact"/>
              <w:rPr>
                <w:sz w:val="20"/>
                <w:szCs w:val="20"/>
                <w:color w:val="auto"/>
              </w:rPr>
            </w:pPr>
            <w:r>
              <w:rPr>
                <w:rFonts w:ascii="Arial" w:cs="Arial" w:eastAsia="Arial" w:hAnsi="Arial"/>
                <w:sz w:val="17"/>
                <w:szCs w:val="17"/>
                <w:color w:val="auto"/>
              </w:rPr>
              <w:t>Resolution 5   To receive and adopt the U.K. statutory annual</w:t>
            </w:r>
          </w:p>
        </w:tc>
        <w:tc>
          <w:tcPr>
            <w:tcW w:w="3620" w:type="dxa"/>
            <w:vAlign w:val="bottom"/>
          </w:tcPr>
          <w:p>
            <w:pPr>
              <w:spacing w:after="0"/>
              <w:rPr>
                <w:sz w:val="15"/>
                <w:szCs w:val="15"/>
                <w:color w:val="auto"/>
              </w:rPr>
            </w:pPr>
          </w:p>
        </w:tc>
      </w:tr>
      <w:tr>
        <w:trPr>
          <w:trHeight w:val="192"/>
        </w:trPr>
        <w:tc>
          <w:tcPr>
            <w:tcW w:w="4940" w:type="dxa"/>
            <w:vAlign w:val="bottom"/>
          </w:tcPr>
          <w:p>
            <w:pPr>
              <w:ind w:left="1180"/>
              <w:spacing w:after="0" w:line="192" w:lineRule="exact"/>
              <w:rPr>
                <w:sz w:val="20"/>
                <w:szCs w:val="20"/>
                <w:color w:val="auto"/>
              </w:rPr>
            </w:pPr>
            <w:r>
              <w:rPr>
                <w:rFonts w:ascii="Arial" w:cs="Arial" w:eastAsia="Arial" w:hAnsi="Arial"/>
                <w:sz w:val="17"/>
                <w:szCs w:val="17"/>
                <w:color w:val="auto"/>
                <w:w w:val="95"/>
              </w:rPr>
              <w:t>accounts and Directors’ report for the year ended 31</w:t>
            </w:r>
          </w:p>
        </w:tc>
        <w:tc>
          <w:tcPr>
            <w:tcW w:w="3620" w:type="dxa"/>
            <w:vAlign w:val="bottom"/>
          </w:tcPr>
          <w:p>
            <w:pPr>
              <w:spacing w:after="0"/>
              <w:rPr>
                <w:sz w:val="16"/>
                <w:szCs w:val="16"/>
                <w:color w:val="auto"/>
              </w:rPr>
            </w:pPr>
          </w:p>
        </w:tc>
      </w:tr>
      <w:tr>
        <w:trPr>
          <w:trHeight w:val="203"/>
        </w:trPr>
        <w:tc>
          <w:tcPr>
            <w:tcW w:w="494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rPr>
              <w:t>December 2021.</w:t>
            </w:r>
          </w:p>
        </w:tc>
        <w:tc>
          <w:tcPr>
            <w:tcW w:w="3620" w:type="dxa"/>
            <w:vAlign w:val="bottom"/>
            <w:tcBorders>
              <w:bottom w:val="single" w:sz="8" w:color="auto"/>
            </w:tcBorders>
          </w:tcPr>
          <w:p>
            <w:pPr>
              <w:spacing w:after="0"/>
              <w:rPr>
                <w:sz w:val="17"/>
                <w:szCs w:val="17"/>
                <w:color w:val="auto"/>
              </w:rPr>
            </w:pPr>
          </w:p>
        </w:tc>
      </w:tr>
      <w:tr>
        <w:trPr>
          <w:trHeight w:val="174"/>
        </w:trPr>
        <w:tc>
          <w:tcPr>
            <w:tcW w:w="4940" w:type="dxa"/>
            <w:vAlign w:val="bottom"/>
          </w:tcPr>
          <w:p>
            <w:pPr>
              <w:ind w:left="60"/>
              <w:spacing w:after="0" w:line="174" w:lineRule="exact"/>
              <w:rPr>
                <w:sz w:val="20"/>
                <w:szCs w:val="20"/>
                <w:color w:val="auto"/>
              </w:rPr>
            </w:pPr>
            <w:r>
              <w:rPr>
                <w:rFonts w:ascii="Arial" w:cs="Arial" w:eastAsia="Arial" w:hAnsi="Arial"/>
                <w:sz w:val="17"/>
                <w:szCs w:val="17"/>
                <w:color w:val="auto"/>
                <w:w w:val="99"/>
              </w:rPr>
              <w:t>Resolution 6   To receive and approve, as a non-binding advisory</w:t>
            </w:r>
          </w:p>
        </w:tc>
        <w:tc>
          <w:tcPr>
            <w:tcW w:w="3620" w:type="dxa"/>
            <w:vAlign w:val="bottom"/>
          </w:tcPr>
          <w:p>
            <w:pPr>
              <w:spacing w:after="0"/>
              <w:rPr>
                <w:sz w:val="15"/>
                <w:szCs w:val="15"/>
                <w:color w:val="auto"/>
              </w:rPr>
            </w:pPr>
          </w:p>
        </w:tc>
      </w:tr>
      <w:tr>
        <w:trPr>
          <w:trHeight w:val="192"/>
        </w:trPr>
        <w:tc>
          <w:tcPr>
            <w:tcW w:w="4940" w:type="dxa"/>
            <w:vAlign w:val="bottom"/>
          </w:tcPr>
          <w:p>
            <w:pPr>
              <w:ind w:left="1180"/>
              <w:spacing w:after="0" w:line="192" w:lineRule="exact"/>
              <w:rPr>
                <w:sz w:val="20"/>
                <w:szCs w:val="20"/>
                <w:color w:val="auto"/>
              </w:rPr>
            </w:pPr>
            <w:r>
              <w:rPr>
                <w:rFonts w:ascii="Arial" w:cs="Arial" w:eastAsia="Arial" w:hAnsi="Arial"/>
                <w:sz w:val="17"/>
                <w:szCs w:val="17"/>
                <w:color w:val="auto"/>
              </w:rPr>
              <w:t>resolution, the U.K. statutory Directors’</w:t>
            </w:r>
          </w:p>
        </w:tc>
        <w:tc>
          <w:tcPr>
            <w:tcW w:w="3620" w:type="dxa"/>
            <w:vAlign w:val="bottom"/>
          </w:tcPr>
          <w:p>
            <w:pPr>
              <w:spacing w:after="0"/>
              <w:rPr>
                <w:sz w:val="16"/>
                <w:szCs w:val="16"/>
                <w:color w:val="auto"/>
              </w:rPr>
            </w:pPr>
          </w:p>
        </w:tc>
      </w:tr>
      <w:tr>
        <w:trPr>
          <w:trHeight w:val="192"/>
        </w:trPr>
        <w:tc>
          <w:tcPr>
            <w:tcW w:w="4940" w:type="dxa"/>
            <w:vAlign w:val="bottom"/>
          </w:tcPr>
          <w:p>
            <w:pPr>
              <w:ind w:left="1180"/>
              <w:spacing w:after="0" w:line="192" w:lineRule="exact"/>
              <w:rPr>
                <w:sz w:val="20"/>
                <w:szCs w:val="20"/>
                <w:color w:val="auto"/>
              </w:rPr>
            </w:pPr>
            <w:r>
              <w:rPr>
                <w:rFonts w:ascii="Arial" w:cs="Arial" w:eastAsia="Arial" w:hAnsi="Arial"/>
                <w:sz w:val="17"/>
                <w:szCs w:val="17"/>
                <w:color w:val="auto"/>
              </w:rPr>
              <w:t>Remuneration Report for the year ended 31</w:t>
            </w:r>
          </w:p>
        </w:tc>
        <w:tc>
          <w:tcPr>
            <w:tcW w:w="3620" w:type="dxa"/>
            <w:vAlign w:val="bottom"/>
          </w:tcPr>
          <w:p>
            <w:pPr>
              <w:spacing w:after="0"/>
              <w:rPr>
                <w:sz w:val="16"/>
                <w:szCs w:val="16"/>
                <w:color w:val="auto"/>
              </w:rPr>
            </w:pPr>
          </w:p>
        </w:tc>
      </w:tr>
      <w:tr>
        <w:trPr>
          <w:trHeight w:val="203"/>
        </w:trPr>
        <w:tc>
          <w:tcPr>
            <w:tcW w:w="494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rPr>
              <w:t>December 2021.</w:t>
            </w:r>
          </w:p>
        </w:tc>
        <w:tc>
          <w:tcPr>
            <w:tcW w:w="3620" w:type="dxa"/>
            <w:vAlign w:val="bottom"/>
            <w:tcBorders>
              <w:bottom w:val="single" w:sz="8" w:color="auto"/>
            </w:tcBorders>
          </w:tcPr>
          <w:p>
            <w:pPr>
              <w:spacing w:after="0"/>
              <w:rPr>
                <w:sz w:val="17"/>
                <w:szCs w:val="17"/>
                <w:color w:val="auto"/>
              </w:rPr>
            </w:pPr>
          </w:p>
        </w:tc>
      </w:tr>
      <w:tr>
        <w:trPr>
          <w:trHeight w:val="174"/>
        </w:trPr>
        <w:tc>
          <w:tcPr>
            <w:tcW w:w="4940" w:type="dxa"/>
            <w:vAlign w:val="bottom"/>
          </w:tcPr>
          <w:p>
            <w:pPr>
              <w:ind w:left="60"/>
              <w:spacing w:after="0" w:line="174" w:lineRule="exact"/>
              <w:rPr>
                <w:sz w:val="20"/>
                <w:szCs w:val="20"/>
                <w:color w:val="auto"/>
              </w:rPr>
            </w:pPr>
            <w:r>
              <w:rPr>
                <w:rFonts w:ascii="Arial" w:cs="Arial" w:eastAsia="Arial" w:hAnsi="Arial"/>
                <w:sz w:val="17"/>
                <w:szCs w:val="17"/>
                <w:color w:val="auto"/>
                <w:w w:val="98"/>
              </w:rPr>
              <w:t>Resolution 7   To re-appoint PricewaterhouseCoopers LLP as the</w:t>
            </w:r>
          </w:p>
        </w:tc>
        <w:tc>
          <w:tcPr>
            <w:tcW w:w="3620" w:type="dxa"/>
            <w:vAlign w:val="bottom"/>
          </w:tcPr>
          <w:p>
            <w:pPr>
              <w:spacing w:after="0"/>
              <w:rPr>
                <w:sz w:val="15"/>
                <w:szCs w:val="15"/>
                <w:color w:val="auto"/>
              </w:rPr>
            </w:pPr>
          </w:p>
        </w:tc>
      </w:tr>
      <w:tr>
        <w:trPr>
          <w:trHeight w:val="192"/>
        </w:trPr>
        <w:tc>
          <w:tcPr>
            <w:tcW w:w="4940" w:type="dxa"/>
            <w:vAlign w:val="bottom"/>
          </w:tcPr>
          <w:p>
            <w:pPr>
              <w:ind w:left="1180"/>
              <w:spacing w:after="0" w:line="192" w:lineRule="exact"/>
              <w:rPr>
                <w:sz w:val="20"/>
                <w:szCs w:val="20"/>
                <w:color w:val="auto"/>
              </w:rPr>
            </w:pPr>
            <w:r>
              <w:rPr>
                <w:rFonts w:ascii="Arial" w:cs="Arial" w:eastAsia="Arial" w:hAnsi="Arial"/>
                <w:sz w:val="17"/>
                <w:szCs w:val="17"/>
                <w:color w:val="auto"/>
              </w:rPr>
              <w:t>Company’s auditors, to hold office until the</w:t>
            </w:r>
          </w:p>
        </w:tc>
        <w:tc>
          <w:tcPr>
            <w:tcW w:w="3620" w:type="dxa"/>
            <w:vAlign w:val="bottom"/>
          </w:tcPr>
          <w:p>
            <w:pPr>
              <w:spacing w:after="0"/>
              <w:rPr>
                <w:sz w:val="16"/>
                <w:szCs w:val="16"/>
                <w:color w:val="auto"/>
              </w:rPr>
            </w:pPr>
          </w:p>
        </w:tc>
      </w:tr>
      <w:tr>
        <w:trPr>
          <w:trHeight w:val="192"/>
        </w:trPr>
        <w:tc>
          <w:tcPr>
            <w:tcW w:w="4940" w:type="dxa"/>
            <w:vAlign w:val="bottom"/>
          </w:tcPr>
          <w:p>
            <w:pPr>
              <w:ind w:left="1180"/>
              <w:spacing w:after="0" w:line="192" w:lineRule="exact"/>
              <w:rPr>
                <w:sz w:val="20"/>
                <w:szCs w:val="20"/>
                <w:color w:val="auto"/>
              </w:rPr>
            </w:pPr>
            <w:r>
              <w:rPr>
                <w:rFonts w:ascii="Arial" w:cs="Arial" w:eastAsia="Arial" w:hAnsi="Arial"/>
                <w:sz w:val="17"/>
                <w:szCs w:val="17"/>
                <w:color w:val="auto"/>
              </w:rPr>
              <w:t>conclusion of the next annual general meeting of</w:t>
            </w:r>
          </w:p>
        </w:tc>
        <w:tc>
          <w:tcPr>
            <w:tcW w:w="3620" w:type="dxa"/>
            <w:vAlign w:val="bottom"/>
          </w:tcPr>
          <w:p>
            <w:pPr>
              <w:spacing w:after="0"/>
              <w:rPr>
                <w:sz w:val="16"/>
                <w:szCs w:val="16"/>
                <w:color w:val="auto"/>
              </w:rPr>
            </w:pPr>
          </w:p>
        </w:tc>
      </w:tr>
      <w:tr>
        <w:trPr>
          <w:trHeight w:val="203"/>
        </w:trPr>
        <w:tc>
          <w:tcPr>
            <w:tcW w:w="494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rPr>
              <w:t>shareholders.</w:t>
            </w:r>
          </w:p>
        </w:tc>
        <w:tc>
          <w:tcPr>
            <w:tcW w:w="3620" w:type="dxa"/>
            <w:vAlign w:val="bottom"/>
            <w:tcBorders>
              <w:bottom w:val="single" w:sz="8" w:color="auto"/>
            </w:tcBorders>
          </w:tcPr>
          <w:p>
            <w:pPr>
              <w:spacing w:after="0"/>
              <w:rPr>
                <w:sz w:val="17"/>
                <w:szCs w:val="17"/>
                <w:color w:val="auto"/>
              </w:rPr>
            </w:pPr>
          </w:p>
        </w:tc>
      </w:tr>
      <w:tr>
        <w:trPr>
          <w:trHeight w:val="174"/>
        </w:trPr>
        <w:tc>
          <w:tcPr>
            <w:tcW w:w="4940" w:type="dxa"/>
            <w:vAlign w:val="bottom"/>
          </w:tcPr>
          <w:p>
            <w:pPr>
              <w:ind w:left="60"/>
              <w:spacing w:after="0" w:line="174" w:lineRule="exact"/>
              <w:rPr>
                <w:sz w:val="20"/>
                <w:szCs w:val="20"/>
                <w:color w:val="auto"/>
              </w:rPr>
            </w:pPr>
            <w:r>
              <w:rPr>
                <w:rFonts w:ascii="Arial" w:cs="Arial" w:eastAsia="Arial" w:hAnsi="Arial"/>
                <w:sz w:val="17"/>
                <w:szCs w:val="17"/>
                <w:color w:val="auto"/>
              </w:rPr>
              <w:t>Resolution 8   To authorize the Audit and Risk Committee to</w:t>
            </w:r>
          </w:p>
        </w:tc>
        <w:tc>
          <w:tcPr>
            <w:tcW w:w="3620" w:type="dxa"/>
            <w:vAlign w:val="bottom"/>
          </w:tcPr>
          <w:p>
            <w:pPr>
              <w:spacing w:after="0"/>
              <w:rPr>
                <w:sz w:val="15"/>
                <w:szCs w:val="15"/>
                <w:color w:val="auto"/>
              </w:rPr>
            </w:pPr>
          </w:p>
        </w:tc>
      </w:tr>
      <w:tr>
        <w:trPr>
          <w:trHeight w:val="192"/>
        </w:trPr>
        <w:tc>
          <w:tcPr>
            <w:tcW w:w="4940" w:type="dxa"/>
            <w:vAlign w:val="bottom"/>
          </w:tcPr>
          <w:p>
            <w:pPr>
              <w:ind w:left="1180"/>
              <w:spacing w:after="0" w:line="192" w:lineRule="exact"/>
              <w:rPr>
                <w:sz w:val="20"/>
                <w:szCs w:val="20"/>
                <w:color w:val="auto"/>
              </w:rPr>
            </w:pPr>
            <w:r>
              <w:rPr>
                <w:rFonts w:ascii="Arial" w:cs="Arial" w:eastAsia="Arial" w:hAnsi="Arial"/>
                <w:sz w:val="17"/>
                <w:szCs w:val="17"/>
                <w:color w:val="auto"/>
              </w:rPr>
              <w:t>determine the auditors’ remuneration for the year</w:t>
            </w:r>
          </w:p>
        </w:tc>
        <w:tc>
          <w:tcPr>
            <w:tcW w:w="3620" w:type="dxa"/>
            <w:vAlign w:val="bottom"/>
          </w:tcPr>
          <w:p>
            <w:pPr>
              <w:spacing w:after="0"/>
              <w:rPr>
                <w:sz w:val="16"/>
                <w:szCs w:val="16"/>
                <w:color w:val="auto"/>
              </w:rPr>
            </w:pPr>
          </w:p>
        </w:tc>
      </w:tr>
      <w:tr>
        <w:trPr>
          <w:trHeight w:val="203"/>
        </w:trPr>
        <w:tc>
          <w:tcPr>
            <w:tcW w:w="494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rPr>
              <w:t>ending December 31, 2022.</w:t>
            </w:r>
          </w:p>
        </w:tc>
        <w:tc>
          <w:tcPr>
            <w:tcW w:w="3620" w:type="dxa"/>
            <w:vAlign w:val="bottom"/>
            <w:tcBorders>
              <w:bottom w:val="single" w:sz="8" w:color="auto"/>
            </w:tcBorders>
          </w:tcPr>
          <w:p>
            <w:pPr>
              <w:spacing w:after="0"/>
              <w:rPr>
                <w:sz w:val="17"/>
                <w:szCs w:val="17"/>
                <w:color w:val="auto"/>
              </w:rPr>
            </w:pPr>
          </w:p>
        </w:tc>
      </w:tr>
      <w:tr>
        <w:trPr>
          <w:trHeight w:val="174"/>
        </w:trPr>
        <w:tc>
          <w:tcPr>
            <w:tcW w:w="4940" w:type="dxa"/>
            <w:vAlign w:val="bottom"/>
          </w:tcPr>
          <w:p>
            <w:pPr>
              <w:ind w:left="60"/>
              <w:spacing w:after="0" w:line="174" w:lineRule="exact"/>
              <w:rPr>
                <w:sz w:val="20"/>
                <w:szCs w:val="20"/>
                <w:color w:val="auto"/>
              </w:rPr>
            </w:pPr>
            <w:r>
              <w:rPr>
                <w:rFonts w:ascii="Arial" w:cs="Arial" w:eastAsia="Arial" w:hAnsi="Arial"/>
                <w:sz w:val="17"/>
                <w:szCs w:val="17"/>
                <w:color w:val="auto"/>
              </w:rPr>
              <w:t>Resolution 9   To authorize the Board of Directors to exercise all</w:t>
            </w:r>
          </w:p>
        </w:tc>
        <w:tc>
          <w:tcPr>
            <w:tcW w:w="3620" w:type="dxa"/>
            <w:vAlign w:val="bottom"/>
          </w:tcPr>
          <w:p>
            <w:pPr>
              <w:spacing w:after="0"/>
              <w:rPr>
                <w:sz w:val="15"/>
                <w:szCs w:val="15"/>
                <w:color w:val="auto"/>
              </w:rPr>
            </w:pPr>
          </w:p>
        </w:tc>
      </w:tr>
      <w:tr>
        <w:trPr>
          <w:trHeight w:val="192"/>
        </w:trPr>
        <w:tc>
          <w:tcPr>
            <w:tcW w:w="4940" w:type="dxa"/>
            <w:vAlign w:val="bottom"/>
          </w:tcPr>
          <w:p>
            <w:pPr>
              <w:ind w:left="1180"/>
              <w:spacing w:after="0" w:line="192" w:lineRule="exact"/>
              <w:rPr>
                <w:sz w:val="20"/>
                <w:szCs w:val="20"/>
                <w:color w:val="auto"/>
              </w:rPr>
            </w:pPr>
            <w:r>
              <w:rPr>
                <w:rFonts w:ascii="Arial" w:cs="Arial" w:eastAsia="Arial" w:hAnsi="Arial"/>
                <w:sz w:val="17"/>
                <w:szCs w:val="17"/>
                <w:color w:val="auto"/>
              </w:rPr>
              <w:t>the powers of the Company to allot shares in the</w:t>
            </w:r>
          </w:p>
        </w:tc>
        <w:tc>
          <w:tcPr>
            <w:tcW w:w="3620" w:type="dxa"/>
            <w:vAlign w:val="bottom"/>
          </w:tcPr>
          <w:p>
            <w:pPr>
              <w:spacing w:after="0"/>
              <w:rPr>
                <w:sz w:val="16"/>
                <w:szCs w:val="16"/>
                <w:color w:val="auto"/>
              </w:rPr>
            </w:pPr>
          </w:p>
        </w:tc>
      </w:tr>
      <w:tr>
        <w:trPr>
          <w:trHeight w:val="192"/>
        </w:trPr>
        <w:tc>
          <w:tcPr>
            <w:tcW w:w="4940" w:type="dxa"/>
            <w:vAlign w:val="bottom"/>
          </w:tcPr>
          <w:p>
            <w:pPr>
              <w:ind w:left="1180"/>
              <w:spacing w:after="0" w:line="192" w:lineRule="exact"/>
              <w:rPr>
                <w:sz w:val="20"/>
                <w:szCs w:val="20"/>
                <w:color w:val="auto"/>
              </w:rPr>
            </w:pPr>
            <w:r>
              <w:rPr>
                <w:rFonts w:ascii="Arial" w:cs="Arial" w:eastAsia="Arial" w:hAnsi="Arial"/>
                <w:sz w:val="17"/>
                <w:szCs w:val="17"/>
                <w:color w:val="auto"/>
              </w:rPr>
              <w:t>Company or grant rights to subscribe for or to</w:t>
            </w:r>
          </w:p>
        </w:tc>
        <w:tc>
          <w:tcPr>
            <w:tcW w:w="3620" w:type="dxa"/>
            <w:vAlign w:val="bottom"/>
          </w:tcPr>
          <w:p>
            <w:pPr>
              <w:spacing w:after="0"/>
              <w:rPr>
                <w:sz w:val="16"/>
                <w:szCs w:val="16"/>
                <w:color w:val="auto"/>
              </w:rPr>
            </w:pPr>
          </w:p>
        </w:tc>
      </w:tr>
      <w:tr>
        <w:trPr>
          <w:trHeight w:val="192"/>
        </w:trPr>
        <w:tc>
          <w:tcPr>
            <w:tcW w:w="4940" w:type="dxa"/>
            <w:vAlign w:val="bottom"/>
          </w:tcPr>
          <w:p>
            <w:pPr>
              <w:ind w:left="1180"/>
              <w:spacing w:after="0" w:line="192" w:lineRule="exact"/>
              <w:rPr>
                <w:sz w:val="20"/>
                <w:szCs w:val="20"/>
                <w:color w:val="auto"/>
              </w:rPr>
            </w:pPr>
            <w:r>
              <w:rPr>
                <w:rFonts w:ascii="Arial" w:cs="Arial" w:eastAsia="Arial" w:hAnsi="Arial"/>
                <w:sz w:val="17"/>
                <w:szCs w:val="17"/>
                <w:color w:val="auto"/>
                <w:w w:val="96"/>
              </w:rPr>
              <w:t>convert any security into shares in the Company up</w:t>
            </w:r>
          </w:p>
        </w:tc>
        <w:tc>
          <w:tcPr>
            <w:tcW w:w="3620" w:type="dxa"/>
            <w:vAlign w:val="bottom"/>
          </w:tcPr>
          <w:p>
            <w:pPr>
              <w:spacing w:after="0"/>
              <w:rPr>
                <w:sz w:val="16"/>
                <w:szCs w:val="16"/>
                <w:color w:val="auto"/>
              </w:rPr>
            </w:pPr>
          </w:p>
        </w:tc>
      </w:tr>
      <w:tr>
        <w:trPr>
          <w:trHeight w:val="214"/>
        </w:trPr>
        <w:tc>
          <w:tcPr>
            <w:tcW w:w="4940" w:type="dxa"/>
            <w:vAlign w:val="bottom"/>
          </w:tcPr>
          <w:p>
            <w:pPr>
              <w:ind w:left="1180"/>
              <w:spacing w:after="0"/>
              <w:rPr>
                <w:sz w:val="20"/>
                <w:szCs w:val="20"/>
                <w:color w:val="auto"/>
              </w:rPr>
            </w:pPr>
            <w:r>
              <w:rPr>
                <w:rFonts w:ascii="Arial" w:cs="Arial" w:eastAsia="Arial" w:hAnsi="Arial"/>
                <w:sz w:val="17"/>
                <w:szCs w:val="17"/>
                <w:color w:val="auto"/>
              </w:rPr>
              <w:t>to an aggregate nominal amount of £24,702,912.</w:t>
            </w:r>
          </w:p>
        </w:tc>
        <w:tc>
          <w:tcPr>
            <w:tcW w:w="3620" w:type="dxa"/>
            <w:vAlign w:val="bottom"/>
          </w:tcPr>
          <w:p>
            <w:pPr>
              <w:spacing w:after="0"/>
              <w:rPr>
                <w:sz w:val="18"/>
                <w:szCs w:val="18"/>
                <w:color w:val="auto"/>
              </w:rPr>
            </w:pPr>
          </w:p>
        </w:tc>
      </w:tr>
    </w:tbl>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20" w:type="dxa"/>
            <w:vAlign w:val="bottom"/>
            <w:tcBorders>
              <w:bottom w:val="single" w:sz="8" w:color="auto"/>
            </w:tcBorders>
            <w:gridSpan w:val="3"/>
          </w:tcPr>
          <w:p>
            <w:pPr>
              <w:ind w:left="500"/>
              <w:spacing w:after="0"/>
              <w:rPr>
                <w:sz w:val="20"/>
                <w:szCs w:val="20"/>
                <w:color w:val="auto"/>
              </w:rPr>
            </w:pPr>
            <w:r>
              <w:rPr>
                <w:rFonts w:ascii="Arial" w:cs="Arial" w:eastAsia="Arial" w:hAnsi="Arial"/>
                <w:sz w:val="17"/>
                <w:szCs w:val="17"/>
                <w:b w:val="1"/>
                <w:bCs w:val="1"/>
                <w:color w:val="auto"/>
              </w:rPr>
              <w:t>Special Resolution</w:t>
            </w:r>
          </w:p>
        </w:tc>
        <w:tc>
          <w:tcPr>
            <w:tcW w:w="366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FOR AGAINST  WITHHELD  DISCRETION</w:t>
            </w:r>
          </w:p>
        </w:tc>
      </w:tr>
      <w:tr>
        <w:trPr>
          <w:trHeight w:val="174"/>
        </w:trPr>
        <w:tc>
          <w:tcPr>
            <w:tcW w:w="20" w:type="dxa"/>
            <w:vAlign w:val="bottom"/>
          </w:tcPr>
          <w:p>
            <w:pPr>
              <w:spacing w:after="0"/>
              <w:rPr>
                <w:sz w:val="15"/>
                <w:szCs w:val="15"/>
                <w:color w:val="auto"/>
              </w:rPr>
            </w:pPr>
          </w:p>
        </w:tc>
        <w:tc>
          <w:tcPr>
            <w:tcW w:w="4900" w:type="dxa"/>
            <w:vAlign w:val="bottom"/>
            <w:gridSpan w:val="5"/>
          </w:tcPr>
          <w:p>
            <w:pPr>
              <w:ind w:left="60"/>
              <w:spacing w:after="0" w:line="174" w:lineRule="exact"/>
              <w:rPr>
                <w:sz w:val="20"/>
                <w:szCs w:val="20"/>
                <w:color w:val="auto"/>
              </w:rPr>
            </w:pPr>
            <w:r>
              <w:rPr>
                <w:rFonts w:ascii="Arial" w:cs="Arial" w:eastAsia="Arial" w:hAnsi="Arial"/>
                <w:sz w:val="17"/>
                <w:szCs w:val="17"/>
                <w:color w:val="auto"/>
                <w:w w:val="99"/>
              </w:rPr>
              <w:t>Resolution 10  To authorize the Board of Directors to allot equity</w:t>
            </w:r>
          </w:p>
        </w:tc>
        <w:tc>
          <w:tcPr>
            <w:tcW w:w="3660" w:type="dxa"/>
            <w:vAlign w:val="bottom"/>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20" w:type="dxa"/>
            <w:vAlign w:val="bottom"/>
            <w:gridSpan w:val="3"/>
          </w:tcPr>
          <w:p>
            <w:pPr>
              <w:ind w:left="500"/>
              <w:spacing w:after="0" w:line="192" w:lineRule="exact"/>
              <w:rPr>
                <w:sz w:val="20"/>
                <w:szCs w:val="20"/>
                <w:color w:val="auto"/>
              </w:rPr>
            </w:pPr>
            <w:r>
              <w:rPr>
                <w:rFonts w:ascii="Arial" w:cs="Arial" w:eastAsia="Arial" w:hAnsi="Arial"/>
                <w:sz w:val="17"/>
                <w:szCs w:val="17"/>
                <w:color w:val="auto"/>
              </w:rPr>
              <w:t>securities for cash and/or to sell ordinary shares</w:t>
            </w:r>
          </w:p>
        </w:tc>
        <w:tc>
          <w:tcPr>
            <w:tcW w:w="366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20" w:type="dxa"/>
            <w:vAlign w:val="bottom"/>
            <w:gridSpan w:val="3"/>
          </w:tcPr>
          <w:p>
            <w:pPr>
              <w:ind w:left="500"/>
              <w:spacing w:after="0" w:line="192" w:lineRule="exact"/>
              <w:rPr>
                <w:sz w:val="20"/>
                <w:szCs w:val="20"/>
                <w:color w:val="auto"/>
              </w:rPr>
            </w:pPr>
            <w:r>
              <w:rPr>
                <w:rFonts w:ascii="Arial" w:cs="Arial" w:eastAsia="Arial" w:hAnsi="Arial"/>
                <w:sz w:val="17"/>
                <w:szCs w:val="17"/>
                <w:color w:val="auto"/>
                <w:w w:val="94"/>
              </w:rPr>
              <w:t>held by the Company as treasury shares for cash as</w:t>
            </w:r>
          </w:p>
        </w:tc>
        <w:tc>
          <w:tcPr>
            <w:tcW w:w="366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20" w:type="dxa"/>
            <w:vAlign w:val="bottom"/>
            <w:gridSpan w:val="3"/>
          </w:tcPr>
          <w:p>
            <w:pPr>
              <w:ind w:left="500"/>
              <w:spacing w:after="0" w:line="192" w:lineRule="exact"/>
              <w:rPr>
                <w:sz w:val="20"/>
                <w:szCs w:val="20"/>
                <w:color w:val="auto"/>
              </w:rPr>
            </w:pPr>
            <w:r>
              <w:rPr>
                <w:rFonts w:ascii="Arial" w:cs="Arial" w:eastAsia="Arial" w:hAnsi="Arial"/>
                <w:sz w:val="17"/>
                <w:szCs w:val="17"/>
                <w:color w:val="auto"/>
              </w:rPr>
              <w:t>if section 561(1) of the Companies Act does not</w:t>
            </w:r>
          </w:p>
        </w:tc>
        <w:tc>
          <w:tcPr>
            <w:tcW w:w="366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3"/>
          </w:tcPr>
          <w:p>
            <w:pPr>
              <w:ind w:left="500"/>
              <w:spacing w:after="0"/>
              <w:rPr>
                <w:sz w:val="20"/>
                <w:szCs w:val="20"/>
                <w:color w:val="auto"/>
              </w:rPr>
            </w:pPr>
            <w:r>
              <w:rPr>
                <w:rFonts w:ascii="Arial" w:cs="Arial" w:eastAsia="Arial" w:hAnsi="Arial"/>
                <w:sz w:val="17"/>
                <w:szCs w:val="17"/>
                <w:color w:val="auto"/>
              </w:rPr>
              <w:t>apply to any such allotment.</w:t>
            </w:r>
          </w:p>
        </w:tc>
        <w:tc>
          <w:tcPr>
            <w:tcW w:w="3660" w:type="dxa"/>
            <w:vAlign w:val="bottom"/>
            <w:tcBorders>
              <w:bottom w:val="single" w:sz="8" w:color="auto"/>
            </w:tcBorders>
          </w:tcPr>
          <w:p>
            <w:pPr>
              <w:spacing w:after="0"/>
              <w:rPr>
                <w:sz w:val="18"/>
                <w:szCs w:val="18"/>
                <w:color w:val="auto"/>
              </w:rPr>
            </w:pPr>
          </w:p>
        </w:tc>
      </w:tr>
      <w:tr>
        <w:trPr>
          <w:trHeight w:val="352"/>
        </w:trPr>
        <w:tc>
          <w:tcPr>
            <w:tcW w:w="380" w:type="dxa"/>
            <w:vAlign w:val="bottom"/>
            <w:gridSpan w:val="2"/>
          </w:tcPr>
          <w:p>
            <w:pPr>
              <w:spacing w:after="0"/>
              <w:rPr>
                <w:sz w:val="20"/>
                <w:szCs w:val="20"/>
                <w:color w:val="auto"/>
              </w:rPr>
            </w:pPr>
            <w:r>
              <w:rPr>
                <w:rFonts w:ascii="Arial" w:cs="Arial" w:eastAsia="Arial" w:hAnsi="Arial"/>
                <w:sz w:val="17"/>
                <w:szCs w:val="17"/>
                <w:color w:val="auto"/>
              </w:rPr>
              <w:t>Date</w:t>
            </w: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color w:val="auto"/>
                <w:w w:val="88"/>
              </w:rPr>
              <w:t>, 2022</w:t>
            </w:r>
          </w:p>
        </w:tc>
        <w:tc>
          <w:tcPr>
            <w:tcW w:w="17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351"/>
        </w:trPr>
        <w:tc>
          <w:tcPr>
            <w:tcW w:w="700" w:type="dxa"/>
            <w:vAlign w:val="bottom"/>
            <w:gridSpan w:val="3"/>
          </w:tcPr>
          <w:p>
            <w:pPr>
              <w:spacing w:after="0"/>
              <w:rPr>
                <w:sz w:val="20"/>
                <w:szCs w:val="20"/>
                <w:color w:val="auto"/>
              </w:rPr>
            </w:pPr>
            <w:r>
              <w:rPr>
                <w:rFonts w:ascii="Arial" w:cs="Arial" w:eastAsia="Arial" w:hAnsi="Arial"/>
                <w:sz w:val="17"/>
                <w:szCs w:val="17"/>
                <w:color w:val="auto"/>
                <w:w w:val="93"/>
              </w:rPr>
              <w:t>Signature</w:t>
            </w:r>
          </w:p>
        </w:tc>
        <w:tc>
          <w:tcPr>
            <w:tcW w:w="17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3660" w:type="dxa"/>
            <w:vAlign w:val="bottom"/>
          </w:tcPr>
          <w:p>
            <w:pPr>
              <w:spacing w:after="0"/>
              <w:rPr>
                <w:sz w:val="24"/>
                <w:szCs w:val="24"/>
                <w:color w:val="auto"/>
              </w:rPr>
            </w:pPr>
          </w:p>
        </w:tc>
      </w:tr>
    </w:tbl>
    <w:p>
      <w:pPr>
        <w:spacing w:after="0" w:line="163" w:lineRule="exact"/>
        <w:rPr>
          <w:sz w:val="20"/>
          <w:szCs w:val="20"/>
          <w:color w:val="auto"/>
        </w:rPr>
      </w:pPr>
    </w:p>
    <w:p>
      <w:pPr>
        <w:ind w:left="540" w:hanging="334"/>
        <w:spacing w:after="0"/>
        <w:tabs>
          <w:tab w:leader="none" w:pos="540" w:val="left"/>
        </w:tabs>
        <w:numPr>
          <w:ilvl w:val="0"/>
          <w:numId w:val="44"/>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Please tick here if you are appointing more than one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572135</wp:posOffset>
            </wp:positionV>
            <wp:extent cx="6466205"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Notes:</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(1) Resolutions and voting</w:t>
      </w:r>
    </w:p>
    <w:p>
      <w:pPr>
        <w:spacing w:after="0" w:line="141" w:lineRule="exact"/>
        <w:rPr>
          <w:sz w:val="20"/>
          <w:szCs w:val="20"/>
          <w:color w:val="auto"/>
        </w:rPr>
      </w:pPr>
    </w:p>
    <w:p>
      <w:pPr>
        <w:ind w:left="1040" w:right="279"/>
        <w:spacing w:after="0" w:line="263" w:lineRule="auto"/>
        <w:rPr>
          <w:sz w:val="20"/>
          <w:szCs w:val="20"/>
          <w:color w:val="auto"/>
        </w:rPr>
      </w:pPr>
      <w:r>
        <w:rPr>
          <w:rFonts w:ascii="Arial" w:cs="Arial" w:eastAsia="Arial" w:hAnsi="Arial"/>
          <w:sz w:val="17"/>
          <w:szCs w:val="17"/>
          <w:color w:val="auto"/>
        </w:rPr>
        <w:t>The proposed resolutions will be put to vote on a poll. This results in a more accurate reflection of the views of Shareholders ensuring that votes by proxy will be fully-counted. On a poll, each Shareholder has one vote for every share held. The Board of Directors recommends you vote FOR each the above proposed resolutions.</w:t>
      </w:r>
    </w:p>
    <w:p>
      <w:pPr>
        <w:spacing w:after="0" w:line="112" w:lineRule="exact"/>
        <w:rPr>
          <w:sz w:val="20"/>
          <w:szCs w:val="20"/>
          <w:color w:val="auto"/>
        </w:rPr>
      </w:pPr>
    </w:p>
    <w:p>
      <w:pPr>
        <w:ind w:left="1040" w:right="319"/>
        <w:spacing w:after="0" w:line="277" w:lineRule="auto"/>
        <w:rPr>
          <w:sz w:val="20"/>
          <w:szCs w:val="20"/>
          <w:color w:val="auto"/>
        </w:rPr>
      </w:pPr>
      <w:r>
        <w:rPr>
          <w:rFonts w:ascii="Arial" w:cs="Arial" w:eastAsia="Arial" w:hAnsi="Arial"/>
          <w:sz w:val="16"/>
          <w:szCs w:val="16"/>
          <w:color w:val="auto"/>
        </w:rPr>
        <w:t>Resolutions 1 to 9 are proposed as ordinary resolutions. On a poll, an ordinary resolution is passed if it is approved by holders representing a simple majority of the total voting rights of shareholders present (in person or by proxy) who (being entitled to vote) vote on the resolution. Resolution 10 is proposed as a special resolution. On a poll, a special resolution is passed if it is approved by holders representing not less than 75% of the total voting rights of shareholders present (in person or by proxy) who (being entitled to vote) vote on the resolution.</w:t>
      </w:r>
    </w:p>
    <w:p>
      <w:pPr>
        <w:spacing w:after="0" w:line="102" w:lineRule="exact"/>
        <w:rPr>
          <w:sz w:val="20"/>
          <w:szCs w:val="20"/>
          <w:color w:val="auto"/>
        </w:rPr>
      </w:pPr>
    </w:p>
    <w:p>
      <w:pPr>
        <w:ind w:left="1040" w:right="259"/>
        <w:spacing w:after="0" w:line="257" w:lineRule="auto"/>
        <w:rPr>
          <w:sz w:val="20"/>
          <w:szCs w:val="20"/>
          <w:color w:val="auto"/>
        </w:rPr>
      </w:pPr>
      <w:r>
        <w:rPr>
          <w:rFonts w:ascii="Arial" w:cs="Arial" w:eastAsia="Arial" w:hAnsi="Arial"/>
          <w:sz w:val="17"/>
          <w:szCs w:val="17"/>
          <w:color w:val="auto"/>
        </w:rPr>
        <w:t>If you select “Discretion” or if no voting indication is given, this proxy will be voted in accordance with the Board of Directors’ recommendations. The vote “Withheld” option is to enable you to abstain on any particular resolution. A vote withheld is not a vote in law, which means that the vote will not be counted in the calculation of votes for or against the resolution. The proxy may vote or abstain from voting as he/she thinks fit with respect to any other resolution that is put to the meeting.</w:t>
      </w:r>
    </w:p>
    <w:p>
      <w:pPr>
        <w:spacing w:after="0" w:line="105" w:lineRule="exact"/>
        <w:rPr>
          <w:sz w:val="20"/>
          <w:szCs w:val="20"/>
          <w:color w:val="auto"/>
        </w:rPr>
      </w:pPr>
    </w:p>
    <w:p>
      <w:pPr>
        <w:ind w:left="1040" w:right="499"/>
        <w:spacing w:after="0" w:line="263" w:lineRule="auto"/>
        <w:rPr>
          <w:sz w:val="20"/>
          <w:szCs w:val="20"/>
          <w:color w:val="auto"/>
        </w:rPr>
      </w:pPr>
      <w:r>
        <w:rPr>
          <w:rFonts w:ascii="Arial" w:cs="Arial" w:eastAsia="Arial" w:hAnsi="Arial"/>
          <w:sz w:val="17"/>
          <w:szCs w:val="17"/>
          <w:color w:val="auto"/>
        </w:rPr>
        <w:t>The results of the voting and any other information required by the U.K. Companies Act 2006 will be made available on our website (https://www.veronapharma.com) as soon as reasonably practicable following the AGM and for the required period thereafter.</w:t>
      </w:r>
    </w:p>
    <w:p>
      <w:pPr>
        <w:spacing w:after="0" w:line="172"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(2) Appointment of proxies</w:t>
      </w:r>
    </w:p>
    <w:p>
      <w:pPr>
        <w:spacing w:after="0" w:line="154" w:lineRule="exact"/>
        <w:rPr>
          <w:sz w:val="20"/>
          <w:szCs w:val="20"/>
          <w:color w:val="auto"/>
        </w:rPr>
      </w:pPr>
    </w:p>
    <w:p>
      <w:pPr>
        <w:ind w:left="1040" w:right="299"/>
        <w:spacing w:after="0" w:line="280" w:lineRule="auto"/>
        <w:rPr>
          <w:sz w:val="20"/>
          <w:szCs w:val="20"/>
          <w:color w:val="auto"/>
        </w:rPr>
      </w:pPr>
      <w:r>
        <w:rPr>
          <w:rFonts w:ascii="Arial" w:cs="Arial" w:eastAsia="Arial" w:hAnsi="Arial"/>
          <w:sz w:val="15"/>
          <w:szCs w:val="15"/>
          <w:color w:val="auto"/>
        </w:rPr>
        <w:t xml:space="preserve">Generally, members are entitled to appoint a proxy to exercise all or any of their rights to attend and to speak and vote on their behalf at the AGM. A proxy need not be a Shareholder of the Company. A Shareholder may appoint more than one proxy in relation to the AGM provided that each proxy is appointed to exercise the rights attached to a different share or shares held by that Shareholder. </w:t>
      </w:r>
      <w:r>
        <w:rPr>
          <w:rFonts w:ascii="Arial" w:cs="Arial" w:eastAsia="Arial" w:hAnsi="Arial"/>
          <w:sz w:val="15"/>
          <w:szCs w:val="15"/>
          <w:b w:val="1"/>
          <w:bCs w:val="1"/>
          <w:color w:val="auto"/>
        </w:rPr>
        <w:t>To be valid, the form of proxy and the power of attorney or other</w:t>
      </w:r>
      <w:r>
        <w:rPr>
          <w:rFonts w:ascii="Arial" w:cs="Arial" w:eastAsia="Arial" w:hAnsi="Arial"/>
          <w:sz w:val="15"/>
          <w:szCs w:val="15"/>
          <w:color w:val="auto"/>
        </w:rPr>
        <w:t xml:space="preserve"> </w:t>
      </w:r>
      <w:r>
        <w:rPr>
          <w:rFonts w:ascii="Arial" w:cs="Arial" w:eastAsia="Arial" w:hAnsi="Arial"/>
          <w:sz w:val="15"/>
          <w:szCs w:val="15"/>
          <w:b w:val="1"/>
          <w:bCs w:val="1"/>
          <w:color w:val="auto"/>
        </w:rPr>
        <w:t>authority (if any) under which it is signed or a certified copy of such power or authority must be lodged at the office of the Company Secretary, Verona Pharma plc, c/o Shakespeare Martineau LLP, 6</w:t>
      </w:r>
      <w:r>
        <w:rPr>
          <w:rFonts w:ascii="Arial" w:cs="Arial" w:eastAsia="Arial" w:hAnsi="Arial"/>
          <w:sz w:val="22"/>
          <w:szCs w:val="22"/>
          <w:b w:val="1"/>
          <w:bCs w:val="1"/>
          <w:color w:val="auto"/>
          <w:vertAlign w:val="superscript"/>
        </w:rPr>
        <w:t>th</w:t>
      </w:r>
      <w:r>
        <w:rPr>
          <w:rFonts w:ascii="Arial" w:cs="Arial" w:eastAsia="Arial" w:hAnsi="Arial"/>
          <w:sz w:val="15"/>
          <w:szCs w:val="15"/>
          <w:b w:val="1"/>
          <w:bCs w:val="1"/>
          <w:color w:val="auto"/>
        </w:rPr>
        <w:t xml:space="preserve"> Floor, 60 Gracechurch Street, London EC3V 0HR BY HAND or BY POST, or BY EMAIL to ben.harber@shma.co.uk, so as to be received not less than 48 hours before the time fixed for the holding of the AGM or any adjournment thereof (as the case may be), excluding any part of a day which is not a working day. </w:t>
      </w:r>
      <w:r>
        <w:rPr>
          <w:rFonts w:ascii="Arial" w:cs="Arial" w:eastAsia="Arial" w:hAnsi="Arial"/>
          <w:sz w:val="15"/>
          <w:szCs w:val="15"/>
          <w:color w:val="auto"/>
        </w:rPr>
        <w:t>The attached proxy statement explains proxy voting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matters to be voted on in more detail. Please read the proxy statement carefully. For specific information regarding the voting of your ordinary shares, please refer to the proxy statement under the section entitled “</w:t>
      </w:r>
      <w:r>
        <w:rPr>
          <w:rFonts w:ascii="Arial" w:cs="Arial" w:eastAsia="Arial" w:hAnsi="Arial"/>
          <w:sz w:val="15"/>
          <w:szCs w:val="15"/>
          <w:i w:val="1"/>
          <w:iCs w:val="1"/>
          <w:color w:val="auto"/>
        </w:rPr>
        <w:t>Questions and</w:t>
      </w:r>
      <w:r>
        <w:rPr>
          <w:rFonts w:ascii="Arial" w:cs="Arial" w:eastAsia="Arial" w:hAnsi="Arial"/>
          <w:sz w:val="15"/>
          <w:szCs w:val="15"/>
          <w:color w:val="auto"/>
        </w:rPr>
        <w:t xml:space="preserve"> </w:t>
      </w:r>
      <w:r>
        <w:rPr>
          <w:rFonts w:ascii="Arial" w:cs="Arial" w:eastAsia="Arial" w:hAnsi="Arial"/>
          <w:sz w:val="15"/>
          <w:szCs w:val="15"/>
          <w:i w:val="1"/>
          <w:iCs w:val="1"/>
          <w:color w:val="auto"/>
        </w:rPr>
        <w:t>Answers About the Annual General Meeting</w:t>
      </w:r>
      <w:r>
        <w:rPr>
          <w:rFonts w:ascii="Arial" w:cs="Arial" w:eastAsia="Arial" w:hAnsi="Arial"/>
          <w:sz w:val="15"/>
          <w:szCs w:val="15"/>
          <w:color w:val="auto"/>
        </w:rPr>
        <w:t>.”</w:t>
      </w:r>
    </w:p>
    <w:p>
      <w:pPr>
        <w:spacing w:after="0" w:line="101" w:lineRule="exact"/>
        <w:rPr>
          <w:sz w:val="20"/>
          <w:szCs w:val="20"/>
          <w:color w:val="auto"/>
        </w:rPr>
      </w:pPr>
    </w:p>
    <w:p>
      <w:pPr>
        <w:ind w:left="1040" w:right="219"/>
        <w:spacing w:after="0" w:line="259" w:lineRule="auto"/>
        <w:rPr>
          <w:sz w:val="20"/>
          <w:szCs w:val="20"/>
          <w:color w:val="auto"/>
        </w:rPr>
      </w:pPr>
      <w:r>
        <w:rPr>
          <w:rFonts w:ascii="Arial" w:cs="Arial" w:eastAsia="Arial" w:hAnsi="Arial"/>
          <w:sz w:val="17"/>
          <w:szCs w:val="17"/>
          <w:color w:val="auto"/>
        </w:rPr>
        <w:t>In the case of a member that is a corporation, the form of proxy must be executed under its common seal or executed on its behalf by a duly authorized officer or attorney for the company. Any corporation that is a member may also appoint one or more representatives who may exercise on its behalf all of its powers as a member provided they do not do so in relation to the same shares.</w:t>
      </w:r>
    </w:p>
    <w:p>
      <w:pPr>
        <w:spacing w:after="0" w:line="103" w:lineRule="exact"/>
        <w:rPr>
          <w:sz w:val="20"/>
          <w:szCs w:val="20"/>
          <w:color w:val="auto"/>
        </w:rPr>
      </w:pPr>
    </w:p>
    <w:p>
      <w:pPr>
        <w:ind w:left="1040" w:right="279"/>
        <w:spacing w:after="0" w:line="255" w:lineRule="auto"/>
        <w:rPr>
          <w:sz w:val="20"/>
          <w:szCs w:val="20"/>
          <w:color w:val="auto"/>
        </w:rPr>
      </w:pPr>
      <w:r>
        <w:rPr>
          <w:rFonts w:ascii="Arial" w:cs="Arial" w:eastAsia="Arial" w:hAnsi="Arial"/>
          <w:sz w:val="17"/>
          <w:szCs w:val="17"/>
          <w:color w:val="auto"/>
        </w:rPr>
        <w:t>To change your proxy instructions, simply submit a new form of proxy as set out above. Note that the cut-off times for receipt of proxy appointments (see above) also apply in relation to amended instructions; any amended proxy instructions received after the relevant cut-off time will be disregarded. Please contact the Company Secretary (as noted above) to obtain a new form of proxy. If you submit more than one valid proxy appointment, the appointment validly received last before the latest time for receipt of forms of proxy will take precedence. If the Company is unable to determine which form of proxy was last validly received, none of them shall be treated as valid in respect of that Ordinary Share.</w:t>
      </w:r>
    </w:p>
    <w:p>
      <w:pPr>
        <w:spacing w:after="0" w:line="119" w:lineRule="exact"/>
        <w:rPr>
          <w:sz w:val="20"/>
          <w:szCs w:val="20"/>
          <w:color w:val="auto"/>
        </w:rPr>
      </w:pPr>
    </w:p>
    <w:p>
      <w:pPr>
        <w:ind w:left="1040" w:right="339"/>
        <w:spacing w:after="0" w:line="250" w:lineRule="auto"/>
        <w:rPr>
          <w:sz w:val="20"/>
          <w:szCs w:val="20"/>
          <w:color w:val="auto"/>
        </w:rPr>
      </w:pPr>
      <w:r>
        <w:rPr>
          <w:rFonts w:ascii="Arial" w:cs="Arial" w:eastAsia="Arial" w:hAnsi="Arial"/>
          <w:sz w:val="16"/>
          <w:szCs w:val="16"/>
          <w:color w:val="auto"/>
        </w:rPr>
        <w:t>Further, the appointment under the form of proxy may be terminated by the member prior to the commencement of the AGM (or any adjournment of the AGM). To be valid, the notice of termination of the authority of the person appointed to act as proxy must be deposited at the offices of the Company Secretary, Verona Pharma plc, 6</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Floor, 60 Gracechurch Street, London EC3V 0HR, no less than 48 hours (excluding non-working days) before the time fixed for the holding of the AGM or any adjournment thereof (as the case may be).</w:t>
      </w:r>
    </w:p>
    <w:p>
      <w:pPr>
        <w:spacing w:after="0" w:line="353"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(3) Appointment of proxy by joint members</w:t>
      </w:r>
    </w:p>
    <w:p>
      <w:pPr>
        <w:spacing w:after="0" w:line="141" w:lineRule="exact"/>
        <w:rPr>
          <w:sz w:val="20"/>
          <w:szCs w:val="20"/>
          <w:color w:val="auto"/>
        </w:rPr>
      </w:pPr>
    </w:p>
    <w:p>
      <w:pPr>
        <w:ind w:left="1040" w:right="239"/>
        <w:spacing w:after="0" w:line="259" w:lineRule="auto"/>
        <w:rPr>
          <w:sz w:val="20"/>
          <w:szCs w:val="20"/>
          <w:color w:val="auto"/>
        </w:rPr>
      </w:pPr>
      <w:r>
        <w:rPr>
          <w:rFonts w:ascii="Arial" w:cs="Arial" w:eastAsia="Arial" w:hAnsi="Arial"/>
          <w:sz w:val="17"/>
          <w:szCs w:val="17"/>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(4) Issued shares and total voting rights</w:t>
      </w:r>
    </w:p>
    <w:p>
      <w:pPr>
        <w:spacing w:after="0" w:line="154" w:lineRule="exact"/>
        <w:rPr>
          <w:sz w:val="20"/>
          <w:szCs w:val="20"/>
          <w:color w:val="auto"/>
        </w:rPr>
      </w:pPr>
    </w:p>
    <w:p>
      <w:pPr>
        <w:ind w:left="1040" w:right="219"/>
        <w:spacing w:after="0" w:line="259" w:lineRule="auto"/>
        <w:rPr>
          <w:sz w:val="20"/>
          <w:szCs w:val="20"/>
          <w:color w:val="auto"/>
        </w:rPr>
      </w:pPr>
      <w:r>
        <w:rPr>
          <w:rFonts w:ascii="Arial" w:cs="Arial" w:eastAsia="Arial" w:hAnsi="Arial"/>
          <w:sz w:val="17"/>
          <w:szCs w:val="17"/>
          <w:color w:val="auto"/>
        </w:rPr>
        <w:t>As at the close of business on March 15, 2022 (being the latest practicable date prior to publication of this document), the Company’s issued ordinary share capital comprised 445,969,350 voting ordinary shares. Each voting ordinary share carries the right to one vote at the AGM and therefore the total number of voting rights at the close of business on March 15, 2022 is 445,969,350.</w:t>
      </w:r>
    </w:p>
    <w:p>
      <w:pPr>
        <w:spacing w:after="0" w:line="112" w:lineRule="exact"/>
        <w:rPr>
          <w:sz w:val="20"/>
          <w:szCs w:val="20"/>
          <w:color w:val="auto"/>
        </w:rPr>
      </w:pPr>
    </w:p>
    <w:p>
      <w:pPr>
        <w:ind w:left="780" w:right="339"/>
        <w:spacing w:after="0" w:line="266" w:lineRule="auto"/>
        <w:rPr>
          <w:sz w:val="20"/>
          <w:szCs w:val="20"/>
          <w:color w:val="auto"/>
        </w:rPr>
      </w:pPr>
      <w:r>
        <w:rPr>
          <w:rFonts w:ascii="Arial" w:cs="Arial" w:eastAsia="Arial" w:hAnsi="Arial"/>
          <w:sz w:val="17"/>
          <w:szCs w:val="17"/>
          <w:b w:val="1"/>
          <w:bCs w:val="1"/>
          <w:color w:val="auto"/>
        </w:rPr>
        <w:t>This proxy is solicited on behalf of the Board of Directors. The shares represented by this proxy, when properly executed, will be voted in accordance with the specifications indicated herein. If no such direction is made, this proxy will be voted in accordance with the Board of Directors’ recommendations.</w:t>
      </w:r>
    </w:p>
    <w:p>
      <w:pPr>
        <w:spacing w:after="0" w:line="92" w:lineRule="exact"/>
        <w:rPr>
          <w:sz w:val="20"/>
          <w:szCs w:val="20"/>
          <w:color w:val="auto"/>
        </w:rPr>
      </w:pPr>
    </w:p>
    <w:p>
      <w:pPr>
        <w:ind w:left="780" w:right="279"/>
        <w:spacing w:after="0" w:line="278" w:lineRule="auto"/>
        <w:rPr>
          <w:sz w:val="20"/>
          <w:szCs w:val="20"/>
          <w:color w:val="auto"/>
        </w:rPr>
      </w:pPr>
      <w:r>
        <w:rPr>
          <w:rFonts w:ascii="Arial" w:cs="Arial" w:eastAsia="Arial" w:hAnsi="Arial"/>
          <w:sz w:val="16"/>
          <w:szCs w:val="16"/>
          <w:b w:val="1"/>
          <w:bCs w:val="1"/>
          <w:color w:val="auto"/>
        </w:rPr>
        <w:t>In accordance with the terms of the deposit agreement by and among the Company, Citibank, N.A. as depositary and holders and beneficial owners of American Depositary Shares (“ADSs”) issued thereunder dated as of May 2, 2017, holders of ADSs who do not provide the depositary bank with voting instructions on or before the record date for ADS holders will be deemed to have instructed the depositary bank to give a discretionary proxy to a person designated by the Company to vote the underlying ordinary shares at the AGM.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6466205"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sectPr>
      <w:pgSz w:w="11900" w:h="16838" w:orient="portrait"/>
      <w:cols w:equalWidth="0" w:num="1">
        <w:col w:w="9599"/>
      </w:cols>
      <w:pgMar w:left="86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emdash "/>
      <w:numFmt w:val="bullet"/>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5"/>
    </w:lvl>
  </w:abstractNum>
  <w:abstractNum w:abstractNumId="8">
    <w:nsid w:val="189A769B"/>
    <w:multiLevelType w:val="hybridMultilevel"/>
    <w:lvl w:ilvl="0">
      <w:lvlJc w:val="left"/>
      <w:lvlText w:val="%1."/>
      <w:numFmt w:val="decimal"/>
      <w:start w:val="6"/>
    </w:lvl>
  </w:abstractNum>
  <w:abstractNum w:abstractNumId="9">
    <w:nsid w:val="54E49EB4"/>
    <w:multiLevelType w:val="hybridMultilevel"/>
    <w:lvl w:ilvl="0">
      <w:lvlJc w:val="left"/>
      <w:lvlText w:val="%1."/>
      <w:numFmt w:val="decimal"/>
      <w:start w:val="7"/>
    </w:lvl>
  </w:abstractNum>
  <w:abstractNum w:abstractNumId="10">
    <w:nsid w:val="71F32454"/>
    <w:multiLevelType w:val="hybridMultilevel"/>
    <w:lvl w:ilvl="0">
      <w:lvlJc w:val="left"/>
      <w:lvlText w:val="%1."/>
      <w:numFmt w:val="decimal"/>
      <w:start w:val="9"/>
    </w:lvl>
  </w:abstractNum>
  <w:abstractNum w:abstractNumId="11">
    <w:nsid w:val="2CA88611"/>
    <w:multiLevelType w:val="hybridMultilevel"/>
    <w:lvl w:ilvl="0">
      <w:lvlJc w:val="left"/>
      <w:lvlText w:val="%1."/>
      <w:numFmt w:val="decimal"/>
      <w:start w:val="10"/>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2"/>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lowerLetter"/>
      <w:start w:val="2"/>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5"/>
    </w:lvl>
  </w:abstractNum>
  <w:abstractNum w:abstractNumId="29">
    <w:nsid w:val="77465F01"/>
    <w:multiLevelType w:val="hybridMultilevel"/>
    <w:lvl w:ilvl="0">
      <w:lvlJc w:val="left"/>
      <w:lvlText w:val="(%1)"/>
      <w:numFmt w:val="lowerRoman"/>
      <w:start w:val="4"/>
    </w:lvl>
  </w:abstractNum>
  <w:abstractNum w:abstractNumId="30">
    <w:nsid w:val="7724C67E"/>
    <w:multiLevelType w:val="hybridMultilevel"/>
    <w:lvl w:ilvl="0">
      <w:lvlJc w:val="left"/>
      <w:lvlText w:val="•"/>
      <w:numFmt w:val="bullet"/>
      <w:start w:val="1"/>
    </w:lvl>
    <w:lvl w:ilvl="1">
      <w:lvlJc w:val="left"/>
      <w:lvlText w:val="•"/>
      <w:numFmt w:val="bullet"/>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2"/>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emdash "/>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3"/>
    </w:lvl>
  </w:abstractNum>
  <w:abstractNum w:abstractNumId="39">
    <w:nsid w:val="70A64E2A"/>
    <w:multiLevelType w:val="hybridMultilevel"/>
    <w:lvl w:ilvl="0">
      <w:lvlJc w:val="left"/>
      <w:lvlText w:val="(%1)"/>
      <w:numFmt w:val="decimal"/>
      <w:start w:val="9"/>
    </w:lvl>
    <w:lvl w:ilvl="1">
      <w:lvlJc w:val="left"/>
      <w:lvlText w:val="(%2)"/>
      <w:numFmt w:val="lowerLetter"/>
      <w:start w:val="2"/>
    </w:lvl>
  </w:abstractNum>
  <w:abstractNum w:abstractNumId="40">
    <w:nsid w:val="6A2342EC"/>
    <w:multiLevelType w:val="hybridMultilevel"/>
    <w:lvl w:ilvl="0">
      <w:lvlJc w:val="left"/>
      <w:lvlText w:val="(%1)"/>
      <w:numFmt w:val="decimal"/>
      <w:start w:val="16"/>
    </w:lvl>
    <w:lvl w:ilvl="1">
      <w:lvlJc w:val="left"/>
      <w:lvlText w:val="(%2)"/>
      <w:numFmt w:val="lowerLetter"/>
      <w:start w:val="2"/>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lowerRoman"/>
      <w:start w:val="2"/>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2022-03-22T15:18:22Z</dcterms:created>
  <dcterms:modified xsi:type="dcterms:W3CDTF">2022-03-22T15:18:22Z</dcterms:modified>
</cp:coreProperties>
</file>