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14421-1_4seq1.xml.htm"/>
      <w:bookmarkStart w:id="1" w:name="kstm251442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Rickard Kathleen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RIVERSIDE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3"/>
        <w:gridCol w:w="899"/>
        <w:gridCol w:w="771"/>
        <w:gridCol w:w="597"/>
        <w:gridCol w:w="339"/>
        <w:gridCol w:w="998"/>
        <w:gridCol w:w="431"/>
        <w:gridCol w:w="877"/>
        <w:gridCol w:w="1292"/>
        <w:gridCol w:w="968"/>
        <w:gridCol w:w="91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114,984</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8.8216</w:t>
            </w:r>
            <w:r>
              <w:rPr>
                <w:rFonts w:ascii="Times;serif" w:hAnsi="Times;serif"/>
                <w:color w:val="008000"/>
                <w:position w:val="7"/>
                <w:sz w:val="16"/>
                <w:sz w:val="20"/>
                <w:shd w:fill="FFFFFF" w:val="clear"/>
              </w:rPr>
              <w:t>(3)</w:t>
            </w:r>
            <w:r>
              <w:rPr/>
              <w:t xml:space="preserve"> </w:t>
            </w:r>
          </w:p>
        </w:tc>
        <w:tc>
          <w:tcPr>
            <w:tcW w:w="12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2,546,472</w:t>
            </w:r>
            <w:r>
              <w:rPr>
                <w:rFonts w:ascii="Times;serif" w:hAnsi="Times;serif"/>
                <w:color w:val="008000"/>
                <w:position w:val="7"/>
                <w:sz w:val="16"/>
                <w:sz w:val="20"/>
                <w:shd w:fill="FFFFFF" w:val="clear"/>
              </w:rPr>
              <w:t>(4)</w:t>
            </w:r>
            <w:r>
              <w:rPr/>
              <w:t xml:space="preserve"> </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Reported securities are represented by American Depositary Shares ("ADSs"),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in this Form 4 was effected pursuant to a Rule 10b5-1 plan adopted on December 11,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represents a weighted average price of the ADSs divided by eight (8). The securities were sold in multiple transactions at prices ranging from $8.675 to $9.015 per Ordinary Share, inclusive (or $69.4 to $72.12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Consists of (i) 659,984 Ordinary Shares underlying Restricted Share Units, each of which represents a contingent right to receive one (1) Ordinary Share of the Issuer (which are represented by 82,498 ADSs); and (ii) 1,886,488 Ordinary Shares underlying 235,811 ADSs.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Fisher, Attorney-in-fact for Kathleen A. Rickard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6883" TargetMode="External"/><Relationship Id="rId5" Type="http://schemas.openxmlformats.org/officeDocument/2006/relationships/hyperlink" Target="http://www.sec.gov/cgi-bin/browse-edgar?action=getcompany&amp;CIK=0001657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734</Words>
  <Characters>3986</Characters>
  <CharactersWithSpaces>4660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