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Gupta Rishi</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01/01/2021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601 LEXINGTON AVE, 54TH</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FLOOR</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90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320" w:type="dxa"/>
            <w:vAlign w:val="bottom"/>
            <w:vMerge w:val="restart"/>
          </w:tcPr>
          <w:p>
            <w:pPr>
              <w:jc w:val="right"/>
              <w:spacing w:after="0"/>
              <w:rPr>
                <w:sz w:val="20"/>
                <w:szCs w:val="20"/>
                <w:color w:val="auto"/>
              </w:rPr>
            </w:pPr>
            <w:r>
              <w:rPr>
                <w:rFonts w:ascii="Arial" w:cs="Arial" w:eastAsia="Arial" w:hAnsi="Arial"/>
                <w:sz w:val="20"/>
                <w:szCs w:val="20"/>
                <w:color w:val="0000FF"/>
              </w:rPr>
              <w:t>10022-4629</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9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Verona Pharma plc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VRNA</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58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0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80" w:type="dxa"/>
            <w:vAlign w:val="bottom"/>
            <w:gridSpan w:val="4"/>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(I) (Instr. 5)</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Ordinary Shares</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560"/>
              <w:spacing w:after="0"/>
              <w:rPr>
                <w:sz w:val="20"/>
                <w:szCs w:val="20"/>
                <w:color w:val="auto"/>
              </w:rPr>
            </w:pPr>
            <w:r>
              <w:rPr>
                <w:rFonts w:ascii="Arial" w:cs="Arial" w:eastAsia="Arial" w:hAnsi="Arial"/>
                <w:sz w:val="20"/>
                <w:szCs w:val="20"/>
                <w:color w:val="0000FF"/>
              </w:rPr>
              <w:t>40,225,392</w:t>
            </w:r>
            <w:r>
              <w:rPr>
                <w:rFonts w:ascii="Arial" w:cs="Arial" w:eastAsia="Arial" w:hAnsi="Arial"/>
                <w:sz w:val="25"/>
                <w:szCs w:val="25"/>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20"/>
                <w:szCs w:val="20"/>
                <w:color w:val="0000FF"/>
              </w:rPr>
              <w:t>I</w:t>
            </w:r>
          </w:p>
        </w:tc>
        <w:tc>
          <w:tcPr>
            <w:tcW w:w="2780" w:type="dxa"/>
            <w:vAlign w:val="bottom"/>
            <w:tcBorders>
              <w:bottom w:val="single" w:sz="8" w:color="2C2C2C"/>
            </w:tcBorders>
            <w:gridSpan w:val="4"/>
          </w:tcPr>
          <w:p>
            <w:pPr>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(2)(3)</w:t>
            </w: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240" w:type="dxa"/>
            <w:vAlign w:val="bottom"/>
            <w:tcBorders>
              <w:top w:val="single" w:sz="8" w:color="2C2C2C"/>
            </w:tcBorders>
            <w:gridSpan w:val="6"/>
          </w:tcPr>
          <w:p>
            <w:pPr>
              <w:ind w:left="2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5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5440" w:type="dxa"/>
            <w:vAlign w:val="bottom"/>
            <w:gridSpan w:val="7"/>
          </w:tcPr>
          <w:p>
            <w:pPr>
              <w:ind w:left="6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900" w:type="dxa"/>
            <w:vAlign w:val="bottom"/>
            <w:tcBorders>
              <w:bottom w:val="single" w:sz="8" w:color="2C2C2C"/>
            </w:tcBorders>
            <w:gridSpan w:val="2"/>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6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6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72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32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840" w:type="dxa"/>
            <w:vAlign w:val="bottom"/>
          </w:tcPr>
          <w:p>
            <w:pPr>
              <w:ind w:left="4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00" w:type="dxa"/>
            <w:vAlign w:val="bottom"/>
          </w:tcPr>
          <w:p>
            <w:pPr>
              <w:ind w:left="80"/>
              <w:spacing w:after="0"/>
              <w:rPr>
                <w:sz w:val="20"/>
                <w:szCs w:val="20"/>
                <w:color w:val="auto"/>
              </w:rPr>
            </w:pPr>
            <w:r>
              <w:rPr>
                <w:rFonts w:ascii="Arial" w:cs="Arial" w:eastAsia="Arial" w:hAnsi="Arial"/>
                <w:sz w:val="20"/>
                <w:szCs w:val="20"/>
                <w:color w:val="0000FF"/>
                <w:w w:val="91"/>
              </w:rPr>
              <w:t>Ordinary Share Warrant (right to</w:t>
            </w:r>
          </w:p>
        </w:tc>
        <w:tc>
          <w:tcPr>
            <w:tcW w:w="1180" w:type="dxa"/>
            <w:vAlign w:val="bottom"/>
            <w:gridSpan w:val="2"/>
            <w:vMerge w:val="restart"/>
          </w:tcPr>
          <w:p>
            <w:pPr>
              <w:jc w:val="right"/>
              <w:ind w:right="80"/>
              <w:spacing w:after="0"/>
              <w:rPr>
                <w:sz w:val="20"/>
                <w:szCs w:val="20"/>
                <w:color w:val="auto"/>
              </w:rPr>
            </w:pPr>
            <w:r>
              <w:rPr>
                <w:rFonts w:ascii="Arial" w:cs="Arial" w:eastAsia="Arial" w:hAnsi="Arial"/>
                <w:sz w:val="15"/>
                <w:szCs w:val="15"/>
                <w:color w:val="0000FF"/>
              </w:rPr>
              <w:t>05/02/2017</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05/02/2022</w:t>
            </w:r>
          </w:p>
        </w:tc>
        <w:tc>
          <w:tcPr>
            <w:tcW w:w="1820" w:type="dxa"/>
            <w:vAlign w:val="bottom"/>
            <w:vMerge w:val="restart"/>
          </w:tcPr>
          <w:p>
            <w:pPr>
              <w:ind w:left="260"/>
              <w:spacing w:after="0"/>
              <w:rPr>
                <w:sz w:val="20"/>
                <w:szCs w:val="20"/>
                <w:color w:val="auto"/>
              </w:rPr>
            </w:pPr>
            <w:r>
              <w:rPr>
                <w:rFonts w:ascii="Arial" w:cs="Arial" w:eastAsia="Arial" w:hAnsi="Arial"/>
                <w:sz w:val="20"/>
                <w:szCs w:val="20"/>
                <w:color w:val="0000FF"/>
              </w:rPr>
              <w:t>Ordinary Shares</w:t>
            </w:r>
          </w:p>
        </w:tc>
        <w:tc>
          <w:tcPr>
            <w:tcW w:w="840" w:type="dxa"/>
            <w:vAlign w:val="bottom"/>
            <w:vMerge w:val="restart"/>
          </w:tcPr>
          <w:p>
            <w:pPr>
              <w:ind w:left="40"/>
              <w:spacing w:after="0"/>
              <w:rPr>
                <w:sz w:val="20"/>
                <w:szCs w:val="20"/>
                <w:color w:val="auto"/>
              </w:rPr>
            </w:pPr>
            <w:r>
              <w:rPr>
                <w:rFonts w:ascii="Arial" w:cs="Arial" w:eastAsia="Arial" w:hAnsi="Arial"/>
                <w:sz w:val="20"/>
                <w:szCs w:val="20"/>
                <w:color w:val="0000FF"/>
                <w:w w:val="87"/>
              </w:rPr>
              <w:t>1,867,939</w:t>
            </w:r>
          </w:p>
        </w:tc>
        <w:tc>
          <w:tcPr>
            <w:tcW w:w="1040" w:type="dxa"/>
            <w:vAlign w:val="bottom"/>
            <w:gridSpan w:val="3"/>
            <w:vMerge w:val="restart"/>
          </w:tcPr>
          <w:p>
            <w:pPr>
              <w:jc w:val="right"/>
              <w:ind w:right="97"/>
              <w:spacing w:after="0"/>
              <w:rPr>
                <w:sz w:val="20"/>
                <w:szCs w:val="20"/>
                <w:color w:val="auto"/>
              </w:rPr>
            </w:pPr>
            <w:r>
              <w:rPr>
                <w:rFonts w:ascii="Arial" w:cs="Arial" w:eastAsia="Arial" w:hAnsi="Arial"/>
                <w:sz w:val="20"/>
                <w:szCs w:val="20"/>
                <w:color w:val="0000FF"/>
              </w:rPr>
              <w:t>2.355</w:t>
            </w:r>
            <w:r>
              <w:rPr>
                <w:rFonts w:ascii="Arial" w:cs="Arial" w:eastAsia="Arial" w:hAnsi="Arial"/>
                <w:sz w:val="25"/>
                <w:szCs w:val="25"/>
                <w:color w:val="008000"/>
                <w:vertAlign w:val="superscript"/>
              </w:rPr>
              <w:t>(4)</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gridSpan w:val="2"/>
            <w:vMerge w:val="restart"/>
          </w:tcPr>
          <w:p>
            <w:pPr>
              <w:ind w:left="80"/>
              <w:spacing w:after="0"/>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(2)(3)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1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-1560830</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9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00" w:firstLine="5"/>
        <w:spacing w:after="0" w:line="253"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Consists of 5,028,174 American Depository Shares ("ADSs") held of record by OrbiMed Private Investments VI, LP ("OPI VI"). Each ADS represents eight (8) Ordinary Shares of the Issuer.</w:t>
      </w:r>
    </w:p>
    <w:p>
      <w:pPr>
        <w:spacing w:after="0" w:line="26" w:lineRule="exact"/>
        <w:rPr>
          <w:rFonts w:ascii="Arial" w:cs="Arial" w:eastAsia="Arial" w:hAnsi="Arial"/>
          <w:sz w:val="15"/>
          <w:szCs w:val="15"/>
          <w:color w:val="008000"/>
        </w:rPr>
      </w:pPr>
    </w:p>
    <w:p>
      <w:pPr>
        <w:jc w:val="both"/>
        <w:ind w:left="40" w:right="60" w:firstLine="5"/>
        <w:spacing w:after="0" w:line="236"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These securities are held of record by OPI VI. OrbiMed Capital GP VI LLC ("GP VI") is the general partner of OPI VI and OrbiMed Advisors LLC ("OrbiMed Advisors") is the managing member of GP VI. By virtue of such relationships, GP VI and OrbiMed Advisors may be deemed to have voting and investment power over the securities held by OPI VI and as a result may be deemed to have beneficial ownership over such securities. OrbiMed Advisors exercises its investment and voting power through a management committee comprised of Carl L. Gordon, Sven H. Borho, and Jonathan T. Silverstein, each of whom disclaims beneficial ownership of the securities held by OPI VI. The Reporting Person is an employee of OrbiMed Advisors.</w:t>
      </w:r>
    </w:p>
    <w:p>
      <w:pPr>
        <w:spacing w:after="0" w:line="37" w:lineRule="exact"/>
        <w:rPr>
          <w:rFonts w:ascii="Arial" w:cs="Arial" w:eastAsia="Arial" w:hAnsi="Arial"/>
          <w:sz w:val="15"/>
          <w:szCs w:val="15"/>
          <w:color w:val="008000"/>
        </w:rPr>
      </w:pPr>
    </w:p>
    <w:p>
      <w:pPr>
        <w:jc w:val="both"/>
        <w:ind w:left="40" w:right="180" w:firstLine="5"/>
        <w:spacing w:after="0" w:line="297" w:lineRule="auto"/>
        <w:tabs>
          <w:tab w:leader="none" w:pos="19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 GP VI, and OrbiMed Advisors disclaims beneficial ownership of the securities reported herein for purposes of Rule 16a-1(a) under the Securities Exchange Act of 1934, as amended (the "Exchange Act"), except to the extent of his or its pecuniary interest therein, if any. This report shall not be deemed an admission that any of such entity or person, including the Reporting Person, is a beneficial owner of such securities for the purposes of Section 16 of the Exchange Act, or for any other purposes.</w:t>
      </w:r>
    </w:p>
    <w:p>
      <w:pPr>
        <w:ind w:left="40" w:right="100" w:firstLine="5"/>
        <w:spacing w:after="0" w:line="253"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 exercise price of the warrants is GBP 1.7238 per Ordinary Share. The amount in column 4 is converted to USD using the exchange rate as of December 31, 2020 as reported by the H. 10 statistical release of the Board of Governors of the Federal Reserve System.</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Rishi Gupta</w:t>
            </w:r>
          </w:p>
        </w:tc>
        <w:tc>
          <w:tcPr>
            <w:tcW w:w="900" w:type="dxa"/>
            <w:vAlign w:val="bottom"/>
          </w:tcPr>
          <w:p>
            <w:pPr>
              <w:spacing w:after="0"/>
              <w:rPr>
                <w:sz w:val="20"/>
                <w:szCs w:val="20"/>
                <w:color w:val="auto"/>
              </w:rPr>
            </w:pPr>
            <w:r>
              <w:rPr>
                <w:rFonts w:ascii="Arial" w:cs="Arial" w:eastAsia="Arial" w:hAnsi="Arial"/>
                <w:sz w:val="20"/>
                <w:szCs w:val="20"/>
                <w:color w:val="0000FF"/>
                <w:w w:val="87"/>
              </w:rPr>
              <w:t>01/05/2021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37370"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2021-01-05T18:24:27Z</dcterms:created>
  <dcterms:modified xsi:type="dcterms:W3CDTF">2021-01-05T18:24:27Z</dcterms:modified>
</cp:coreProperties>
</file>