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14,289,736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14,288,936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in this Form 4 was effected pursuant to a Rule 10b5-1 instruction adopted on March 6,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3,000,000 Ordinary Shares underlying Restricted Share Units, each of which represents a contingent right to receive one (1) Ordinary Share of the Issuer (which are represented by 375,000 ADSs); and (ii) 11,288,936 Ordinary Shares underlying 1,411,117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Mark Hahn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8502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2024-11-26T19:37:52Z</dcterms:created>
  <dcterms:modified xsi:type="dcterms:W3CDTF">2024-11-26T19:37:52Z</dcterms:modified>
</cp:coreProperties>
</file>