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105,824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19,081,232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18,689,616 Ordinary Shares underlying Restricted Share Units, each of which represents a contingent right to receive one (1) Ordinary Share of the Issuer (which are represented by 2,336,202 ADSs); and (ii) 391,616 Ordinary Shares represented by 48,952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850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2021-02-01T19:55:25Z</dcterms:created>
  <dcterms:modified xsi:type="dcterms:W3CDTF">2021-02-01T19:55:25Z</dcterms:modified>
</cp:coreProperties>
</file>