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036-3_4seq1.xml.htm"/>
      <w:bookmarkStart w:id="1" w:name="kstm2329036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Rickard Kathleen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3"/>
        <w:gridCol w:w="900"/>
        <w:gridCol w:w="771"/>
        <w:gridCol w:w="598"/>
        <w:gridCol w:w="345"/>
        <w:gridCol w:w="1051"/>
        <w:gridCol w:w="446"/>
        <w:gridCol w:w="608"/>
        <w:gridCol w:w="1310"/>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w:t>
            </w:r>
            <w:r>
              <w:rPr>
                <w:rFonts w:ascii="Times;serif" w:hAnsi="Times;serif"/>
                <w:color w:val="008000"/>
                <w:position w:val="7"/>
                <w:sz w:val="16"/>
                <w:sz w:val="20"/>
                <w:shd w:fill="FFFFFF" w:val="clear"/>
              </w:rPr>
              <w:t>(2)</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3,072,528</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an award of Restricted Share Units ("RSUs"), each of which represents a contingent right to receive one (1) Ordinary Share of the Issuer. The RSUs vest over four years, with 50,000 RSUs vesting on November 1, 2024 and the balance vesting in 12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(i) 1,751,792 Ordinary Shares underlying RSUs (which are represented by 218,974 ADSs); and (ii) 1,320,736 Ordinary Shares underlying 165,092 ADSs.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Kathleen A. Rickard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6883"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3580</Characters>
  <CharactersWithSpaces>4174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