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953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530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Fisher Andrew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2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87"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6"/>
          </w:tcPr>
          <w:p>
            <w:pPr>
              <w:jc w:val="center"/>
              <w:ind w:right="138"/>
              <w:spacing w:after="0"/>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X0</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0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80,000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2.113</w:t>
            </w: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439,999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7"/>
              </w:rPr>
              <w:t>Ordinary Shares</w:t>
            </w:r>
            <w:r>
              <w:rPr>
                <w:rFonts w:ascii="Times New Roman" w:cs="Times New Roman" w:eastAsia="Times New Roman" w:hAnsi="Times New Roman"/>
                <w:sz w:val="21"/>
                <w:szCs w:val="21"/>
                <w:color w:val="008000"/>
                <w:w w:val="97"/>
                <w:vertAlign w:val="superscript"/>
              </w:rPr>
              <w:t>(1)</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05/15/2025</w:t>
            </w:r>
          </w:p>
        </w:tc>
        <w:tc>
          <w:tcPr>
            <w:tcW w:w="10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2"/>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7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80,000</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8.57</w:t>
            </w:r>
            <w:r>
              <w:rPr>
                <w:rFonts w:ascii="Times New Roman" w:cs="Times New Roman" w:eastAsia="Times New Roman" w:hAnsi="Times New Roman"/>
                <w:sz w:val="21"/>
                <w:szCs w:val="21"/>
                <w:color w:val="008000"/>
                <w:w w:val="97"/>
                <w:vertAlign w:val="superscript"/>
              </w:rPr>
              <w:t>(3)</w:t>
            </w:r>
          </w:p>
        </w:tc>
        <w:tc>
          <w:tcPr>
            <w:tcW w:w="1260" w:type="dxa"/>
            <w:vAlign w:val="bottom"/>
            <w:tcBorders>
              <w:bottom w:val="single" w:sz="8" w:color="2C2C2C"/>
            </w:tcBorders>
            <w:gridSpan w:val="3"/>
          </w:tcPr>
          <w:p>
            <w:pPr>
              <w:jc w:val="center"/>
              <w:ind w:right="222"/>
              <w:spacing w:after="0"/>
              <w:rPr>
                <w:sz w:val="20"/>
                <w:szCs w:val="20"/>
                <w:color w:val="auto"/>
              </w:rPr>
            </w:pPr>
            <w:r>
              <w:rPr>
                <w:rFonts w:ascii="Times New Roman" w:cs="Times New Roman" w:eastAsia="Times New Roman" w:hAnsi="Times New Roman"/>
                <w:sz w:val="17"/>
                <w:szCs w:val="17"/>
                <w:color w:val="0000FF"/>
              </w:rPr>
              <w:t>359,999</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center"/>
              <w:ind w:left="432"/>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4 and 5)</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640" w:type="dxa"/>
            <w:vAlign w:val="bottom"/>
            <w:vMerge w:val="restart"/>
          </w:tcPr>
          <w:p>
            <w:pPr>
              <w:ind w:left="160"/>
              <w:spacing w:after="0"/>
              <w:rPr>
                <w:sz w:val="20"/>
                <w:szCs w:val="20"/>
                <w:color w:val="auto"/>
              </w:rPr>
            </w:pPr>
            <w:r>
              <w:rPr>
                <w:rFonts w:ascii="Arial" w:cs="Arial" w:eastAsia="Arial" w:hAnsi="Arial"/>
                <w:sz w:val="11"/>
                <w:szCs w:val="11"/>
                <w:color w:val="auto"/>
                <w:w w:val="92"/>
              </w:rPr>
              <w:t>$</w:t>
            </w:r>
            <w:r>
              <w:rPr>
                <w:rFonts w:ascii="Times New Roman" w:cs="Times New Roman" w:eastAsia="Times New Roman" w:hAnsi="Times New Roman"/>
                <w:sz w:val="12"/>
                <w:szCs w:val="12"/>
                <w:color w:val="0000FF"/>
                <w:w w:val="92"/>
              </w:rPr>
              <w:t>2.113</w:t>
            </w:r>
            <w:r>
              <w:rPr>
                <w:rFonts w:ascii="Times New Roman" w:cs="Times New Roman" w:eastAsia="Times New Roman" w:hAnsi="Times New Roman"/>
                <w:sz w:val="21"/>
                <w:szCs w:val="21"/>
                <w:color w:val="008000"/>
                <w:w w:val="92"/>
                <w:vertAlign w:val="superscript"/>
              </w:rPr>
              <w:t>(5)</w:t>
            </w:r>
          </w:p>
        </w:tc>
        <w:tc>
          <w:tcPr>
            <w:tcW w:w="120" w:type="dxa"/>
            <w:vAlign w:val="bottom"/>
          </w:tcPr>
          <w:p>
            <w:pPr>
              <w:spacing w:after="0"/>
              <w:rPr>
                <w:sz w:val="11"/>
                <w:szCs w:val="11"/>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05/15/2025</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00FF"/>
              </w:rPr>
              <w:t>80,000</w:t>
            </w:r>
            <w:r>
              <w:rPr>
                <w:rFonts w:ascii="Times New Roman" w:cs="Times New Roman" w:eastAsia="Times New Roman" w:hAnsi="Times New Roman"/>
                <w:sz w:val="21"/>
                <w:szCs w:val="21"/>
                <w:color w:val="008000"/>
                <w:vertAlign w:val="superscript"/>
              </w:rPr>
              <w:t>(5)</w:t>
            </w:r>
          </w:p>
        </w:tc>
        <w:tc>
          <w:tcPr>
            <w:tcW w:w="7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03/31/2034</w:t>
            </w:r>
          </w:p>
        </w:tc>
        <w:tc>
          <w:tcPr>
            <w:tcW w:w="640" w:type="dxa"/>
            <w:vAlign w:val="bottom"/>
            <w:vMerge w:val="continue"/>
          </w:tcPr>
          <w:p>
            <w:pPr>
              <w:spacing w:after="0"/>
              <w:rPr>
                <w:sz w:val="11"/>
                <w:szCs w:val="11"/>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80,000</w:t>
            </w:r>
          </w:p>
        </w:tc>
        <w:tc>
          <w:tcPr>
            <w:tcW w:w="60" w:type="dxa"/>
            <w:vAlign w:val="bottom"/>
          </w:tcPr>
          <w:p>
            <w:pPr>
              <w:spacing w:after="0"/>
              <w:rPr>
                <w:sz w:val="11"/>
                <w:szCs w:val="11"/>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color w:val="0000FF"/>
              </w:rPr>
              <w:t>2,320,000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40" w:type="dxa"/>
            <w:vAlign w:val="bottom"/>
          </w:tcPr>
          <w:p>
            <w:pPr>
              <w:ind w:left="4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(5)</w:t>
            </w:r>
          </w:p>
        </w:tc>
        <w:tc>
          <w:tcPr>
            <w:tcW w:w="5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entered into on January 15, 2025.</w:t>
      </w:r>
    </w:p>
    <w:p>
      <w:pPr>
        <w:spacing w:after="0" w:line="41" w:lineRule="exact"/>
        <w:rPr>
          <w:rFonts w:ascii="Times New Roman" w:cs="Times New Roman" w:eastAsia="Times New Roman" w:hAnsi="Times New Roman"/>
          <w:sz w:val="13"/>
          <w:szCs w:val="13"/>
          <w:color w:val="008000"/>
        </w:rPr>
      </w:pPr>
    </w:p>
    <w:p>
      <w:pPr>
        <w:ind w:left="40" w:right="16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$8.3863 to $8.6913 per Ordinary Share, inclusive (or $67.09 to $69.53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 Ordinary Shares underlying Restricted Share Units, each of which represents a contingent right to receive one (1) Ordinary Share of the Issuer (which are represented by 37,500 ADSs), (ii) 59,992 Ordinary Shares underlying 7,499 ADSs, and (iii) 7 Ordinary Shares, including 6 Ordinary Shares that were inadvertently omitted from the gift transaction reported by the Reporting Person on the Form 4 filed on May 1, 2025.</w:t>
      </w:r>
    </w:p>
    <w:p>
      <w:pPr>
        <w:spacing w:after="0" w:line="27" w:lineRule="exact"/>
        <w:rPr>
          <w:rFonts w:ascii="Times New Roman" w:cs="Times New Roman" w:eastAsia="Times New Roman" w:hAnsi="Times New Roman"/>
          <w:sz w:val="13"/>
          <w:szCs w:val="13"/>
          <w:color w:val="008000"/>
        </w:rPr>
      </w:pPr>
    </w:p>
    <w:p>
      <w:pPr>
        <w:ind w:left="40" w:right="5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25% on March 4, 2025. The remainder of the shares vested or will vest in 36 equal monthly installments thereafter.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Fisher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05/16/2025</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2025-05-16T15:35:55Z</dcterms:created>
  <dcterms:modified xsi:type="dcterms:W3CDTF">2025-05-16T15:35:55Z</dcterms:modified>
</cp:coreProperties>
</file>