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Deschamps Lisa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116,000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116,000 Ordinary Shares underlying Restricted Share Units, each of which represents a contingent right to receive one (1) Ordinary Share of the Issuer (which are represented by 14,500 ADSs).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Claire Poll,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fact for Lisa Deschamps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47538" TargetMode="External"/><Relationship Id="rId14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2021-03-03T19:04:17Z</dcterms:created>
  <dcterms:modified xsi:type="dcterms:W3CDTF">2021-03-03T19:04:17Z</dcterms:modified>
</cp:coreProperties>
</file>