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38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16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Poll Claire</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0000FF"/>
                <w:w w:val="99"/>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420" w:type="dxa"/>
            <w:vAlign w:val="bottom"/>
          </w:tcPr>
          <w:p>
            <w:pPr>
              <w:ind w:left="240"/>
              <w:spacing w:after="0"/>
              <w:rPr>
                <w:sz w:val="20"/>
                <w:szCs w:val="20"/>
                <w:color w:val="auto"/>
              </w:rPr>
            </w:pPr>
            <w:r>
              <w:rPr>
                <w:rFonts w:ascii="Arial" w:cs="Arial" w:eastAsia="Arial" w:hAnsi="Arial"/>
                <w:sz w:val="17"/>
                <w:szCs w:val="17"/>
                <w:color w:val="0000FF"/>
              </w:rPr>
              <w:t>X0</w:t>
            </w:r>
          </w:p>
        </w:tc>
        <w:tc>
          <w:tcPr>
            <w:tcW w:w="1240" w:type="dxa"/>
            <w:vAlign w:val="bottom"/>
          </w:tcPr>
          <w:p>
            <w:pPr>
              <w:ind w:left="4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700" w:type="dxa"/>
            <w:vAlign w:val="bottom"/>
            <w:gridSpan w:val="3"/>
          </w:tcPr>
          <w:p>
            <w:pPr>
              <w:ind w:left="80"/>
              <w:spacing w:after="0"/>
              <w:rPr>
                <w:sz w:val="20"/>
                <w:szCs w:val="20"/>
                <w:color w:val="auto"/>
              </w:rPr>
            </w:pPr>
            <w:r>
              <w:rPr>
                <w:rFonts w:ascii="Arial" w:cs="Arial" w:eastAsia="Arial" w:hAnsi="Arial"/>
                <w:sz w:val="17"/>
                <w:szCs w:val="17"/>
                <w:color w:val="0000FF"/>
              </w:rPr>
              <w:t>10/20/2023</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10/20/2023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160"/>
              <w:spacing w:after="0"/>
              <w:rPr>
                <w:sz w:val="20"/>
                <w:szCs w:val="20"/>
                <w:color w:val="auto"/>
              </w:rPr>
            </w:pPr>
            <w:r>
              <w:rPr>
                <w:rFonts w:ascii="Arial" w:cs="Arial" w:eastAsia="Arial" w:hAnsi="Arial"/>
                <w:sz w:val="17"/>
                <w:szCs w:val="17"/>
                <w:color w:val="0000FF"/>
              </w:rPr>
              <w:t>2,017,391</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864,232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Restricted Share Units ("RSUs"), each of which represents a contingent right to receive one (1) Ordinary Share of the Issuer. The RSUs vest over four years, with 50,000 RSUs vesting on November 1, 2024 and the balance vesting in 12 equal quarterly installments thereafter.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(i) 1,671,672 Ordinary Shares underlying RSUs (which are represented by 208,959 ADSs); (ii) 345,712 Ordinary Shares underlying 43,214 ADSs and (iii) 7 Ordinary Shares.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a family trust of which (a) the Reporting Person and spouse are trustees and (b) the Reporting Person and members of her immediate family are the sole beneficiaries of the trust.</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Claire Poll</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10/24/2023</w:t>
            </w:r>
          </w:p>
        </w:tc>
      </w:tr>
      <w:tr>
        <w:trPr>
          <w:trHeight w:val="20"/>
        </w:trPr>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2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2023-10-24T15:14:32Z</dcterms:created>
  <dcterms:modified xsi:type="dcterms:W3CDTF">2023-10-24T15:14:32Z</dcterms:modified>
</cp:coreProperties>
</file>