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ORBIMED ADVISORS LLC</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740" w:type="dxa"/>
            <w:vAlign w:val="bottom"/>
            <w:gridSpan w:val="9"/>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Verona Pharma plc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VRNA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7"/>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6"/>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7"/>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gridSpan w:val="8"/>
          </w:tcPr>
          <w:p>
            <w:pPr>
              <w:ind w:left="160"/>
              <w:spacing w:after="0"/>
              <w:rPr>
                <w:sz w:val="20"/>
                <w:szCs w:val="20"/>
                <w:color w:val="auto"/>
              </w:rPr>
            </w:pPr>
            <w:r>
              <w:rPr>
                <w:rFonts w:ascii="Times New Roman" w:cs="Times New Roman" w:eastAsia="Times New Roman" w:hAnsi="Times New Roman"/>
                <w:sz w:val="17"/>
                <w:szCs w:val="17"/>
                <w:color w:val="0000FF"/>
              </w:rPr>
              <w:t>12/22/2022</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12"/>
            <w:vMerge w:val="continue"/>
          </w:tcPr>
          <w:p>
            <w:pPr>
              <w:spacing w:after="0"/>
              <w:rPr>
                <w:sz w:val="10"/>
                <w:szCs w:val="10"/>
                <w:color w:val="auto"/>
              </w:rPr>
            </w:pPr>
          </w:p>
        </w:tc>
        <w:tc>
          <w:tcPr>
            <w:tcW w:w="340" w:type="dxa"/>
            <w:vAlign w:val="bottom"/>
          </w:tcPr>
          <w:p>
            <w:pPr>
              <w:spacing w:after="0"/>
              <w:rPr>
                <w:sz w:val="10"/>
                <w:szCs w:val="10"/>
                <w:color w:val="auto"/>
              </w:rPr>
            </w:pPr>
          </w:p>
        </w:tc>
        <w:tc>
          <w:tcPr>
            <w:tcW w:w="342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920" w:type="dxa"/>
            <w:vAlign w:val="bottom"/>
            <w:tcBorders>
              <w:bottom w:val="single" w:sz="8" w:color="9A9A9A"/>
            </w:tcBorders>
          </w:tcPr>
          <w:p>
            <w:pPr>
              <w:spacing w:after="0"/>
              <w:rPr>
                <w:sz w:val="2"/>
                <w:szCs w:val="2"/>
                <w:color w:val="auto"/>
              </w:rPr>
            </w:pPr>
          </w:p>
        </w:tc>
        <w:tc>
          <w:tcPr>
            <w:tcW w:w="22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5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500" w:type="dxa"/>
            <w:vAlign w:val="bottom"/>
            <w:gridSpan w:val="4"/>
            <w:vMerge w:val="continue"/>
          </w:tcPr>
          <w:p>
            <w:pPr>
              <w:spacing w:after="0"/>
              <w:rPr>
                <w:sz w:val="10"/>
                <w:szCs w:val="10"/>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20" w:type="dxa"/>
            <w:vAlign w:val="bottom"/>
            <w:gridSpan w:val="8"/>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gridSpan w:val="4"/>
          </w:tcPr>
          <w:p>
            <w:pPr>
              <w:spacing w:after="0"/>
              <w:rPr>
                <w:sz w:val="10"/>
                <w:szCs w:val="10"/>
                <w:color w:val="auto"/>
              </w:rPr>
            </w:pPr>
          </w:p>
        </w:tc>
        <w:tc>
          <w:tcPr>
            <w:tcW w:w="212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26"/>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6"/>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5"/>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4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2"/>
          </w:tcPr>
          <w:p>
            <w:pPr>
              <w:ind w:left="100"/>
              <w:spacing w:after="0"/>
              <w:rPr>
                <w:sz w:val="20"/>
                <w:szCs w:val="20"/>
                <w:color w:val="auto"/>
              </w:rPr>
            </w:pPr>
            <w:r>
              <w:rPr>
                <w:rFonts w:ascii="Arial" w:cs="Arial" w:eastAsia="Arial" w:hAnsi="Arial"/>
                <w:sz w:val="12"/>
                <w:szCs w:val="12"/>
                <w:b w:val="1"/>
                <w:bCs w:val="1"/>
                <w:color w:val="auto"/>
              </w:rPr>
              <w:t>V</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(A) or</w:t>
            </w: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(D)</w:t>
            </w:r>
          </w:p>
        </w:tc>
        <w:tc>
          <w:tcPr>
            <w:tcW w:w="2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gridSpan w:val="3"/>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gridSpan w:val="3"/>
            <w:vMerge w:val="restart"/>
          </w:tcPr>
          <w:p>
            <w:pPr>
              <w:jc w:val="right"/>
              <w:ind w:right="75"/>
              <w:spacing w:after="0"/>
              <w:rPr>
                <w:sz w:val="20"/>
                <w:szCs w:val="20"/>
                <w:color w:val="auto"/>
              </w:rPr>
            </w:pPr>
            <w:r>
              <w:rPr>
                <w:rFonts w:ascii="Times New Roman" w:cs="Times New Roman" w:eastAsia="Times New Roman" w:hAnsi="Times New Roman"/>
                <w:sz w:val="17"/>
                <w:szCs w:val="17"/>
                <w:color w:val="0000FF"/>
              </w:rPr>
              <w:t>12/22/2022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3,284,800</w:t>
            </w:r>
            <w:r>
              <w:rPr>
                <w:rFonts w:ascii="Times New Roman" w:cs="Times New Roman" w:eastAsia="Times New Roman" w:hAnsi="Times New Roman"/>
                <w:sz w:val="22"/>
                <w:szCs w:val="22"/>
                <w:color w:val="008000"/>
                <w:w w:val="96"/>
                <w:vertAlign w:val="superscript"/>
              </w:rPr>
              <w:t>(1)</w:t>
            </w:r>
          </w:p>
        </w:tc>
        <w:tc>
          <w:tcPr>
            <w:tcW w:w="160" w:type="dxa"/>
            <w:vAlign w:val="bottom"/>
          </w:tcPr>
          <w:p>
            <w:pPr>
              <w:spacing w:after="0"/>
              <w:rPr>
                <w:sz w:val="21"/>
                <w:szCs w:val="21"/>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21.71</w:t>
            </w:r>
            <w:r>
              <w:rPr>
                <w:rFonts w:ascii="Times New Roman" w:cs="Times New Roman" w:eastAsia="Times New Roman" w:hAnsi="Times New Roman"/>
                <w:sz w:val="22"/>
                <w:szCs w:val="22"/>
                <w:color w:val="008000"/>
                <w:w w:val="98"/>
                <w:vertAlign w:val="superscript"/>
              </w:rPr>
              <w:t>(2)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36,940,592</w:t>
            </w:r>
            <w:r>
              <w:rPr>
                <w:rFonts w:ascii="Times New Roman" w:cs="Times New Roman" w:eastAsia="Times New Roman" w:hAnsi="Times New Roman"/>
                <w:sz w:val="22"/>
                <w:szCs w:val="22"/>
                <w:color w:val="008000"/>
                <w:vertAlign w:val="superscript"/>
              </w:rPr>
              <w:t>(1)</w:t>
            </w:r>
          </w:p>
        </w:tc>
        <w:tc>
          <w:tcPr>
            <w:tcW w:w="34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(7)(8)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3"/>
            <w:vMerge w:val="restart"/>
          </w:tcPr>
          <w:p>
            <w:pPr>
              <w:jc w:val="right"/>
              <w:ind w:right="75"/>
              <w:spacing w:after="0"/>
              <w:rPr>
                <w:sz w:val="20"/>
                <w:szCs w:val="20"/>
                <w:color w:val="auto"/>
              </w:rPr>
            </w:pPr>
            <w:r>
              <w:rPr>
                <w:rFonts w:ascii="Times New Roman" w:cs="Times New Roman" w:eastAsia="Times New Roman" w:hAnsi="Times New Roman"/>
                <w:sz w:val="17"/>
                <w:szCs w:val="17"/>
                <w:color w:val="0000FF"/>
              </w:rPr>
              <w:t>12/22/2022</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684,696</w:t>
            </w:r>
            <w:r>
              <w:rPr>
                <w:rFonts w:ascii="Times New Roman" w:cs="Times New Roman" w:eastAsia="Times New Roman" w:hAnsi="Times New Roman"/>
                <w:sz w:val="22"/>
                <w:szCs w:val="22"/>
                <w:color w:val="008000"/>
                <w:w w:val="96"/>
                <w:vertAlign w:val="superscript"/>
              </w:rPr>
              <w:t>(1)</w:t>
            </w:r>
          </w:p>
        </w:tc>
        <w:tc>
          <w:tcPr>
            <w:tcW w:w="1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22.07</w:t>
            </w:r>
            <w:r>
              <w:rPr>
                <w:rFonts w:ascii="Times New Roman" w:cs="Times New Roman" w:eastAsia="Times New Roman" w:hAnsi="Times New Roman"/>
                <w:sz w:val="22"/>
                <w:szCs w:val="22"/>
                <w:color w:val="008000"/>
                <w:w w:val="98"/>
                <w:vertAlign w:val="superscript"/>
              </w:rPr>
              <w:t>(3)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36,255,896</w:t>
            </w:r>
            <w:r>
              <w:rPr>
                <w:rFonts w:ascii="Times New Roman" w:cs="Times New Roman" w:eastAsia="Times New Roman" w:hAnsi="Times New Roman"/>
                <w:sz w:val="22"/>
                <w:szCs w:val="22"/>
                <w:color w:val="008000"/>
                <w:vertAlign w:val="superscript"/>
              </w:rPr>
              <w:t>(1)</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(7)(8)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3"/>
            <w:vMerge w:val="restart"/>
          </w:tcPr>
          <w:p>
            <w:pPr>
              <w:jc w:val="right"/>
              <w:ind w:right="75"/>
              <w:spacing w:after="0"/>
              <w:rPr>
                <w:sz w:val="20"/>
                <w:szCs w:val="20"/>
                <w:color w:val="auto"/>
              </w:rPr>
            </w:pPr>
            <w:r>
              <w:rPr>
                <w:rFonts w:ascii="Times New Roman" w:cs="Times New Roman" w:eastAsia="Times New Roman" w:hAnsi="Times New Roman"/>
                <w:sz w:val="17"/>
                <w:szCs w:val="17"/>
                <w:color w:val="0000FF"/>
              </w:rPr>
              <w:t>12/23/2022</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961,328</w:t>
            </w:r>
            <w:r>
              <w:rPr>
                <w:rFonts w:ascii="Times New Roman" w:cs="Times New Roman" w:eastAsia="Times New Roman" w:hAnsi="Times New Roman"/>
                <w:sz w:val="22"/>
                <w:szCs w:val="22"/>
                <w:color w:val="008000"/>
                <w:w w:val="96"/>
                <w:vertAlign w:val="superscript"/>
              </w:rPr>
              <w:t>(1)</w:t>
            </w:r>
          </w:p>
        </w:tc>
        <w:tc>
          <w:tcPr>
            <w:tcW w:w="1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22.27</w:t>
            </w:r>
            <w:r>
              <w:rPr>
                <w:rFonts w:ascii="Times New Roman" w:cs="Times New Roman" w:eastAsia="Times New Roman" w:hAnsi="Times New Roman"/>
                <w:sz w:val="22"/>
                <w:szCs w:val="22"/>
                <w:color w:val="008000"/>
                <w:w w:val="98"/>
                <w:vertAlign w:val="superscript"/>
              </w:rPr>
              <w:t>(4)</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35,294,568</w:t>
            </w:r>
            <w:r>
              <w:rPr>
                <w:rFonts w:ascii="Times New Roman" w:cs="Times New Roman" w:eastAsia="Times New Roman" w:hAnsi="Times New Roman"/>
                <w:sz w:val="22"/>
                <w:szCs w:val="22"/>
                <w:color w:val="008000"/>
                <w:vertAlign w:val="superscript"/>
              </w:rPr>
              <w:t>(1)</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(7)(8)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3"/>
            <w:vMerge w:val="restart"/>
          </w:tcPr>
          <w:p>
            <w:pPr>
              <w:jc w:val="right"/>
              <w:ind w:right="75"/>
              <w:spacing w:after="0"/>
              <w:rPr>
                <w:sz w:val="20"/>
                <w:szCs w:val="20"/>
                <w:color w:val="auto"/>
              </w:rPr>
            </w:pPr>
            <w:r>
              <w:rPr>
                <w:rFonts w:ascii="Times New Roman" w:cs="Times New Roman" w:eastAsia="Times New Roman" w:hAnsi="Times New Roman"/>
                <w:sz w:val="17"/>
                <w:szCs w:val="17"/>
                <w:color w:val="0000FF"/>
              </w:rPr>
              <w:t>12/23/2022</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1,116,048</w:t>
            </w:r>
            <w:r>
              <w:rPr>
                <w:rFonts w:ascii="Times New Roman" w:cs="Times New Roman" w:eastAsia="Times New Roman" w:hAnsi="Times New Roman"/>
                <w:sz w:val="22"/>
                <w:szCs w:val="22"/>
                <w:color w:val="008000"/>
                <w:w w:val="96"/>
                <w:vertAlign w:val="superscript"/>
              </w:rPr>
              <w:t>(1)</w:t>
            </w:r>
          </w:p>
        </w:tc>
        <w:tc>
          <w:tcPr>
            <w:tcW w:w="1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23.23</w:t>
            </w:r>
            <w:r>
              <w:rPr>
                <w:rFonts w:ascii="Times New Roman" w:cs="Times New Roman" w:eastAsia="Times New Roman" w:hAnsi="Times New Roman"/>
                <w:sz w:val="22"/>
                <w:szCs w:val="22"/>
                <w:color w:val="008000"/>
                <w:w w:val="98"/>
                <w:vertAlign w:val="superscript"/>
              </w:rPr>
              <w:t>(5)</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34,178,520</w:t>
            </w:r>
            <w:r>
              <w:rPr>
                <w:rFonts w:ascii="Times New Roman" w:cs="Times New Roman" w:eastAsia="Times New Roman" w:hAnsi="Times New Roman"/>
                <w:sz w:val="22"/>
                <w:szCs w:val="22"/>
                <w:color w:val="008000"/>
                <w:vertAlign w:val="superscript"/>
              </w:rPr>
              <w:t>(1)</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(7)(8)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3"/>
            <w:vMerge w:val="restart"/>
          </w:tcPr>
          <w:p>
            <w:pPr>
              <w:jc w:val="right"/>
              <w:ind w:right="75"/>
              <w:spacing w:after="0"/>
              <w:rPr>
                <w:sz w:val="20"/>
                <w:szCs w:val="20"/>
                <w:color w:val="auto"/>
              </w:rPr>
            </w:pPr>
            <w:r>
              <w:rPr>
                <w:rFonts w:ascii="Times New Roman" w:cs="Times New Roman" w:eastAsia="Times New Roman" w:hAnsi="Times New Roman"/>
                <w:sz w:val="17"/>
                <w:szCs w:val="17"/>
                <w:color w:val="0000FF"/>
              </w:rPr>
              <w:t>12/23/2022</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2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92,992</w:t>
            </w:r>
            <w:r>
              <w:rPr>
                <w:rFonts w:ascii="Times New Roman" w:cs="Times New Roman" w:eastAsia="Times New Roman" w:hAnsi="Times New Roman"/>
                <w:sz w:val="22"/>
                <w:szCs w:val="22"/>
                <w:color w:val="008000"/>
                <w:w w:val="97"/>
                <w:vertAlign w:val="superscript"/>
              </w:rPr>
              <w:t>(1)</w:t>
            </w:r>
          </w:p>
        </w:tc>
        <w:tc>
          <w:tcPr>
            <w:tcW w:w="1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24.11</w:t>
            </w:r>
            <w:r>
              <w:rPr>
                <w:rFonts w:ascii="Times New Roman" w:cs="Times New Roman" w:eastAsia="Times New Roman" w:hAnsi="Times New Roman"/>
                <w:sz w:val="22"/>
                <w:szCs w:val="22"/>
                <w:color w:val="008000"/>
                <w:w w:val="98"/>
                <w:vertAlign w:val="superscript"/>
              </w:rPr>
              <w:t>(6)</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34,085,528</w:t>
            </w:r>
            <w:r>
              <w:rPr>
                <w:rFonts w:ascii="Times New Roman" w:cs="Times New Roman" w:eastAsia="Times New Roman" w:hAnsi="Times New Roman"/>
                <w:sz w:val="22"/>
                <w:szCs w:val="22"/>
                <w:color w:val="008000"/>
                <w:vertAlign w:val="superscript"/>
              </w:rPr>
              <w:t>(1)</w:t>
            </w:r>
          </w:p>
        </w:tc>
        <w:tc>
          <w:tcPr>
            <w:tcW w:w="3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(7)(8)</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60" w:type="dxa"/>
            <w:vAlign w:val="bottom"/>
            <w:gridSpan w:val="2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60" w:type="dxa"/>
            <w:vAlign w:val="bottom"/>
            <w:gridSpan w:val="2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6"/>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rPr>
              <w:t>(D)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ORBIMED ADVISORS LLC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ind w:left="2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601 LEXINGTON AVENUE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54TH FLOOR</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ind w:left="2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OrbiMed Capital GP VI LLC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ind w:left="2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LEXINGTON AVENUE</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54TH FLOOR</w:t>
      </w:r>
    </w:p>
    <w:p>
      <w:pPr>
        <w:sectPr>
          <w:pgSz w:w="11900" w:h="16880" w:orient="portrait"/>
          <w:cols w:equalWidth="0" w:num="1">
            <w:col w:w="11080"/>
          </w:cols>
          <w:pgMar w:left="460" w:top="219" w:right="359" w:bottom="0" w:gutter="0" w:footer="0" w:header="0"/>
          <w:type w:val="continuous"/>
        </w:sect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80" w:orient="portrait"/>
          <w:cols w:equalWidth="0" w:num="1">
            <w:col w:w="11080"/>
          </w:cols>
          <w:pgMar w:left="460" w:top="219" w:right="35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6"/>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-448945</wp:posOffset>
            </wp:positionV>
            <wp:extent cx="2809240" cy="528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52895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American Depository Shares ("ADSs") held of record by OrbiMed Private Investments VI, LP ("OPI VI"). Each ADS represents eight Ordinary Shares of the Issuer.</w:t>
      </w:r>
    </w:p>
    <w:p>
      <w:pPr>
        <w:spacing w:after="0" w:line="50"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the Ordinary Shares sold, ranging from a low of $21.00 to a high of $21.99 per Ordinary Share. The Reporting Persons undertake, upon request by the staff of the Securities and Exchange Commission, the Issuer or a security holder of the Issuer, to provide full information regarding the number of Ordinary Shares sold at each separate price.</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the Ordinary Shares sold, ranging from a low of $22.00 to a high of $22.26 per Ordinary Share. The Reporting Persons undertake, upon request by the staff of the Securities and Exchange Commission, the Issuer or a security holder of the Issuer, to provide full information regarding the number of Ordinary Shares sold at each separate price.</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the Ordinary Shares sold, ranging from a low of $21.89 to a high of $22.87 per Ordinary Share. The Reporting Persons undertake, upon request by the staff of the Securities and Exchange Commission, the Issuer or a security holder of the Issuer, to provide full information regarding the number of Ordinary Shares sold at each separate price.</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the Ordinary Shares sold, ranging from a low of $22.89 to a high of $23.88 per Ordinary Share. The Reporting Persons undertake, upon request by the staff of the Securities and Exchange Commission, the Issuer or a security holder of the Issuer, to provide full information regarding the number of Ordinary Shares sold at each separate price.</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the Ordinary Shares sold, ranging from a low of $23.90 to a high of $24.35 per Ordinary Share. The Reporting Persons undertake, upon request by the staff of the Securities and Exchange Commission, the Issuer or a security holder of the Issuer, to provide full information regarding the number of Ordinary Shares sold at each separate price.</w:t>
      </w:r>
    </w:p>
    <w:p>
      <w:pPr>
        <w:spacing w:after="0" w:line="7"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OPI VI. OrbiMed Capital GP VI LLC ("OrbiMed GP") is the general partner of OPI VI, and OrbiMed Advisors LLC ("OrbiMed Advisors") is the managing member of OrbiMed GP. By virtue of such relationships, OrbiMed GP and OrbiMed Advisors may be deemed to have voting power and investment power over the securities held by OPI VI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w:t>
      </w:r>
    </w:p>
    <w:p>
      <w:pPr>
        <w:spacing w:after="0" w:line="24" w:lineRule="exact"/>
        <w:rPr>
          <w:rFonts w:ascii="Times New Roman" w:cs="Times New Roman" w:eastAsia="Times New Roman" w:hAnsi="Times New Roman"/>
          <w:sz w:val="13"/>
          <w:szCs w:val="13"/>
          <w:color w:val="008000"/>
        </w:rPr>
      </w:pPr>
    </w:p>
    <w:p>
      <w:pPr>
        <w:ind w:right="18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jointly filed by OrbiMed Advisors and OrbiMed GP.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a representative, Rishi Gupta, an employee of OrbiMed Advisors, to serve on the Issuer's board of directors. This report shall not be deemed an admission that any such entity or person is a beneficial owner of such securities for purpose of Section 16 of the Exchange Act, or for any other purpose.</w:t>
      </w:r>
    </w:p>
    <w:p>
      <w:pPr>
        <w:sectPr>
          <w:pgSz w:w="11900" w:h="16838" w:orient="portrait"/>
          <w:cols w:equalWidth="0" w:num="1">
            <w:col w:w="10900"/>
          </w:cols>
          <w:pgMar w:left="500" w:top="138" w:right="49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2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Carl L. Gordon,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53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OrbiMed Capital GP VI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2160"/>
          </w:cols>
          <w:pgMar w:left="500" w:top="138" w:right="4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8"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2" Type="http://schemas.openxmlformats.org/officeDocument/2006/relationships/hyperlink" Target="http://www.sec.gov/cgi-bin/browse-edgar?action=getcompany&amp;CIK=0001055951" TargetMode="External"/><Relationship Id="rId13" Type="http://schemas.openxmlformats.org/officeDocument/2006/relationships/hyperlink" Target="http://www.sec.gov/cgi-bin/browse-edgar?action=getcompany&amp;CIK=0001657312" TargetMode="External"/><Relationship Id="rId14" Type="http://schemas.openxmlformats.org/officeDocument/2006/relationships/hyperlink" Target="http://www.sec.gov/cgi-bin/browse-edgar?action=getcompany&amp;CIK=0001682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2022-12-27T16:42:43Z</dcterms:created>
  <dcterms:modified xsi:type="dcterms:W3CDTF">2022-12-27T16:42:43Z</dcterms:modified>
</cp:coreProperties>
</file>