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522605</wp:posOffset>
            </wp:positionV>
            <wp:extent cx="715200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1460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SECURITIES AND EXCHANGE COMMISSION</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Washington, D.C. 20549</w:t>
      </w:r>
    </w:p>
    <w:p>
      <w:pPr>
        <w:spacing w:after="0" w:line="203" w:lineRule="exact"/>
        <w:rPr>
          <w:sz w:val="24"/>
          <w:szCs w:val="24"/>
          <w:color w:val="auto"/>
        </w:rPr>
      </w:pPr>
    </w:p>
    <w:p>
      <w:pPr>
        <w:ind w:left="322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372" w:lineRule="exact"/>
        <w:rPr>
          <w:sz w:val="24"/>
          <w:szCs w:val="24"/>
          <w:color w:val="auto"/>
        </w:rPr>
      </w:pPr>
    </w:p>
    <w:p>
      <w:pPr>
        <w:ind w:left="5260"/>
        <w:spacing w:after="0"/>
        <w:rPr>
          <w:sz w:val="20"/>
          <w:szCs w:val="20"/>
          <w:color w:val="auto"/>
        </w:rPr>
      </w:pPr>
      <w:r>
        <w:rPr>
          <w:rFonts w:ascii="Arial" w:cs="Arial" w:eastAsia="Arial" w:hAnsi="Arial"/>
          <w:sz w:val="15"/>
          <w:szCs w:val="15"/>
          <w:b w:val="1"/>
          <w:bCs w:val="1"/>
          <w:color w:val="auto"/>
        </w:rPr>
        <w:t>FORM 6-K</w:t>
      </w:r>
    </w:p>
    <w:p>
      <w:pPr>
        <w:spacing w:after="0" w:line="221" w:lineRule="exact"/>
        <w:rPr>
          <w:sz w:val="24"/>
          <w:szCs w:val="24"/>
          <w:color w:val="auto"/>
        </w:rPr>
      </w:pPr>
    </w:p>
    <w:p>
      <w:pPr>
        <w:ind w:left="322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372"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PURSUANT TO RULE 13a-16 OR 15d-16</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UNDER THE SECURITIES EXCHANGE ACT OF 1934</w:t>
      </w:r>
    </w:p>
    <w:p>
      <w:pPr>
        <w:spacing w:after="0" w:line="180" w:lineRule="exact"/>
        <w:rPr>
          <w:sz w:val="24"/>
          <w:szCs w:val="24"/>
          <w:color w:val="auto"/>
        </w:rPr>
      </w:pPr>
    </w:p>
    <w:p>
      <w:pPr>
        <w:ind w:left="4560"/>
        <w:spacing w:after="0"/>
        <w:rPr>
          <w:sz w:val="20"/>
          <w:szCs w:val="20"/>
          <w:color w:val="auto"/>
        </w:rPr>
      </w:pPr>
      <w:r>
        <w:rPr>
          <w:rFonts w:ascii="Arial" w:cs="Arial" w:eastAsia="Arial" w:hAnsi="Arial"/>
          <w:sz w:val="15"/>
          <w:szCs w:val="15"/>
          <w:b w:val="1"/>
          <w:bCs w:val="1"/>
          <w:color w:val="auto"/>
        </w:rPr>
        <w:t>For the month of March 2020</w:t>
      </w:r>
    </w:p>
    <w:p>
      <w:pPr>
        <w:spacing w:after="0" w:line="221" w:lineRule="exact"/>
        <w:rPr>
          <w:sz w:val="24"/>
          <w:szCs w:val="24"/>
          <w:color w:val="auto"/>
        </w:rPr>
      </w:pPr>
    </w:p>
    <w:p>
      <w:pPr>
        <w:ind w:left="322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372" w:lineRule="exact"/>
        <w:rPr>
          <w:sz w:val="24"/>
          <w:szCs w:val="24"/>
          <w:color w:val="auto"/>
        </w:rPr>
      </w:pPr>
    </w:p>
    <w:p>
      <w:pPr>
        <w:ind w:left="4280"/>
        <w:spacing w:after="0"/>
        <w:rPr>
          <w:sz w:val="20"/>
          <w:szCs w:val="20"/>
          <w:color w:val="auto"/>
        </w:rPr>
      </w:pPr>
      <w:r>
        <w:rPr>
          <w:rFonts w:ascii="Arial" w:cs="Arial" w:eastAsia="Arial" w:hAnsi="Arial"/>
          <w:sz w:val="15"/>
          <w:szCs w:val="15"/>
          <w:b w:val="1"/>
          <w:bCs w:val="1"/>
          <w:color w:val="auto"/>
        </w:rPr>
        <w:t>Commission File Number: 001-38067</w:t>
      </w:r>
    </w:p>
    <w:p>
      <w:pPr>
        <w:spacing w:after="0" w:line="221" w:lineRule="exact"/>
        <w:rPr>
          <w:sz w:val="24"/>
          <w:szCs w:val="24"/>
          <w:color w:val="auto"/>
        </w:rPr>
      </w:pPr>
    </w:p>
    <w:p>
      <w:pPr>
        <w:ind w:left="322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372"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Verona Pharma plc</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(Translation of registrant's name into English)</w:t>
      </w:r>
    </w:p>
    <w:p>
      <w:pPr>
        <w:spacing w:after="0" w:line="226" w:lineRule="exact"/>
        <w:rPr>
          <w:sz w:val="24"/>
          <w:szCs w:val="24"/>
          <w:color w:val="auto"/>
        </w:rPr>
      </w:pPr>
    </w:p>
    <w:p>
      <w:pPr>
        <w:ind w:left="324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200" w:lineRule="exact"/>
        <w:rPr>
          <w:sz w:val="24"/>
          <w:szCs w:val="24"/>
          <w:color w:val="auto"/>
        </w:rPr>
      </w:pPr>
    </w:p>
    <w:p>
      <w:pPr>
        <w:spacing w:after="0" w:line="218"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3 More London Riverside</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London SE1 2RE UK</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+44 203 283 4200</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(Address of principal executive office)</w:t>
      </w:r>
    </w:p>
    <w:p>
      <w:pPr>
        <w:spacing w:after="0" w:line="226" w:lineRule="exact"/>
        <w:rPr>
          <w:sz w:val="24"/>
          <w:szCs w:val="24"/>
          <w:color w:val="auto"/>
        </w:rPr>
      </w:pPr>
    </w:p>
    <w:p>
      <w:pPr>
        <w:ind w:left="326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62" w:lineRule="exact"/>
        <w:rPr>
          <w:sz w:val="24"/>
          <w:szCs w:val="24"/>
          <w:color w:val="auto"/>
        </w:rPr>
      </w:pPr>
    </w:p>
    <w:p>
      <w:pPr>
        <w:ind w:left="4700"/>
        <w:spacing w:after="0" w:line="173" w:lineRule="exact"/>
        <w:rPr>
          <w:sz w:val="20"/>
          <w:szCs w:val="20"/>
          <w:color w:val="auto"/>
        </w:rPr>
      </w:pPr>
      <w:r>
        <w:rPr>
          <w:rFonts w:ascii="Arial" w:cs="Arial" w:eastAsia="Arial" w:hAnsi="Arial"/>
          <w:sz w:val="15"/>
          <w:szCs w:val="15"/>
          <w:color w:val="auto"/>
        </w:rPr>
        <w:t xml:space="preserve">Form 20-F </w:t>
      </w:r>
      <w:r>
        <w:rPr>
          <w:rFonts w:ascii="MS PGothic" w:cs="MS PGothic" w:eastAsia="MS PGothic" w:hAnsi="MS PGothic"/>
          <w:sz w:val="15"/>
          <w:szCs w:val="15"/>
          <w:color w:val="auto"/>
        </w:rPr>
        <w:t>☒</w:t>
      </w:r>
      <w:r>
        <w:rPr>
          <w:rFonts w:ascii="Arial" w:cs="Arial" w:eastAsia="Arial" w:hAnsi="Arial"/>
          <w:sz w:val="15"/>
          <w:szCs w:val="15"/>
          <w:color w:val="auto"/>
        </w:rPr>
        <w:t xml:space="preserve"> Form 40-F </w:t>
      </w:r>
      <w:r>
        <w:rPr>
          <w:rFonts w:ascii="MS PGothic" w:cs="MS PGothic" w:eastAsia="MS PGothic" w:hAnsi="MS PGothic"/>
          <w:sz w:val="15"/>
          <w:szCs w:val="15"/>
          <w:color w:val="auto"/>
        </w:rPr>
        <w:t>☐</w:t>
      </w:r>
    </w:p>
    <w:p>
      <w:pPr>
        <w:spacing w:after="0" w:line="19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submitting the Form 6-K in paper as permitted by Regulation S-T Rule 101(b)(1):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submitting the Form 6-K in paper as permitted by Regulation S-T Rule 101(b)(7):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290830</wp:posOffset>
            </wp:positionV>
            <wp:extent cx="7152005"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sectPr>
          <w:pgSz w:w="11900" w:h="16838" w:orient="portrait"/>
          <w:cols w:equalWidth="0" w:num="1">
            <w:col w:w="10139"/>
          </w:cols>
          <w:pgMar w:left="320" w:top="102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INFORMATION CONTAINED IN THIS REPORT ON FORM 6-K</w:t>
      </w:r>
    </w:p>
    <w:p>
      <w:pPr>
        <w:spacing w:after="0" w:line="200" w:lineRule="exact"/>
        <w:rPr>
          <w:sz w:val="20"/>
          <w:szCs w:val="20"/>
          <w:color w:val="auto"/>
        </w:rPr>
      </w:pPr>
    </w:p>
    <w:p>
      <w:pPr>
        <w:spacing w:after="0" w:line="201" w:lineRule="exact"/>
        <w:rPr>
          <w:sz w:val="20"/>
          <w:szCs w:val="20"/>
          <w:color w:val="auto"/>
        </w:rPr>
      </w:pPr>
    </w:p>
    <w:p>
      <w:pPr>
        <w:ind w:right="120"/>
        <w:spacing w:after="0" w:line="275" w:lineRule="auto"/>
        <w:rPr>
          <w:sz w:val="20"/>
          <w:szCs w:val="20"/>
          <w:color w:val="auto"/>
        </w:rPr>
      </w:pPr>
      <w:r>
        <w:rPr>
          <w:rFonts w:ascii="Arial" w:cs="Arial" w:eastAsia="Arial" w:hAnsi="Arial"/>
          <w:sz w:val="15"/>
          <w:szCs w:val="15"/>
          <w:color w:val="auto"/>
        </w:rPr>
        <w:t>On March 16, 2020, Verona Pharma plc issued a press release (the "Notice of AGM Announcement") reporting that a hard copy of the Annual Report and Accounts for the year ended December 31, 2019, the Notice of Annual General Meeting and a Form of Proxy have been mailed to Shareholders of record as of March 13, 2020.</w:t>
      </w:r>
    </w:p>
    <w:p>
      <w:pPr>
        <w:spacing w:after="0" w:line="346"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The Annual General Meeting of Verona Pharma will be held at the offices of Shakespeare Martineau at 60 Gracechurch Street, London, EC3V 0HR, United Kingdom at 10.30 a.m. on April 16, 2020.</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The Notice of AGM Announcement is furnished herewith as Exhibit 1.1 to this Report on Form 6-K.</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5"/>
                <w:szCs w:val="15"/>
                <w:color w:val="auto"/>
              </w:rPr>
              <w:t>Exhibit</w:t>
            </w: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73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5"/>
                <w:szCs w:val="15"/>
                <w:color w:val="auto"/>
              </w:rPr>
              <w:t>No.</w:t>
            </w: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360" w:type="dxa"/>
            <w:vAlign w:val="bottom"/>
          </w:tcPr>
          <w:p>
            <w:pPr>
              <w:ind w:left="2240"/>
              <w:spacing w:after="0"/>
              <w:rPr>
                <w:sz w:val="20"/>
                <w:szCs w:val="20"/>
                <w:color w:val="auto"/>
              </w:rPr>
            </w:pPr>
            <w:r>
              <w:rPr>
                <w:rFonts w:ascii="Arial" w:cs="Arial" w:eastAsia="Arial" w:hAnsi="Arial"/>
                <w:sz w:val="15"/>
                <w:szCs w:val="15"/>
                <w:color w:val="auto"/>
              </w:rPr>
              <w:t>Description</w:t>
            </w:r>
          </w:p>
        </w:tc>
      </w:tr>
      <w:tr>
        <w:trPr>
          <w:trHeight w:val="322"/>
        </w:trPr>
        <w:tc>
          <w:tcPr>
            <w:tcW w:w="240" w:type="dxa"/>
            <w:vAlign w:val="bottom"/>
            <w:tcBorders>
              <w:top w:val="single" w:sz="8" w:color="auto"/>
            </w:tcBorders>
            <w:gridSpan w:val="2"/>
          </w:tcPr>
          <w:p>
            <w:pPr>
              <w:jc w:val="right"/>
              <w:spacing w:after="0"/>
              <w:rPr>
                <w:rFonts w:ascii="Arial" w:cs="Arial" w:eastAsia="Arial" w:hAnsi="Arial"/>
                <w:sz w:val="15"/>
                <w:szCs w:val="15"/>
                <w:color w:val="0000FF"/>
              </w:rPr>
            </w:pPr>
            <w:hyperlink w:anchor="page3">
              <w:r>
                <w:rPr>
                  <w:rFonts w:ascii="Arial" w:cs="Arial" w:eastAsia="Arial" w:hAnsi="Arial"/>
                  <w:sz w:val="15"/>
                  <w:szCs w:val="15"/>
                  <w:color w:val="0000FF"/>
                </w:rPr>
                <w:t>1.</w:t>
              </w:r>
              <w:r>
                <w:rPr>
                  <w:rFonts w:ascii="Arial" w:cs="Arial" w:eastAsia="Arial" w:hAnsi="Arial"/>
                  <w:sz w:val="15"/>
                  <w:szCs w:val="15"/>
                  <w:u w:val="single" w:color="auto"/>
                  <w:color w:val="0000FF"/>
                </w:rPr>
                <w:t>1</w:t>
              </w:r>
            </w:hyperlink>
          </w:p>
        </w:tc>
        <w:tc>
          <w:tcPr>
            <w:tcW w:w="1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40" w:type="dxa"/>
            <w:vAlign w:val="bottom"/>
            <w:tcBorders>
              <w:top w:val="single" w:sz="8" w:color="auto"/>
            </w:tcBorders>
            <w:gridSpan w:val="2"/>
          </w:tcPr>
          <w:p>
            <w:pPr>
              <w:spacing w:after="0"/>
              <w:rPr>
                <w:rFonts w:ascii="Arial" w:cs="Arial" w:eastAsia="Arial" w:hAnsi="Arial"/>
                <w:sz w:val="15"/>
                <w:szCs w:val="15"/>
                <w:color w:val="0000FF"/>
              </w:rPr>
            </w:pPr>
            <w:hyperlink w:anchor="page3">
              <w:r>
                <w:rPr>
                  <w:rFonts w:ascii="Arial" w:cs="Arial" w:eastAsia="Arial" w:hAnsi="Arial"/>
                  <w:sz w:val="15"/>
                  <w:szCs w:val="15"/>
                  <w:color w:val="0000FF"/>
                </w:rPr>
                <w:t>Notice of AGM Announcement</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216" w:lineRule="exact"/>
        <w:rPr>
          <w:sz w:val="20"/>
          <w:szCs w:val="20"/>
          <w:color w:val="auto"/>
        </w:rPr>
      </w:pPr>
    </w:p>
    <w:p>
      <w:pPr>
        <w:ind w:right="540"/>
        <w:spacing w:after="0" w:line="276"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auto"/>
        </w:rPr>
        <w:t>VERONA PHARMA PLC</w:t>
      </w:r>
    </w:p>
    <w:p>
      <w:pPr>
        <w:spacing w:after="0" w:line="309"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2480" w:type="dxa"/>
            <w:vAlign w:val="bottom"/>
          </w:tcPr>
          <w:p>
            <w:pPr>
              <w:spacing w:after="0"/>
              <w:rPr>
                <w:sz w:val="20"/>
                <w:szCs w:val="20"/>
                <w:color w:val="auto"/>
              </w:rPr>
            </w:pPr>
            <w:r>
              <w:rPr>
                <w:rFonts w:ascii="Arial" w:cs="Arial" w:eastAsia="Arial" w:hAnsi="Arial"/>
                <w:sz w:val="15"/>
                <w:szCs w:val="15"/>
                <w:color w:val="auto"/>
              </w:rPr>
              <w:t>Date: March 30, 2020</w:t>
            </w:r>
          </w:p>
        </w:tc>
        <w:tc>
          <w:tcPr>
            <w:tcW w:w="1620" w:type="dxa"/>
            <w:vAlign w:val="bottom"/>
          </w:tcPr>
          <w:p>
            <w:pPr>
              <w:ind w:left="1000"/>
              <w:spacing w:after="0"/>
              <w:rPr>
                <w:sz w:val="20"/>
                <w:szCs w:val="20"/>
                <w:color w:val="auto"/>
              </w:rPr>
            </w:pPr>
            <w:r>
              <w:rPr>
                <w:rFonts w:ascii="Arial" w:cs="Arial" w:eastAsia="Arial" w:hAnsi="Arial"/>
                <w:sz w:val="15"/>
                <w:szCs w:val="15"/>
                <w:color w:val="auto"/>
              </w:rPr>
              <w:t>By:</w:t>
            </w: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Claire Poll</w:t>
            </w:r>
          </w:p>
        </w:tc>
        <w:tc>
          <w:tcPr>
            <w:tcW w:w="3860" w:type="dxa"/>
            <w:vAlign w:val="bottom"/>
            <w:tcBorders>
              <w:bottom w:val="single" w:sz="8" w:color="auto"/>
            </w:tcBorders>
          </w:tcPr>
          <w:p>
            <w:pPr>
              <w:spacing w:after="0"/>
              <w:rPr>
                <w:sz w:val="16"/>
                <w:szCs w:val="16"/>
                <w:color w:val="auto"/>
              </w:rPr>
            </w:pPr>
          </w:p>
        </w:tc>
      </w:tr>
      <w:tr>
        <w:trPr>
          <w:trHeight w:val="206"/>
        </w:trPr>
        <w:tc>
          <w:tcPr>
            <w:tcW w:w="2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Name:</w:t>
            </w:r>
          </w:p>
        </w:tc>
        <w:tc>
          <w:tcPr>
            <w:tcW w:w="3860" w:type="dxa"/>
            <w:vAlign w:val="bottom"/>
          </w:tcPr>
          <w:p>
            <w:pPr>
              <w:ind w:left="220"/>
              <w:spacing w:after="0"/>
              <w:rPr>
                <w:sz w:val="20"/>
                <w:szCs w:val="20"/>
                <w:color w:val="auto"/>
              </w:rPr>
            </w:pPr>
            <w:r>
              <w:rPr>
                <w:rFonts w:ascii="Arial" w:cs="Arial" w:eastAsia="Arial" w:hAnsi="Arial"/>
                <w:sz w:val="15"/>
                <w:szCs w:val="15"/>
                <w:color w:val="auto"/>
              </w:rPr>
              <w:t>Claire Poll</w:t>
            </w:r>
          </w:p>
        </w:tc>
      </w:tr>
      <w:tr>
        <w:trPr>
          <w:trHeight w:val="232"/>
        </w:trPr>
        <w:tc>
          <w:tcPr>
            <w:tcW w:w="2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Title:</w:t>
            </w:r>
          </w:p>
        </w:tc>
        <w:tc>
          <w:tcPr>
            <w:tcW w:w="3860" w:type="dxa"/>
            <w:vAlign w:val="bottom"/>
          </w:tcPr>
          <w:p>
            <w:pPr>
              <w:ind w:left="220"/>
              <w:spacing w:after="0"/>
              <w:rPr>
                <w:sz w:val="20"/>
                <w:szCs w:val="20"/>
                <w:color w:val="auto"/>
              </w:rPr>
            </w:pPr>
            <w:r>
              <w:rPr>
                <w:rFonts w:ascii="Arial" w:cs="Arial" w:eastAsia="Arial" w:hAnsi="Arial"/>
                <w:sz w:val="15"/>
                <w:szCs w:val="15"/>
                <w:color w:val="auto"/>
              </w:rPr>
              <w:t>Legal Counsel</w:t>
            </w:r>
          </w:p>
        </w:tc>
      </w:tr>
    </w:tbl>
    <w:p>
      <w:pPr>
        <w:sectPr>
          <w:pgSz w:w="11900" w:h="16838" w:orient="portrait"/>
          <w:cols w:equalWidth="0" w:num="1">
            <w:col w:w="11260"/>
          </w:cols>
          <w:pgMar w:left="320" w:top="491"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2020-03-30T05:34:09Z</dcterms:created>
  <dcterms:modified xsi:type="dcterms:W3CDTF">2020-03-30T05:34:09Z</dcterms:modified>
</cp:coreProperties>
</file>