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8" w:lineRule="exact"/>
        <w:rPr>
          <w:sz w:val="24"/>
          <w:szCs w:val="24"/>
          <w:color w:val="auto"/>
        </w:rPr>
      </w:pPr>
    </w:p>
    <w:p>
      <w:pPr>
        <w:jc w:val="center"/>
        <w:ind w:left="5400" w:right="160" w:hanging="5225"/>
        <w:spacing w:after="0" w:line="243" w:lineRule="auto"/>
        <w:tabs>
          <w:tab w:leader="none" w:pos="572"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6" w:lineRule="exact"/>
        <w:rPr>
          <w:sz w:val="24"/>
          <w:szCs w:val="24"/>
          <w:color w:val="auto"/>
        </w:rPr>
      </w:pPr>
    </w:p>
    <w:p>
      <w:pPr>
        <w:jc w:val="center"/>
        <w:ind w:left="5400" w:right="160" w:hanging="5231"/>
        <w:spacing w:after="0" w:line="256" w:lineRule="auto"/>
        <w:tabs>
          <w:tab w:leader="none" w:pos="56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001-38067</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Verona Pharma plc</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760" w:type="dxa"/>
            <w:vAlign w:val="bottom"/>
          </w:tcPr>
          <w:p>
            <w:pPr>
              <w:jc w:val="center"/>
              <w:ind w:left="1459"/>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193"/>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6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14"/>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3760" w:type="dxa"/>
            <w:vAlign w:val="bottom"/>
          </w:tcPr>
          <w:p>
            <w:pPr>
              <w:spacing w:after="0"/>
              <w:rPr>
                <w:sz w:val="24"/>
                <w:szCs w:val="24"/>
                <w:color w:val="auto"/>
              </w:rPr>
            </w:pPr>
          </w:p>
        </w:tc>
      </w:tr>
      <w:tr>
        <w:trPr>
          <w:trHeight w:val="238"/>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8"/>
                <w:szCs w:val="18"/>
                <w:b w:val="1"/>
                <w:bCs w:val="1"/>
                <w:color w:val="auto"/>
              </w:rPr>
              <w:t>London SE1 2RE United Kingdom</w:t>
            </w:r>
          </w:p>
        </w:tc>
        <w:tc>
          <w:tcPr>
            <w:tcW w:w="3760" w:type="dxa"/>
            <w:vAlign w:val="bottom"/>
          </w:tcPr>
          <w:p>
            <w:pPr>
              <w:jc w:val="center"/>
              <w:ind w:left="147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20"/>
        </w:trPr>
        <w:tc>
          <w:tcPr>
            <w:tcW w:w="5280" w:type="dxa"/>
            <w:vAlign w:val="bottom"/>
          </w:tcPr>
          <w:p>
            <w:pPr>
              <w:jc w:val="center"/>
              <w:ind w:right="14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60" w:type="dxa"/>
            <w:vAlign w:val="bottom"/>
          </w:tcPr>
          <w:p>
            <w:pPr>
              <w:jc w:val="center"/>
              <w:ind w:left="14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+44 203 283 4200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jc w:val="center"/>
              <w:ind w:left="319"/>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0" w:type="dxa"/>
            <w:vAlign w:val="bottom"/>
          </w:tcPr>
          <w:p>
            <w:pPr>
              <w:jc w:val="center"/>
              <w:ind w:left="56"/>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vMerge w:val="continue"/>
          </w:tcPr>
          <w:p>
            <w:pPr>
              <w:spacing w:after="0"/>
              <w:rPr>
                <w:sz w:val="20"/>
                <w:szCs w:val="20"/>
                <w:color w:val="auto"/>
              </w:rPr>
            </w:pPr>
          </w:p>
        </w:tc>
        <w:tc>
          <w:tcPr>
            <w:tcW w:w="200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540" w:type="dxa"/>
            <w:vAlign w:val="bottom"/>
          </w:tcPr>
          <w:p>
            <w:pPr>
              <w:jc w:val="center"/>
              <w:ind w:left="319"/>
              <w:spacing w:after="0"/>
              <w:rPr>
                <w:sz w:val="20"/>
                <w:szCs w:val="20"/>
                <w:color w:val="auto"/>
              </w:rPr>
            </w:pPr>
            <w:r>
              <w:rPr>
                <w:rFonts w:ascii="Times New Roman" w:cs="Times New Roman" w:eastAsia="Times New Roman" w:hAnsi="Times New Roman"/>
                <w:sz w:val="14"/>
                <w:szCs w:val="14"/>
                <w:color w:val="auto"/>
              </w:rPr>
              <w:t>Ordinary shares, nominal value £0.05 per share*</w:t>
            </w:r>
          </w:p>
        </w:tc>
        <w:tc>
          <w:tcPr>
            <w:tcW w:w="2000" w:type="dxa"/>
            <w:vAlign w:val="bottom"/>
          </w:tcPr>
          <w:p>
            <w:pPr>
              <w:jc w:val="center"/>
              <w:ind w:left="56"/>
              <w:spacing w:after="0"/>
              <w:rPr>
                <w:sz w:val="20"/>
                <w:szCs w:val="20"/>
                <w:color w:val="auto"/>
              </w:rPr>
            </w:pPr>
            <w:r>
              <w:rPr>
                <w:rFonts w:ascii="Times New Roman" w:cs="Times New Roman" w:eastAsia="Times New Roman" w:hAnsi="Times New Roman"/>
                <w:sz w:val="14"/>
                <w:szCs w:val="14"/>
                <w:color w:val="auto"/>
              </w:rPr>
              <w:t>VRNA</w:t>
            </w:r>
          </w:p>
        </w:tc>
        <w:tc>
          <w:tcPr>
            <w:tcW w:w="4680" w:type="dxa"/>
            <w:vAlign w:val="bottom"/>
          </w:tcPr>
          <w:p>
            <w:pPr>
              <w:jc w:val="center"/>
              <w:ind w:right="179"/>
              <w:spacing w:after="0"/>
              <w:rPr>
                <w:sz w:val="20"/>
                <w:szCs w:val="20"/>
                <w:color w:val="auto"/>
              </w:rPr>
            </w:pPr>
            <w:r>
              <w:rPr>
                <w:rFonts w:ascii="Times New Roman" w:cs="Times New Roman" w:eastAsia="Times New Roman" w:hAnsi="Times New Roman"/>
                <w:sz w:val="14"/>
                <w:szCs w:val="14"/>
                <w:color w:val="auto"/>
              </w:rPr>
              <w:t>The Nasdaq Stock Market LLC (Nasdaq Global Market)</w:t>
            </w:r>
          </w:p>
        </w:tc>
        <w:tc>
          <w:tcPr>
            <w:tcW w:w="0" w:type="dxa"/>
            <w:vAlign w:val="bottom"/>
          </w:tcPr>
          <w:p>
            <w:pPr>
              <w:spacing w:after="0"/>
              <w:rPr>
                <w:sz w:val="1"/>
                <w:szCs w:val="1"/>
                <w:color w:val="auto"/>
              </w:rPr>
            </w:pPr>
          </w:p>
        </w:tc>
      </w:tr>
    </w:tbl>
    <w:p>
      <w:pPr>
        <w:spacing w:after="0" w:line="203" w:lineRule="exact"/>
        <w:rPr>
          <w:sz w:val="24"/>
          <w:szCs w:val="24"/>
          <w:color w:val="auto"/>
        </w:rPr>
      </w:pPr>
    </w:p>
    <w:p>
      <w:pPr>
        <w:ind w:right="60" w:firstLine="8"/>
        <w:spacing w:after="0" w:line="302"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93"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spacing w:after="0" w:line="21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8"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August 3, 2022, the registrant had 487,633,374 ordinary shares, nominal value £0.05 per share, outstanding, which if all held in ADS form, would be represented by 60,954,172 American Depositary Shares, each representing eight (8)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080" w:type="dxa"/>
            <w:vAlign w:val="bottom"/>
          </w:tcPr>
          <w:p>
            <w:pPr>
              <w:spacing w:after="0"/>
              <w:rPr>
                <w:sz w:val="18"/>
                <w:szCs w:val="18"/>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Financial Statements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15</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28</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28</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30"/>
        </w:trPr>
        <w:tc>
          <w:tcPr>
            <w:tcW w:w="20" w:type="dxa"/>
            <w:vAlign w:val="bottom"/>
            <w:shd w:val="clear" w:color="auto" w:fill="CCEEFF"/>
          </w:tcPr>
          <w:p>
            <w:pPr>
              <w:spacing w:after="0"/>
              <w:rPr>
                <w:sz w:val="19"/>
                <w:szCs w:val="19"/>
                <w:color w:val="auto"/>
              </w:rPr>
            </w:pPr>
          </w:p>
        </w:tc>
        <w:tc>
          <w:tcPr>
            <w:tcW w:w="10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1080" w:type="dxa"/>
            <w:vAlign w:val="bottom"/>
            <w:shd w:val="clear" w:color="auto" w:fill="CCEEFF"/>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29</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1A.</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Risk Factors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29</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29</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29</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Mine Safety Disclosure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29</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5</w:t>
            </w:r>
          </w:p>
        </w:tc>
        <w:tc>
          <w:tcPr>
            <w:tcW w:w="9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Information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29</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Exhibits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30</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4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31</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right"/>
        <w:ind w:right="263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8"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and par value of shares)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and tax incentive receivable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170,063</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interest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16,524</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payable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0" w:type="dxa"/>
            <w:vAlign w:val="bottom"/>
          </w:tcPr>
          <w:p>
            <w:pPr>
              <w:spacing w:after="0"/>
              <w:rPr>
                <w:sz w:val="1"/>
                <w:szCs w:val="1"/>
                <w:color w:val="auto"/>
              </w:rPr>
            </w:pPr>
          </w:p>
        </w:tc>
      </w:tr>
      <w:tr>
        <w:trPr>
          <w:trHeight w:val="223"/>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38,582</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Ordinary £0.05 par value shares; 494,058,246 and 489,177,550 issued, and 485,298,326 and 480,082,966</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June 30, 2022 and December 31, 2021, respectively</w:t>
            </w:r>
          </w:p>
        </w:tc>
        <w:tc>
          <w:tcPr>
            <w:tcW w:w="28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0" w:type="dxa"/>
            <w:vAlign w:val="bottom"/>
          </w:tcPr>
          <w:p>
            <w:pPr>
              <w:spacing w:after="0"/>
              <w:rPr>
                <w:sz w:val="1"/>
                <w:szCs w:val="1"/>
                <w:color w:val="auto"/>
              </w:rPr>
            </w:pPr>
          </w:p>
        </w:tc>
      </w:tr>
      <w:tr>
        <w:trPr>
          <w:trHeight w:val="117"/>
        </w:trPr>
        <w:tc>
          <w:tcPr>
            <w:tcW w:w="83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385,070</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Ordinary shares held in treasury</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(263,716)</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148,005</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3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34,137</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51,404</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(51,404)</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0" w:type="dxa"/>
            <w:vAlign w:val="bottom"/>
          </w:tcPr>
          <w:p>
            <w:pPr>
              <w:spacing w:after="0"/>
              <w:rPr>
                <w:sz w:val="1"/>
                <w:szCs w:val="1"/>
                <w:color w:val="auto"/>
              </w:rPr>
            </w:pP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movement on warrants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(43,253)</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1"/>
        </w:trPr>
        <w:tc>
          <w:tcPr>
            <w:tcW w:w="53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(17,766)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(22,068)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(42,603)</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(43,358)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Loss per ordinary share - basic and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484,777,837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470,786,767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483,226,039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469,036,978</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440" w:type="dxa"/>
        <w:tblCellMar>
          <w:top w:w="0" w:type="dxa"/>
          <w:left w:w="0" w:type="dxa"/>
          <w:bottom w:w="0" w:type="dxa"/>
          <w:right w:w="0" w:type="dxa"/>
        </w:tblCellMar>
      </w:tblPr>
      <w:tr>
        <w:trPr>
          <w:trHeight w:val="190"/>
        </w:trPr>
        <w:tc>
          <w:tcPr>
            <w:tcW w:w="254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37"/>
        </w:trPr>
        <w:tc>
          <w:tcPr>
            <w:tcW w:w="1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4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13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3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5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4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489,177,550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2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Issuance of common shares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under at-the-market sales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agreement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2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Issuance of ordinary shares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treasury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2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Common shares withheld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for taxes on vested stock</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awards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2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Equity settled share-based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compensation reclassified as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cash-settled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494,058,246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4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420" w:type="dxa"/>
            <w:vAlign w:val="bottom"/>
            <w:vMerge w:val="continue"/>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2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Common shares withheld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for taxes on vested stock</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awards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2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Equity settled share-based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compensation reclassified as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cash-settled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494,058,246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385,070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148,005</w:t>
            </w:r>
          </w:p>
        </w:tc>
        <w:tc>
          <w:tcPr>
            <w:tcW w:w="0" w:type="dxa"/>
            <w:vAlign w:val="bottom"/>
          </w:tcPr>
          <w:p>
            <w:pPr>
              <w:spacing w:after="0"/>
              <w:rPr>
                <w:sz w:val="1"/>
                <w:szCs w:val="1"/>
                <w:color w:val="auto"/>
              </w:rPr>
            </w:pPr>
          </w:p>
        </w:tc>
      </w:tr>
      <w:tr>
        <w:trPr>
          <w:trHeight w:val="234"/>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(24,837)</w:t>
            </w:r>
          </w:p>
        </w:tc>
        <w:tc>
          <w:tcPr>
            <w:tcW w:w="0" w:type="dxa"/>
            <w:vAlign w:val="bottom"/>
          </w:tcPr>
          <w:p>
            <w:pPr>
              <w:spacing w:after="0"/>
              <w:rPr>
                <w:sz w:val="1"/>
                <w:szCs w:val="1"/>
                <w:color w:val="auto"/>
              </w:rPr>
            </w:pPr>
          </w:p>
        </w:tc>
      </w:tr>
      <w:tr>
        <w:trPr>
          <w:trHeight w:val="589"/>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4"/>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94"/>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(793)</w:t>
            </w:r>
          </w:p>
        </w:tc>
        <w:tc>
          <w:tcPr>
            <w:tcW w:w="3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589"/>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4"/>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3,747</w:t>
            </w:r>
          </w:p>
        </w:tc>
        <w:tc>
          <w:tcPr>
            <w:tcW w:w="3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23"/>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388,204</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(288,739)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126,307</w:t>
            </w:r>
          </w:p>
        </w:tc>
        <w:tc>
          <w:tcPr>
            <w:tcW w:w="0" w:type="dxa"/>
            <w:vAlign w:val="bottom"/>
          </w:tcPr>
          <w:p>
            <w:pPr>
              <w:spacing w:after="0"/>
              <w:rPr>
                <w:sz w:val="1"/>
                <w:szCs w:val="1"/>
                <w:color w:val="auto"/>
              </w:rPr>
            </w:pPr>
          </w:p>
        </w:tc>
      </w:tr>
      <w:tr>
        <w:trPr>
          <w:trHeight w:val="21"/>
        </w:trPr>
        <w:tc>
          <w:tcPr>
            <w:tcW w:w="7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760" w:type="dxa"/>
            <w:vAlign w:val="bottom"/>
            <w:vMerge w:val="continue"/>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0" w:type="dxa"/>
            <w:vAlign w:val="bottom"/>
          </w:tcPr>
          <w:p>
            <w:pPr>
              <w:spacing w:after="0"/>
              <w:rPr>
                <w:sz w:val="1"/>
                <w:szCs w:val="1"/>
                <w:color w:val="auto"/>
              </w:rPr>
            </w:pPr>
          </w:p>
        </w:tc>
      </w:tr>
      <w:tr>
        <w:trPr>
          <w:trHeight w:val="234"/>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94"/>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w:t>
            </w:r>
          </w:p>
        </w:tc>
        <w:tc>
          <w:tcPr>
            <w:tcW w:w="3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589"/>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3,053</w:t>
            </w:r>
          </w:p>
        </w:tc>
        <w:tc>
          <w:tcPr>
            <w:tcW w:w="3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23"/>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390,543</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(306,653)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-3256915</wp:posOffset>
            </wp:positionV>
            <wp:extent cx="713232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-2733675</wp:posOffset>
            </wp:positionV>
            <wp:extent cx="713232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-2091055</wp:posOffset>
            </wp:positionV>
            <wp:extent cx="713232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-1233805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-710565</wp:posOffset>
            </wp:positionV>
            <wp:extent cx="713232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-187960</wp:posOffset>
            </wp:positionV>
            <wp:extent cx="71323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-1567815</wp:posOffset>
            </wp:positionV>
            <wp:extent cx="71323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5180" w:space="240"/>
            <w:col w:w="582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26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4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488,304,446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184,854</w:t>
            </w: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488,304,446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40" w:type="dxa"/>
            <w:vAlign w:val="bottom"/>
            <w:tcBorders>
              <w:top w:val="single" w:sz="8" w:color="CCEEFF"/>
            </w:tcBorders>
            <w:vMerge w:val="continue"/>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(22,068)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(22,068)</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shares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under at-the-market sales</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agreement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shares withheld</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for taxes on vested stock</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488,739,150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3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(43,358)</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used in operating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redemption premium on debt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movement on warrants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(25,002)</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interest receivable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incentive receivable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0" w:type="dxa"/>
            <w:vAlign w:val="bottom"/>
          </w:tcPr>
          <w:p>
            <w:pPr>
              <w:spacing w:after="0"/>
              <w:rPr>
                <w:sz w:val="1"/>
                <w:szCs w:val="1"/>
                <w:color w:val="auto"/>
              </w:rPr>
            </w:pPr>
          </w:p>
        </w:tc>
      </w:tr>
      <w:tr>
        <w:trPr>
          <w:trHeight w:val="230"/>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40,051</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(38,756)</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Purchases of furniture and equipment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withholding taxes from share-based awards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Proceeds from at-the-market sales agreement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(41,951)</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period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187,986</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 operations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Verona Pharma plc (the “Company”) is incorporated and domiciled in the United Kingdom. Verona Pharma plc has one wholly-owned subsidiary, Verona Pharma, Inc., a Delaware corporation. Rhinopharma Limited, a Canadian company that was previously a non-operating, wholly-owned subsidiary, was dissolved in June 2021. The address of the registered office is 1 Central Square, Cardiff, CF10 1FS, United Kingdom.</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clinical-stage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an accumulated deficit of $306.7 million as of June 30, 2022. The Company expects to incur additional losses and negative cash flows from operations until its products potentially gain regulatory approval and reach commercial profitability, if at all.</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that its cash and cash equivalents as of June 30, 2022, will be sufficient to fund its operating expenses and capital expenditure requirements for at least the next 12 months from the date of issuance.</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2021, the Company entered into an open market sale agreement with respect to an at-the-market offering program (the “ATM Program”) under which the Company may issue and sell its ordinary shares in the form of ADSs, with an aggregate offering price of up to $100.0 million.</w:t>
      </w:r>
    </w:p>
    <w:p>
      <w:pPr>
        <w:spacing w:after="0" w:line="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six months ended June 30, 2022, the Company sold 80,696 ordinary shares (equivalent to 10,087 ADSs) under the ATM Program, at an average price of approximately $0.86 per share (equivalent to $6.86 per ADS), raising aggregate net proceeds of approximately $0.1 million after deducting issuance costs. As of June 30, 2022, there remained ordinary shares, in the form of ADSs, with a value up to $99.2 million available for sale under the ATM Program.</w:t>
      </w:r>
    </w:p>
    <w:p>
      <w:pPr>
        <w:spacing w:after="0" w:line="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commercial revenue, if any, will be derived from sales of products that we do not expect to be commercially available for several years, if ever. Additionally we may enter into out-licensing transactions from time to time but there can be no assurance that the company can secure such transactions in the future. Accordingly, we will need to obtain substantial additional funds to achieve our business objectives including to further advance clinical and regulatory activities, to fund prelaunch and launch related costs and to create an effective sales and marketing organization to commercialize ensifentrine. We will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consolidation</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Verona Pharma plc and its wholly-owned subsidiary Verona Pharma, Inc. All inter-company balances and transactions have been eliminated.</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included in this Quarterly Report on Form 10-Q have been prepared in conformity with accounting principles generally accepted in the U.S. (“U.S. GAAP”).</w:t>
      </w:r>
    </w:p>
    <w:p>
      <w:pPr>
        <w:spacing w:after="0" w:line="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in this Quarterly Report should be read in conjunction with the consolidated financial statements and accompanying notes included in the Company’s Annual Report on Form 10-K filed with the SEC on March 3, 2022 (the “2021 Form 10-K”). The Consolidated Balance Sheet as of December 31, 2021, was derived from audited consolidated financial statements included in the 2021 Form 10-K but does not include all disclosures required by U.S. GAAP for complete financial statements. The Company’s significant accounting policies are described in Note 2 to those consolidated financial statements.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shareholders' equity for the periods presented. Except as otherwise disclosed, all such adjustments are of a normal recurring nature. Operating results for the interim periods are not necessarily indicative of the results that may be expected for the full year.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one operating and reportable segment, pharmaceutical development.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9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the fair value of share-based compensation, the fair value of warrants, research and development tax credit and the carrying value of the equity interest in Nuance Pharma (as defined below). Estimates are periodically reviewed in light of changes in circumstances, facts and experience. Changes in estimates are recorded in the period in which they become known. Actual results could differ from the Company’s estimates.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 and recent accounting standards not yet adopted</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recently adopted accounting standards and recent accounting standards not yet adopted that the Company believes will have a material impact on the Company’s consolidated financial statements.</w:t>
      </w:r>
    </w:p>
    <w:p>
      <w:pPr>
        <w:sectPr>
          <w:pgSz w:w="11900" w:h="16838" w:orient="portrait"/>
          <w:cols w:equalWidth="0" w:num="1">
            <w:col w:w="11240"/>
          </w:cols>
          <w:pgMar w:left="320" w:top="117" w:right="339" w:bottom="681"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62"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Tax and tax incentive receivables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and tax incentive receivables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83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3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 receivable - U.K.</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tax receivable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15,583</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conducts research and development activities including, but not limited to, developing ensifentrine for various indications and delivery methods, and as a result the Company benefits in the U.K. from the HM Revenue and Customs, or HMRC, small and medium sized enterprises research and development relief, or SME R&amp;D credit, which provides relief against U.K. Corporation Tax.</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Effective for accounting periods starting after April 1, 2021, new rules were introduced whereby the amount of SME R&amp;D tax credit that a business can receive in any one year will be capped at £20,000 plus three times the company’s total Pay As You Earn (“PAYE”) and National Insurance contributions (“NIC”) liability, unless an exception applies. That exception requires the Company to a) be creating, taking steps to create or managing intellectual property, as well as b) having qualifying research and development expenditures in respect of related parties which does not exceed 15% of the total claimed. In July, 2022, the Company received a response to its’ clearance application from HMRC agreeing to a) above and based upon analysis performed by the Company, it does not believe related party expenditures will exceed 15% of the total claim for 2022. Therefore, the Company has not applied the cap in determining the tax credit receivable.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Accrued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83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3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and other development costs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21,336</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and general corporate costs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related costs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22,256</w:t>
            </w:r>
          </w:p>
        </w:tc>
      </w:tr>
      <w:tr>
        <w:trPr>
          <w:trHeight w:val="21"/>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Term loan</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November 2020, the Company entered into a term loan facility of up to $30.0 million (the “Term Loan”), consisting of advances of $5.0 million funded at closing and $10.0 million and $15.0 million contingent upon achievement of certain clinical development milestones and other specified conditions. As of June 30, 2022, the Company had $5.0 million principal outstanding under the Term Loan.</w:t>
      </w:r>
    </w:p>
    <w:p>
      <w:pPr>
        <w:spacing w:after="0" w:line="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as of November 19, 2020, between the Borrowers and Silicon Valley Bank (“SVB”), as amended (the “Loan Agreement”). The Term B Loan will be available, subject to customary terms and conditions, only during the period commencing upon the achievement of a specific clinical milestone relating to ensifentrine through and including September 30, 2022. The Term C Loan will be available, subject to customary terms and conditions, only during the period commencing upon the achievement of an additional specific clinical milestone relating to ensifentrine through and including June 30,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will mature on November 1, 2024. Each advance under the Term Loan accrues interest at a floating per annum rate equal to the greater of</w:t>
      </w:r>
    </w:p>
    <w:p>
      <w:pPr>
        <w:spacing w:after="0" w:line="16" w:lineRule="exact"/>
        <w:rPr>
          <w:sz w:val="20"/>
          <w:szCs w:val="20"/>
          <w:color w:val="auto"/>
        </w:rPr>
      </w:pPr>
    </w:p>
    <w:p>
      <w:pPr>
        <w:jc w:val="both"/>
        <w:ind w:firstLine="8"/>
        <w:spacing w:after="0" w:line="228" w:lineRule="auto"/>
        <w:tabs>
          <w:tab w:leader="none" w:pos="2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prime rate reported in The Wall Street Journal plus 1.00% and (b) four and one-quarter of one percent (4.25%). The Term Loan provides for interest-only payments on a monthly basis until the payment date immediately preceding December 1, 2023. Thereafter, amortization payments will be payable monthly in equal installments of principal plus monthly payments of accrued interest. Upon repayment (whether at maturity, upon acceleration or by prepayment or otherwise), the Borrowers shall make a final payment to SVB in the amount of 10% of the aggregate Term Loans advanced (the "Final Payment"). The Borrowers may prepay the Term Loan in full but not in part provided that the Borrowers (i) provide ten days’ prior written notice to SVB,</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on the date of such prepayment (A) all outstanding principal plus accrued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unpaid interest, (B) a prepayment fee of $450,000 plus 3.0% of the Term C Loans advanced if paid on or before the first anniversary of the closing date; $300,000 plus 2.00% of the Term C Loans advanced if paid after the first anniversary of the closing date and on or before the second anniversary of the closing date; and $150,000 plus 1.00% of the Term C Loans advanced if paid thereafter and prior to maturity, (C) the Final Payment and (D) all other sums, if any, that shall become due and payable with respect to the Term Loan Advances, including interest at the Default Rate with respect to any past due amounts. Amounts outstanding during an event of default are payable upon SVB's demand and shall accrue interest at an additional rate of 3.0% per annum.</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Term Loan is secured by a lien on substantially all of the assets of the Borrowers, other than the equity interests of Verona U.S. and other than intellectual property, provided that such lien on substantially all assets includes any rights to payments and proceeds from the sale, licensing or disposition of intellectual property. The Borrowers have also granted SVB a negative pledge with respect to its intellectual property.</w:t>
      </w:r>
    </w:p>
    <w:p>
      <w:pPr>
        <w:spacing w:after="0" w:line="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SVB. The Loan Agreement includes a minimum cash covenant triggered when Borrowers' consolidated cash and cash equivalents drop below $45.0 million at any time after the earliest to occur of any of the following: (i) the release of negative data from ENHANCE-2 and/or ENHANCE-1, which in the reasonable business discretion Borrowers’ senior management, would be considered insufficient to support submission of an NDA to the FDA, (ii) the FDA issues a complete response letter with respect to an NDA submitted for ensifentrine, or (iii) failure to achieve a specific regulatory milestone relating to ensifentrine by June 30, 2023 (extendable to March 31, 2024 upon the Borrowers receiving a specified amount of new cash proceeds after September 8, 2020 from the sale of equity securities in one or more public financings or other bona fide equity financings, subordinated debt and/or upfront/milestone payments from one or more collaboration agreements not prohibited in the Loan Agreement). Upon such trigger, Borrowers must cash collateralize an amount equal to the outstanding obligations to SVB plus the amount of any prepayment penalty and Final Payment which would be due in the event the Loan Agreement were prepaid in full with respect to the Term Loans advanced as of such time.</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June 30, 2022, the carrying value of the Term Loan was approximately $5.0 million, of which all was due in more than 12 months. The debt balance has been categorized within Level 3 of the fair value hierarchy. The carrying amount of the debt approximates its fair value based on prevailing interest rates as of the balance sheet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 interest</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follows guidance from ASC 321-10-35-2 and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 As of June 30, 2022, there had been no observable transactions to indicate any price changes in the value of Nuance Biotech’s stock, nor had there been any indications of impairment. The equity interest is therefore recorded at a value of $15.0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Significant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Ligand agreement</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contingent liability comprises a milestone payment (the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7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At the time of the acquisition the contingent liability was not recognized as part of the acquisition accounting as it was immaterial. The Company will therefore record as a research and development expense the Milestone Payment or royalties when they are probable.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the Company entered into an Amendment Agreement (the “Amendment”) with Ligand whereby the Ligand Agreement was amended to clarify certain ambiguous terms in the Ligand Agreement. Pursuant to the Amendment:</w:t>
      </w:r>
    </w:p>
    <w:p>
      <w:pPr>
        <w:spacing w:after="0" w:line="41" w:lineRule="exact"/>
        <w:rPr>
          <w:sz w:val="20"/>
          <w:szCs w:val="20"/>
          <w:color w:val="auto"/>
        </w:rPr>
      </w:pPr>
    </w:p>
    <w:p>
      <w:pPr>
        <w:jc w:val="both"/>
        <w:ind w:firstLine="8"/>
        <w:spacing w:after="0"/>
        <w:tabs>
          <w:tab w:leader="none" w:pos="6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pay to Ligand (i) $2.0 million within five business days of the date of the Amendment and (ii) $15.0 million upon the first commercial sale of ensifentrine by the Company or a sub-licensee, which amount is payable in cash or, at the Company's discretion, by the issuance of Company equity of equivalent value, as determined based on the volume-weighted average price of the Company's American Depositary Shares on the Nasdaq Global Market over the ten (10) trading days including and prior to such milestone event;</w:t>
      </w:r>
    </w:p>
    <w:p>
      <w:pPr>
        <w:spacing w:after="0" w:line="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Ligand Agreement shall expire on March 24, 2042 unless terminated earlier by either party in accordance with its terms;</w:t>
      </w:r>
    </w:p>
    <w:p>
      <w:pPr>
        <w:spacing w:after="0" w:line="90" w:lineRule="exact"/>
        <w:rPr>
          <w:rFonts w:ascii="Times New Roman" w:cs="Times New Roman" w:eastAsia="Times New Roman" w:hAnsi="Times New Roman"/>
          <w:sz w:val="18"/>
          <w:szCs w:val="18"/>
          <w:color w:val="auto"/>
        </w:rPr>
      </w:pPr>
    </w:p>
    <w:p>
      <w:pPr>
        <w:ind w:firstLine="8"/>
        <w:spacing w:after="0" w:line="266" w:lineRule="auto"/>
        <w:tabs>
          <w:tab w:leader="none" w:pos="6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 may be paid in cash or, at the Company’s discretion, by issuing to Ligand shares in the Company of equivalent value; and</w:t>
      </w:r>
    </w:p>
    <w:p>
      <w:pPr>
        <w:spacing w:after="0" w:line="90" w:lineRule="exact"/>
        <w:rPr>
          <w:rFonts w:ascii="Times New Roman" w:cs="Times New Roman" w:eastAsia="Times New Roman" w:hAnsi="Times New Roman"/>
          <w:sz w:val="18"/>
          <w:szCs w:val="18"/>
          <w:color w:val="auto"/>
        </w:rPr>
      </w:pPr>
    </w:p>
    <w:p>
      <w:pPr>
        <w:ind w:firstLine="8"/>
        <w:spacing w:after="0" w:line="266" w:lineRule="auto"/>
        <w:tabs>
          <w:tab w:leader="none" w:pos="6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5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accounted for the $2.0 million payment at execution as selling, general and administrative expense in the condensed consolidated statements of operations as the payment is related to a contract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Nuance agreement</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 The Company is eligible to receive future milestone payments of up to $179.0 million triggered upon achievement of certain clinical, regulatory, and commercial milestones, as well as tiered double-digit royalties as a percentage of net sales of the products in Greater China.</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of September 30, 2021, the $25.0 million cash payment and $15.0 million equity interest had been received and the holding in Nuance Biotech was recorded as Equity Interest on our unaudited condensed consolidated balance sheets. The Company follows guidance from ASC 321-10-35-2 and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 As of June 30, 2022, there had been no other transactions to indicate any price changes in the value of Nuance Biotech’s stock, nor had there been any indications of impairment. The Equity Interest is therefore recorded at a value of $15 million.</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Under the terms of the Nuance Agreement, at any time until three months prior to the expected submission of the first New Drug Application in Greater China, if (i) a third party is interested in partnering with the Company, either globally or in territory covering at least the United States or Europe, for the development and/or commercialization of ensifentrine or (ii) the Company undergoes a change of control, the Company will have an exclusive option right to buy back the license granted to Nuance Pharma and all related assets. The price is agreed to be equal to the aggregate of (i) all prior amounts paid by Nuance Pharma to the Company in cash under the agreement and (ii) all development and regulatory costs incurred and paid by Nuance Pharma in connection with the development and commercialization of ensifentrine under the Nuance Agreement multiplied by a single-digit factor range dependent upon achievement of certain milestones, subject to a specified maximum amount.</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reviewed the buy-back option and determined that because it is conditional on a third party the Company does not have the practical ability to exercise it and, accordingly, the contract is accounted for under ASC 606.</w:t>
      </w:r>
    </w:p>
    <w:p>
      <w:pPr>
        <w:spacing w:after="0" w:line="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transaction price at the Effective Date of the Nuance Agreement was $40.0 million consisting of the $25.0 million upfront cash payment and $15.0 million equity interest. Developmental and regulatory milestones, and the manufacture and supply of ensifentrine drug product, were not included in the transaction price as management determined that it is not probable that a significant reversal in the amount of cumulative revenue recognized will not occur. Commercial milestones and sales royalties were also excluded and will be recognized when the milestones are achieved or the sales occur in Greater China.</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has determined that the license and the know how shared with Nuance Pharma constitutes functional intellectual property and that revenue relating to this should be recognized at a point in time. Consequently, the Company determined that it fulfilled its obligations to Nuance Pharma after it delivered the know how that will allow Nuance Pharma to file an investigational new drug application in Greater China. This know how was delivered in the year ended December 31, 2021, and the $40.0 million revenue was therefore recognized as revenue in the year ended December 31, 2021. Revenue relating to the manufacture and supply obligations will be recognized when the drug product is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shows the allocation of share-based compensation between research and development and selling, general and administrative costs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2740" w:type="dxa"/>
            <w:vAlign w:val="bottom"/>
            <w:gridSpan w:val="6"/>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3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Share options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3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share option activity, in ordinary shares, in the period:</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4"/>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 share</w:t>
            </w:r>
          </w:p>
        </w:tc>
        <w:tc>
          <w:tcPr>
            <w:tcW w:w="120" w:type="dxa"/>
            <w:vAlign w:val="bottom"/>
          </w:tcPr>
          <w:p>
            <w:pPr>
              <w:spacing w:after="0"/>
              <w:rPr>
                <w:sz w:val="14"/>
                <w:szCs w:val="14"/>
                <w:color w:val="auto"/>
              </w:rPr>
            </w:pP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20" w:type="dxa"/>
            <w:vAlign w:val="bottom"/>
          </w:tcPr>
          <w:p>
            <w:pPr>
              <w:spacing w:after="0"/>
              <w:rPr>
                <w:sz w:val="16"/>
                <w:szCs w:val="16"/>
                <w:color w:val="auto"/>
              </w:rPr>
            </w:pPr>
          </w:p>
        </w:tc>
        <w:tc>
          <w:tcPr>
            <w:tcW w:w="12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37"/>
        </w:trPr>
        <w:tc>
          <w:tcPr>
            <w:tcW w:w="536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12,695,200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608,000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13,303,200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1,760,000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15,063,200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 activity</w:t>
            </w:r>
          </w:p>
        </w:tc>
        <w:tc>
          <w:tcPr>
            <w:tcW w:w="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3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shows restricted stock unit (“RSU”) activity, in ordinary shares, in the period: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20" w:type="dxa"/>
            <w:vAlign w:val="bottom"/>
          </w:tcPr>
          <w:p>
            <w:pPr>
              <w:spacing w:after="0"/>
              <w:rPr>
                <w:sz w:val="15"/>
                <w:szCs w:val="15"/>
                <w:color w:val="auto"/>
              </w:rPr>
            </w:pP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37"/>
        </w:trPr>
        <w:tc>
          <w:tcPr>
            <w:tcW w:w="536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38,347,352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(3,943,144)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34,872,432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(3,752,488)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31,119,944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Net loss per share</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loss per share is calculated on an ordinary share basis. The Company’s ADSs that are listed on the Nasdaq Global Market each represent eight ordinary shares. The following table shows the computation of basic and diluted net loss per share for the three and six months ended June 30, 2022 and 2021 (net loss in thousands, loss per share in dollars):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62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3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3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(43,358)</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484,777,837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470,786,767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483,226,039</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469,036,978</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outstanding share options, RSUs and warrants over 46,183,144 and 75,713,291 ordinary shares, respectively, were not included in the computation of diluted earnings per ordinary share, because to do so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is currently negotiating a matter with a supplier that has an estimated exposure of approximately $1.3 million. Management does not currently consider it probable that a payment will be made and therefore no accrual is recorded at June 30, 2022. This matter is expected to be resolved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2021 filed with the Securities and Exchange Commission on March 3, 2022 (the “2021 Form 10-K”).</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research and development costs, timing and likelihood of success, potential collaborations, our estimates regarding expenses, future revenues, capital requirements, debt service obligations and our need for additional financing, the funding we expect to become available from cash receipts from U.K. tax credits, and the sufficiency of our cash and cash equivalents to fund operations, are forward-looking statements.</w:t>
      </w:r>
    </w:p>
    <w:p>
      <w:pPr>
        <w:spacing w:after="0" w:line="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 Item 1A of the 2021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spacing w:after="0" w:line="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dual inhibitor of the enzymes phosphodiesterase 3 and 4 (“PDE3” and “PDE4”), which is designed to act as both a bronchodilator and an anti-inflammatory agent.</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the third quarter of 2020, we commenced our Phase 3 ENHANCE (“Ensifentrine as a Novel inHAled Nebulized COPD thErapy”) trials evaluating nebulized ensifentrine for the maintenance treatment of COPD. In August 2022, we announced positive top-line results from the ENHANCE-2 trial. ENHANCE-2 successfully met its primary endpoint, as well as secondary endpoints demonstrating improvements in lung function, and significantly reduced the rate and risk of COPD exacerbations. Ensifentrine was well tolerated with safety results similar to placebo.</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to report top-line results from ENHANCE-1 around the end of 2022. Conditional upon positive results, we expect to submit a New Drug Application (“NDA”) to the US Food and Drug Administration (“FDA”) in the first half of 2023 for inhaled ensifentrine for the maintenance treatment of chronic obstructive pulmonary disease (“COPD”).</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incurred recurring losses and negative cash flows from operations since inception, and have an accumulated deficit of $306.7 million as of June 30, 2022. We expect to incur additional losses and negative cash flows from operations until our product candidates potentially gain regulatory approval and reach commercial profitability, if at all.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significant expenses in connection with our ongoing activities, as we:</w:t>
      </w:r>
    </w:p>
    <w:p>
      <w:pPr>
        <w:spacing w:after="0" w:line="10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infrastructure and prepare for potential commercial launch;</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the clinical development of ensifentrine for the treatment of COPD or other indications;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ensifentrine and engage in other Chemistry, Manufacturing and Controls activities; and</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believe that our cash and cash equivalents as of June 30, 2022, expected cash receipts from U.K. tax credits and funding expected to become available under the $30.0 million term loan secured in November 2020, will enable us to fund our planned operating expenses and capital expenditure requirements through at least the end of 2023. The Term Loan advances are contingent upon achievement of certain clinical development milestones and other specified conditions. See “Indebtedness”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update</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August 2022, we announced positive top-line results from our Phase 3 ENHANCE-2 clinical trial evaluating nebulized ensifentrine for the maintenance treatment of COPD. ENHANCE-2 successfully met its primary endpoint, as well as secondary endpoints demonstrating improvements in lung function, and significantly reduced the rate and risk of COPD exacerbations.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31" w:lineRule="exact"/>
        <w:rPr>
          <w:sz w:val="20"/>
          <w:szCs w:val="20"/>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Study population (n=789):</w:t>
      </w:r>
    </w:p>
    <w:p>
      <w:pPr>
        <w:spacing w:after="0" w:line="12"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2"/>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Subject demographics and disease characteristics were well balanced between treatment groups.</w:t>
      </w:r>
    </w:p>
    <w:p>
      <w:pPr>
        <w:spacing w:after="0" w:line="22" w:lineRule="exact"/>
        <w:rPr>
          <w:rFonts w:ascii="Arial" w:cs="Arial" w:eastAsia="Arial" w:hAnsi="Arial"/>
          <w:sz w:val="22"/>
          <w:szCs w:val="22"/>
          <w:color w:val="auto"/>
        </w:rPr>
      </w:pPr>
    </w:p>
    <w:p>
      <w:pPr>
        <w:jc w:val="both"/>
        <w:ind w:left="660" w:right="300" w:hanging="4"/>
        <w:spacing w:after="0" w:line="239" w:lineRule="auto"/>
        <w:tabs>
          <w:tab w:leader="none" w:pos="1304" w:val="left"/>
        </w:tabs>
        <w:numPr>
          <w:ilvl w:val="2"/>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Approximately 52% of subjects received background COPD therapy, either a long-acting muscarinic antagonist (“LAMA”) or a long-acting beta-agonist (“LABA”). Additionally, approximately 15% of all subjects also received inhaled corticosteroids (“ICS”) with concomitant LAMA or LABA.</w:t>
      </w:r>
    </w:p>
    <w:p>
      <w:pPr>
        <w:spacing w:after="0" w:line="2" w:lineRule="exact"/>
        <w:rPr>
          <w:rFonts w:ascii="Arial" w:cs="Arial" w:eastAsia="Arial" w:hAnsi="Arial"/>
          <w:sz w:val="22"/>
          <w:szCs w:val="22"/>
          <w:color w:val="auto"/>
        </w:rPr>
      </w:pPr>
    </w:p>
    <w:p>
      <w:pPr>
        <w:ind w:left="660" w:hanging="652"/>
        <w:spacing w:after="0" w:line="202"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Primary endpoint met (FEV</w:t>
      </w:r>
      <w:r>
        <w:rPr>
          <w:rFonts w:ascii="Times New Roman" w:cs="Times New Roman" w:eastAsia="Times New Roman" w:hAnsi="Times New Roman"/>
          <w:sz w:val="23"/>
          <w:szCs w:val="23"/>
          <w:b w:val="1"/>
          <w:bCs w:val="1"/>
          <w:color w:val="auto"/>
          <w:vertAlign w:val="subscript"/>
        </w:rPr>
        <w:t>1</w:t>
      </w:r>
      <w:r>
        <w:rPr>
          <w:rFonts w:ascii="Times New Roman" w:cs="Times New Roman" w:eastAsia="Times New Roman" w:hAnsi="Times New Roman"/>
          <w:sz w:val="18"/>
          <w:szCs w:val="18"/>
          <w:b w:val="1"/>
          <w:bCs w:val="1"/>
          <w:color w:val="auto"/>
        </w:rPr>
        <w:t>* AUC 0-12 hr):</w:t>
      </w:r>
    </w:p>
    <w:p>
      <w:pPr>
        <w:ind w:left="660" w:right="820" w:hanging="4"/>
        <w:spacing w:after="0" w:line="236" w:lineRule="auto"/>
        <w:tabs>
          <w:tab w:leader="none" w:pos="1304" w:val="left"/>
        </w:tabs>
        <w:numPr>
          <w:ilvl w:val="2"/>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Placebo corrected, the change from baseline in average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area under the curve 0-12 hours post dose at week 12 was 94 mL (p&lt;0.0001) for ensifentrine.</w:t>
      </w:r>
    </w:p>
    <w:p>
      <w:pPr>
        <w:spacing w:after="0" w:line="1" w:lineRule="exact"/>
        <w:rPr>
          <w:rFonts w:ascii="Arial" w:cs="Arial" w:eastAsia="Arial" w:hAnsi="Arial"/>
          <w:sz w:val="22"/>
          <w:szCs w:val="22"/>
          <w:color w:val="auto"/>
        </w:rPr>
      </w:pPr>
    </w:p>
    <w:p>
      <w:pPr>
        <w:ind w:left="660" w:right="260" w:hanging="4"/>
        <w:spacing w:after="0" w:line="210" w:lineRule="auto"/>
        <w:tabs>
          <w:tab w:leader="none" w:pos="1297" w:val="left"/>
        </w:tabs>
        <w:numPr>
          <w:ilvl w:val="2"/>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Statistically significant and clinically meaningful improvements with ensifentrine demonstrated across all subgroups including gender, age, smoking status, COPD severity, background medication, ICS use, chronic bronchitis,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reversibility, and geographic region.</w:t>
      </w:r>
    </w:p>
    <w:p>
      <w:pPr>
        <w:spacing w:after="0" w:line="1" w:lineRule="exact"/>
        <w:rPr>
          <w:rFonts w:ascii="Arial" w:cs="Arial" w:eastAsia="Arial" w:hAnsi="Arial"/>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Secondary endpoints of lung function met:</w:t>
      </w:r>
    </w:p>
    <w:p>
      <w:pPr>
        <w:spacing w:after="0" w:line="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2"/>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Placebo corrected, increase in peak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of 146 mL (p&lt;0.0001) 0-4 hours post dose at week 12.</w:t>
      </w:r>
    </w:p>
    <w:p>
      <w:pPr>
        <w:spacing w:after="0" w:line="6" w:lineRule="exact"/>
        <w:rPr>
          <w:rFonts w:ascii="Arial" w:cs="Arial" w:eastAsia="Arial" w:hAnsi="Arial"/>
          <w:sz w:val="22"/>
          <w:szCs w:val="22"/>
          <w:color w:val="auto"/>
        </w:rPr>
      </w:pPr>
    </w:p>
    <w:p>
      <w:pPr>
        <w:ind w:left="1300" w:hanging="644"/>
        <w:spacing w:after="0" w:line="221" w:lineRule="auto"/>
        <w:tabs>
          <w:tab w:leader="none" w:pos="1300" w:val="left"/>
        </w:tabs>
        <w:numPr>
          <w:ilvl w:val="2"/>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Placebo corrected, increase in morning trough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of 49 mL (p=0.0017) at week 12, confirming twice daily dosing regimen.</w:t>
      </w: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Exacerbation rate reduced:</w:t>
      </w:r>
    </w:p>
    <w:p>
      <w:pPr>
        <w:spacing w:after="0" w:line="29" w:lineRule="exact"/>
        <w:rPr>
          <w:rFonts w:ascii="Times New Roman" w:cs="Times New Roman" w:eastAsia="Times New Roman" w:hAnsi="Times New Roman"/>
          <w:sz w:val="18"/>
          <w:szCs w:val="18"/>
          <w:b w:val="1"/>
          <w:bCs w:val="1"/>
          <w:color w:val="auto"/>
        </w:rPr>
      </w:pPr>
    </w:p>
    <w:p>
      <w:pPr>
        <w:ind w:left="660" w:right="480" w:hanging="4"/>
        <w:spacing w:after="0" w:line="242" w:lineRule="auto"/>
        <w:tabs>
          <w:tab w:leader="none" w:pos="1304" w:val="left"/>
        </w:tabs>
        <w:numPr>
          <w:ilvl w:val="2"/>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Subjects receiving ensifentrine demonstrated a 42% reduction in the rate of moderate to severe COPD exacerbations over 24 weeks compared to those receiving placebo (p=0.0109).</w:t>
      </w:r>
    </w:p>
    <w:p>
      <w:pPr>
        <w:ind w:left="660" w:right="160" w:hanging="4"/>
        <w:spacing w:after="0" w:line="250" w:lineRule="auto"/>
        <w:tabs>
          <w:tab w:leader="none" w:pos="130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ensifentrine significantly decreased the risk of a moderate/severe exacerbation as measured by time to first exacerbation when compared with placebo by 42% (p=0.0088).</w:t>
      </w: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COPD symptoms and Quality of Life (“QOL”):</w:t>
      </w:r>
    </w:p>
    <w:p>
      <w:pPr>
        <w:spacing w:after="0" w:line="9" w:lineRule="exact"/>
        <w:rPr>
          <w:rFonts w:ascii="Times New Roman" w:cs="Times New Roman" w:eastAsia="Times New Roman" w:hAnsi="Times New Roman"/>
          <w:sz w:val="18"/>
          <w:szCs w:val="18"/>
          <w:b w:val="1"/>
          <w:bCs w:val="1"/>
          <w:color w:val="auto"/>
        </w:rPr>
      </w:pPr>
    </w:p>
    <w:p>
      <w:pPr>
        <w:jc w:val="both"/>
        <w:ind w:left="660" w:hanging="4"/>
        <w:spacing w:after="0" w:line="250" w:lineRule="auto"/>
        <w:tabs>
          <w:tab w:leader="none" w:pos="1331"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symptoms and QOL as measured by E-RS** Total Score and SGRQ** Total Score in the ensifentrine group improved from baseline to greater than the minimal clinically important difference (“MCID”) of -2 units and -4 units, respectively, at week 24. Improvements in these measures were seen as early as 6 weeks and showed continued improvement at 12 and 24 weeks, numerically exceeding placebo at each measurement. Statistical significance was not achieved due to improvements observed in the placebo group over time.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Favorable safety profile:</w:t>
      </w:r>
    </w:p>
    <w:p>
      <w:pPr>
        <w:spacing w:after="0" w:line="31" w:lineRule="exact"/>
        <w:rPr>
          <w:rFonts w:ascii="Times New Roman" w:cs="Times New Roman" w:eastAsia="Times New Roman" w:hAnsi="Times New Roman"/>
          <w:sz w:val="18"/>
          <w:szCs w:val="18"/>
          <w:b w:val="1"/>
          <w:bCs w:val="1"/>
          <w:color w:val="auto"/>
        </w:rPr>
      </w:pPr>
    </w:p>
    <w:p>
      <w:pPr>
        <w:ind w:left="660" w:right="880" w:hanging="4"/>
        <w:spacing w:after="0" w:line="234" w:lineRule="auto"/>
        <w:tabs>
          <w:tab w:leader="none" w:pos="1304" w:val="left"/>
        </w:tabs>
        <w:numPr>
          <w:ilvl w:val="2"/>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Ensifentrine was well tolerated with safety results similar to placebo, including occurrence of pneumonia, gastrointestinal and cardiovascular adverse events.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Forced Expiratory Volume in one second, a standard measure of lung function</w:t>
      </w:r>
    </w:p>
    <w:p>
      <w:pPr>
        <w:spacing w:after="0" w:line="111" w:lineRule="exact"/>
        <w:rPr>
          <w:sz w:val="20"/>
          <w:szCs w:val="20"/>
          <w:color w:val="auto"/>
        </w:rPr>
      </w:pPr>
    </w:p>
    <w:p>
      <w:pPr>
        <w:ind w:right="1060"/>
        <w:spacing w:after="0" w:line="352" w:lineRule="auto"/>
        <w:rPr>
          <w:sz w:val="20"/>
          <w:szCs w:val="20"/>
          <w:color w:val="auto"/>
        </w:rPr>
      </w:pPr>
      <w:r>
        <w:rPr>
          <w:rFonts w:ascii="Times New Roman" w:cs="Times New Roman" w:eastAsia="Times New Roman" w:hAnsi="Times New Roman"/>
          <w:sz w:val="18"/>
          <w:szCs w:val="18"/>
          <w:color w:val="auto"/>
        </w:rPr>
        <w:t>**E-RS, Evaluating Respiratory Symptoms, and SGRQ, St. George’s Respiratory Questionnaire, are validated patient reported outcome tools We plan to release additional information from ENHANCE-2 at upcoming scientific conferences.</w:t>
      </w: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2022, we completed enrollment in our Phase 3 ENHANCE-1 clinical trial with more than 800 patients randomized. Based on our current models of study progress, we expect to report top-line data for ENHANCE-1 around the end of 2022.</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two randomized, double-blind placebo-controlled studies (ENHANCE-1 and ENHANCE-2) evaluate the efficacy and safety of nebulized ensifentrine in subjects with COPD as monotherapy and added onto a single bronchodilator, either a LAMA or a LABA, compared to placebo, and up to approximately 20% of subjects may receive ICS. The two study designs replicate measurements of efficacy and safety data over 24 weeks and ENHANCE-1 also evaluates longer-term safety over 48 weeks. The primary endpoint of both studies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1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improvement in lung function, as measured by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 xml:space="preserve"> area under curve (“AUC”) 0-12 hours post dose at week 12. Key secondary endpoints comprise measurements of COPD symptoms and health-related quality of life measures, including SGRQ and E-RS.</w:t>
      </w:r>
    </w:p>
    <w:p>
      <w:pPr>
        <w:spacing w:after="0" w:line="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design of the ENHANCE program was based on analysis of our two Phase 2b clinical trials, which each enrolled 400 subjects with moderate to severe COPD. The attributes of the patient population enrolled in the ENHANCE program are consistent with those enrolled in prior Phase 2b trials of ensifentrine including demographics and baseline COPD characteristics, including smoking history, lung function, symptoms and quality of life measures.</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May 2022, we presented a successful thorough QT analysis demonstrating ensifentrine had no clinically relevant effect on the QT interval or cardiac conduction at the American Thoracic Society International Conference (“ATS”) 2022. The abstract was published on the ATS website and in the peer reviewed publication, </w:t>
      </w:r>
      <w:r>
        <w:rPr>
          <w:rFonts w:ascii="Times New Roman" w:cs="Times New Roman" w:eastAsia="Times New Roman" w:hAnsi="Times New Roman"/>
          <w:sz w:val="18"/>
          <w:szCs w:val="18"/>
          <w:i w:val="1"/>
          <w:iCs w:val="1"/>
          <w:color w:val="auto"/>
        </w:rPr>
        <w:t>American Journal of Respiratory and Critical Care Medicine.</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2022, we hosted an investor event where leading pulmonologists discussed the COPD treatment landscape, including unmet needs, and the treatment paradigm.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monitor the potential impact of the COVID-19 pandemic on our operations and clinical trials, in particular the timelines and costs of its Phase 3 clinical program ENHANCE. The pandemic and government and other measures in response continue to impact a number of clinical trial activities and management will provide an update if it becomes aware of any meaningful disruption caused by the pandemic to its clinical trials.</w:t>
      </w:r>
    </w:p>
    <w:p>
      <w:pPr>
        <w:spacing w:after="0" w:line="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help protect the health and safety of the subjects, caregivers and healthcare professionals involved in its clinical trials, as well as its employees and independent contractors, we continue to follow guidance from the FDA and other health regulatory authorities regarding the conduct of clinical trials during the COVID-19 pandemic to ensure the safety of study participants, minimize risks to study integrity, and maintain compliance with good clinical practice.</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COVID-19 pandemic is disrupting supply chains, and employee retention and recruitment, globally and management is closely monitoring this situation and will provide an update if we become aware of any meaningful disruption caused by the pandemic to the supply of ensifentrine and drug-related products, equipment and services for our clinical trials.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Russia-Ukraine Conflict</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conducting ENHANCE-1 at a number of clinical trial sites in Russia and Europe (but not including Ukraine). The sanctions and other restrictions imposed by the U.S. and other countries as a result of the current conflict between Russia and Ukraine are impacting, and may continue to impact, our outsourced clinical research vendor’s ability to pay the clinical trial sites and investigators in Russia and may impact the vendor’s ability to supply ensifentrine and equipment to the sites and validate their trial data. If the conflict extends into other countries in Europe where our clinical trials are being conducted, our clinical trial activities in those countries may also be impacted. Management is closely monitoring the Russia-Ukraine conflict and will provide an update if we become aware of any meaningful disruption to the cost and timelines of our Phase 3 program or our plans to submit an NDA for ensifentrine.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Ligand agreement</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contingent liability comprises a milestone payment (the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time of the acquisition the contingent liability was not recognized as part of the acquisition accounting as it was immaterial. We will therefore record as a research and development expense the Milestone Payment or royalties when they are probable.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we entered into an Amendment Agreement (the “Amendment”) with Ligand whereby the Ligand Agreement was amended to clarify certain ambiguous terms in the Ligand Agreement. Pursuant to the Amendment:</w:t>
      </w:r>
    </w:p>
    <w:p>
      <w:pPr>
        <w:spacing w:after="0" w:line="41" w:lineRule="exact"/>
        <w:rPr>
          <w:sz w:val="20"/>
          <w:szCs w:val="20"/>
          <w:color w:val="auto"/>
        </w:rPr>
      </w:pPr>
    </w:p>
    <w:p>
      <w:pPr>
        <w:jc w:val="both"/>
        <w:ind w:firstLine="8"/>
        <w:spacing w:after="0"/>
        <w:tabs>
          <w:tab w:leader="none" w:pos="6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pay to Ligand (i) $2.0 million within five business days of the date of the Amendment and (ii) $15.0 million upon the first commercial sale of ensifentrine by us or a sub-licensee, which amount is payable in cash or, at the our discretion, by the issuance of Company equity of equivalent value, as determined based on the volume-weighted average price of the our American Depositary Shares on the Nasdaq Global Market over the ten (10) trading days including and prior to such milestone event;</w:t>
      </w:r>
    </w:p>
    <w:p>
      <w:pPr>
        <w:spacing w:after="0" w:line="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Ligand Agreement shall expire on March 24, 2042 unless terminated earlier by either party in accordance with its terms;</w:t>
      </w:r>
    </w:p>
    <w:p>
      <w:pPr>
        <w:spacing w:after="0" w:line="90" w:lineRule="exact"/>
        <w:rPr>
          <w:rFonts w:ascii="Times New Roman" w:cs="Times New Roman" w:eastAsia="Times New Roman" w:hAnsi="Times New Roman"/>
          <w:sz w:val="18"/>
          <w:szCs w:val="18"/>
          <w:color w:val="auto"/>
        </w:rPr>
      </w:pPr>
    </w:p>
    <w:p>
      <w:pPr>
        <w:ind w:firstLine="8"/>
        <w:spacing w:after="0" w:line="266" w:lineRule="auto"/>
        <w:tabs>
          <w:tab w:leader="none" w:pos="7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 may be paid in cash or, at our discretion, by issuing to Ligand shares in the Company of equivalent value; and</w:t>
      </w:r>
    </w:p>
    <w:p>
      <w:pPr>
        <w:spacing w:after="0" w:line="90" w:lineRule="exact"/>
        <w:rPr>
          <w:rFonts w:ascii="Times New Roman" w:cs="Times New Roman" w:eastAsia="Times New Roman" w:hAnsi="Times New Roman"/>
          <w:sz w:val="18"/>
          <w:szCs w:val="18"/>
          <w:color w:val="auto"/>
        </w:rPr>
      </w:pPr>
    </w:p>
    <w:p>
      <w:pPr>
        <w:ind w:firstLine="8"/>
        <w:spacing w:after="0" w:line="266" w:lineRule="auto"/>
        <w:tabs>
          <w:tab w:leader="none" w:pos="6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Nuance agreement</w:t>
      </w:r>
    </w:p>
    <w:p>
      <w:pPr>
        <w:spacing w:after="0" w:line="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entered into a collaboration and license agreement (the “Nuance Agreement”) with Nuance Pharma Limited (“Nuance Pharma”) effective June 9, 2021 (the “Effective Date”) under which we granted Nuance Pharma the exclusive rights to develop and commercialize ensifentrine in Greater China (China, Taiwan, Hong Kong and Macau). In return, we received an unconditional right to consideration aggregating $40.0 million consisting of $25.0 million in cash and an equity interest valued at $15.0 million as of the Effective Date in Nuance Biotech, the parent company of Nuance Pharma. We are eligible to receive future milestone payments of up to $179.0 million, triggered upon achievement of certain clinical, regulatory, and commercial milestones as well as tiered double-digit royalties on net sales in Greater China.</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of September 30, 2021, the $25.0 million cash payment and $15.0 million equity interest had been received and the holding in Nuance Biotech was recorded as Equity Interest on our unaudited condensed consolidated balance sheet. The equity interest is recorded at the fair value indicated by the last observable transaction in Nuance Biotech’s stock, which was a fund raising in November, 2020. As of June 30, 2022, there had been no other observable transactions to indicate any price changes in the value of Nuance Biotech’s stock, nor had there been any indications of impairment. The equity interest is therefore recorded at a value of $15.0 million.</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Nuance Pharma will be responsible for all costs related to clinical development and commercialization of ensifentrine in Greater China. A joint steering committee has been established between us and Nuance Pharma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oversee and coordinate the overall conduct of such clinical development and commercialization. We intend to use the joint steering committee to help ensure the clinical development of ensifentrine in Greater China aligns with our overall global development and commercialization strategy.</w:t>
      </w:r>
    </w:p>
    <w:p>
      <w:pPr>
        <w:spacing w:after="0" w:line="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Under the terms of the Nuance Agreement, at any time until three months prior to the expected submission of the first New Drug Application in Greater China, if (i) a third party is interested in partnering with us, either globally or in territory covering at least the United States or Europe, for the development and/or commercialization of ensifentrine or (ii) we undergo a change of control, we will have an exclusive option right to buy back the license granted to Nuance Pharma and all related assets. The price is agreed to be equal to the aggregate of (i) all prior amounts paid by Nuance Pharma to us in cash under the agreement and (ii) all development and regulatory costs incurred and paid by Nuance Pharma in connection with the development and commercialization of the ensifentrine under the Nuance Agreement multiplied by a single-digit factor range dependent upon achievement of certain milestones, subject to a specified maximum amount.</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reviewed the buy-back option and determined that because it is conditional on a third party we do not have the practical ability to exercise it and, accordingly, the contract is accounted for under ASC 606.</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transaction price at the Effective Date of the Nuance Agreement was $40.0 million consisting of the $25.0 million upfront cash payment and $15.0 million equity interest. Developmental and regulatory milestones, and the manufacture and supply of ensifentrine drug product, were not included in the transaction price as we determined that it is not probable that a significant reversal in the amount of cumulative revenue recognized will not occur. Commercial milestones and sales royalties were also excluded and will be recognized when the milestones are achieved or the sales occur in Greater China.</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 We have determined that the manufacturing and supply was not at a discount.</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determined that the license and the know how shared with Nuance Pharma constitutes functional intellectual property and that revenue relating to this should be recognized at a point in time. Consequently, we have determined that we fulfilled our obligations to Nuance Pharma when we delivered the know how that will allow Nuance Pharma to file an investigational new drug application in Greater China. We delivered this know-how in the year ended December 31, 2021, and the $40.0 million revenue was therefore recognized as revenue in the year ended December 31, 2021. Revenue relating to the manufacture and supply obligations will be recognized when the drug product is delivered.</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Nuance Agreement, see Note 6 to our unaudited condensed consolidated financial statements and related notes included elsewhere in this Quarterly Report on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July 29, 2016, as part of a private placement we issued warrants to investors. The warrant holders could subscribe for an ordinary share at a per share exercise price of £1.7238. They could also opt for a cashless exercise of their warrants whereby they could choose to exchange the warrants held for a reduced number of warrants exercisable at nil consideration.</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after a transaction, should the warrants be exercisable for unlisted securities, the warrant holders were able to demand a cash payment instead of the delivery of the underlying securities. Accordingly, they were accounted for as a liability under ASC 480 “Distinguishing Liabilities from Equity” and recorded at fair value using the Black-Scholes valuation methodology, on recognition and at each reporting date. The warrants were exercisable by the holders until May 2, 2022. None of the warrants were exercised prior to their expiration.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November 2020 we and Verona Pharma Inc. entered into a term loan facility of up to $30.0 million with Silicon Valley Bank (the “Term Loan”). See “Indebtedness”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U.S.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consolidated financial statements include, but are not limited to, the recognition of revenue, the accrual and prepayment of research and development expenses, the fair value of share-based compensation, the carrying value of the equity interest in Nuance Pharma, research and development tax credit and the fair value of warrants. Estimates are periodically reviewed in light of changes in circumstances, facts and experience. Changes in estimates are recorded in the period in which they become known. Actual results could differ from our estimates. The accounting policies considered to be critical to the judgments and estimates used in the preparation of our financial statements are disclosed in the Management’s Discussion and Analysis of Financial Condition and Results of Operations included in our 2021 Form 10-K. There have been no material changes to that information disclosed in our 2021 Form 10-K during the six months ended June 30,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04" w:lineRule="exact"/>
        <w:rPr>
          <w:sz w:val="20"/>
          <w:szCs w:val="20"/>
          <w:color w:val="auto"/>
        </w:rPr>
      </w:pPr>
    </w:p>
    <w:p>
      <w:pPr>
        <w:ind w:left="340" w:hanging="332"/>
        <w:spacing w:after="0" w:line="250"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scale-up manufacturing capabilities to potentially commercialize any products for which we may obtain regulatory approval;</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Phase 3 clinical trials for ensifentrine for the maintenance treatment of COPD;</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our DPI and pMDI formulations of ensifentrine and research and develop other formulations of or combinations with ensifentrine;</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further clinical trials for ensifentrine for the treatment of acute COPD, CF or any other indication;</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progress pre-clinical studies relating to other potential indications of ensifentrine;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or</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Research and development costs consist of salary and personnel related costs and third party costs for our research and development activities for ensifentrine. Personnel related costs include a share-based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the phase 3 ENHANCE program is completing, over the next several quarters we expect our research and development costs to decrease until we add new compounds or develop ensifentrine further in other delivery methods or indications. Due to the nature of research and development, the expected costs are inherently uncertain and may vary significantly from our current expectations.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costs consist of salary and personnel related costs, including share-based compensation, expenses relating to operating as a public company, including professional fees, insurance and commercial related costs, as well as other operating expenses.</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commercial costs to increase as we continue to develop our commercial operations, prepare for a potential launch and, in the event of successful regulatory approval, incur sales force, marketing and other launch related costs. As we develop our knowledge of the market and refine our commercialization plans, expected costs may vary significantly from our current expectations.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income/(expense) are driven by interest income and expense, the fair value movement of the warrant liability, foreign exchange movements on cash and cash equivalents and taxes receivable, and the U.K. research and development tax credits.</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participate in the U.K. Small and Medium Enterprises research and development tax relief program. The tax credits are calculated as a percentage of qualifying research and development expenditure and are payable in cash by the U.K. government to us. Credits recorded in the 2021 financial year are expected to be received in the 2022 financial year.</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Effective January 1, 2022, this tax credit will be subject to a cap equal to a multiple of employment taxes the entity pays in the year in question. In July, 2022, we received a response to our clearance application from HMRC agreeing we meet certain conditions to qualify as an exception. Therefore, we have not applied the cap in determining the tax credit receivable.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corporate taxation in the United States and the United Kingdom. We have generated losses since inception and have therefore not paid United Kingdom corporation tax. The income taxes presented in our consolidated statements of operations and comprehensive loss represents the tax impact from our operating activities in the United States, which generates taxable income based on intercompany service arrangements.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 losses may be carried forward indefinitely to be offset against future taxable profits, subject to various utilization criteria and restrictions.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2022 and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statements of operations for the three months ended June 30, 2022 and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movement on warrants</w:t>
            </w:r>
          </w:p>
        </w:tc>
        <w:tc>
          <w:tcPr>
            <w:tcW w:w="3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30"/>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Research and development costs were $15.0 million for the three months ended June 30, 2022, compared to $20.6 million for the three months ended June 30, 2021, a decrease of $5.6 million. This decrease was primarily due to a $4.2 million decrease in clinical trial and other development costs, as we progressed to later stages of our Phase 3 ENHANCE program and a $1.9 million decrease in share-based compensation.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costs were $5.5 million for the three months ended June 30, 2022, compared to $8.0 million for the three months ended June 30, 2021, a decrease of $2.5 million, primarily due to a decrease in share-based compensation.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research and development tax credit for the three months ended June 30, 2022 was $5.4 million compared to $3.8 million for the three months ended June 30, 2021, an increase of $1.6 million. Based upon feedback received from HMRC in July 2022, we concluded a cap on this credit is not applicable for Verona Pharma in 2022. Therefore we recognized the full credit for expenditures made in the second quarter and also recognized an increase in the credit for expenditures made in the first quarter, which had been recognized previously as if the cap applied.</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recorded no movements in the three months ended June 30, 2022, compared to income of $2.7 million in the comparative period relating to the fair value movements of the warrants. The warrants expired in the three months ended June 30, 2022 and having previously no value in the three months ended March 31, 2022 no income was recorded. In the three months ended June 30, 2021, the reduction in liability was due to a decrease in the share price in that period and reduced volatility.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loss was $17.8 million for the three months ended June 30, 2022, compared to a net loss of $22.1 million for the three months ended June 30, 2021, because of the factors outlined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2022 and 2021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statements of operations for the six months ended June 30, 2022 and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movement on warrants</w:t>
            </w:r>
          </w:p>
        </w:tc>
        <w:tc>
          <w:tcPr>
            <w:tcW w:w="3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30"/>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Research and development costs were $32.6 million for the six months ended June 30, 2022, compared to $34.1 million for the six months ended June 30, 2021, a decrease of $1.5 million. This decrease was primarily due to a $3.8 million decrease in share-based compensation charges, partially offset by a $1.3 million increase in clinical trial and other development costs and a $0.7 million increase in clinical trial site audit and NDA filling preparation costs.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costs were $13.0 million for the six months ended June 30, 2022 compared to $17.3 million for the six months ended June 30, 2021, a decrease of $4.3 million. This decrease was driven primarily by a $5.7 million decrease in share-based compensation charges and a $0.5 million decrease in professional fees, partially offset by a $2.0 million charge related to the modification of the Ligand Agreement.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research and development tax credit for the six months ended June 30, 2022 was $6.7 million compared to $5.9 million for the six months ended June 30, 2021, an increase of $0.8 million. This increase is attributable to higher qualifying research and development expenditures in the six months ended June 30, 2022, compared to the comparative 2021 period.</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recorded no income in the six months ended June 30, 2022, compared to an income of $2.2 million in the comparative period relating to the fair value movements of the warrants. In the six months ended June 30, 2021, there was a reduction in liability due to a decrease in the share price in that period and reduced volatility.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loss was $42.6 million for the six months ended June 30, 2022, compared to $43.4 million for the six months ended June 30, 2021, because of the factors outlined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2022 and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(39,606)</w:t>
            </w: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146,035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(34,525)</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was $34.0 million in the six months ended June 30, 2022, compared to $38.8 million during the six months ended June 30, 2021, a decrease of $4.8 million. This decrease is predominantly due to timing of supplier payments.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Net cash used in financing activities was $1.4 million in the six months ended June 30, 2022, compared to $3.4 million in the six months ended June 30, 2021. This decrease is primarily due to lower payments of withholding taxes due on the net-settling of certain employees’ RSU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do not currently have any approved products and have never generated any revenue from product sales. To date, we have financed our operations primarily through the issuances of our equity securities, including warrants, from borrowings under the Term Loan and upfront payments from the Nuance Agreement. See “Significant Agreements” and “Indebtedness” for additional information.</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incurred recurring losses since inception, including net losses of $42.6 million for the six months ended June 30, 2022, and $55.6 million for the year ended December 31, 2021. As of June 30, 2022, we had an accumulated deficit of $306.7 million. We expect to continue to generate operating losses for the foreseeable future.</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 ongoing material financing commitments, such as lines of credit or guarantees, that are expected to affect our liquidity over the next five years, other than leases and the Term Loan with Silicon Valley Bank.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sale agreement</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March 2021, we entered into an open market sale agreement with Jefferies LLC (“Jefferies”) to sell shares of our ordinary shares, in the form of ADSs, with aggregate gross sales proceeds of up to $100.0 million, from time to time, through an “at the market” equity offering program under which Jefferies will act as sales agent (the “ATM Program”).</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six months ended June 30, 2022, we sold 80,696 ordinary shares (equivalent to 10,087 ADSs) under the ATM Program, at an average price of approximately $0.86 per share (equivalent to $6.86 per ADS), raising aggregate net proceeds of approximately $0.1 million after deducting issuance costs. As of June 30, 2022, $99.2 million of ordinary shares, in the form of ADSs, remained available for sale under the ATM Program.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November 2020, we and Verona Pharma, Inc. entered into a term loan facility of up to $30.0 million with Silicon Valley Bank, which we refer to as the Term Loan, consisting of term loan advances in an aggregate amount of $5.0 million funded at closing, a term loan advance of an aggregate amount of $10.0 million available subject to certain terms and conditions and the achievement of a specific clinical milestone, and a term loan advance of an aggregate amount of $15.0 million contingent upon achievement of a specific clinical development milestone and other specified conditions. As of June 30, 2022, the Company had $5.0 million principal outstanding under the Term Loan. Additional detail surrounding the Term Loan is included under the caption “Management’s Discussion and Analysis of Financial Condition and Results of Operations” in our 2021 Form 10-K. There have been no material changes to that information disclosed in our 2021 Form 10-K during the six months ended June 30,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our cash and cash equivalents as of June 30, 2022, expected cash receipts from U.K. tax credits and funding expected to become available under the Term Loan, will enable us to fund our planned operating expenses and capital expenditure requirements through at least the end of 2023. The Term Loan advances are contingent upon achievement of certain clinical development milestones and other specified conditions.</w:t>
      </w:r>
    </w:p>
    <w:p>
      <w:pPr>
        <w:spacing w:after="0" w:line="1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will require significant additional capital to further advance clinical and regulatory activities, to fund prelaunch and launch related costs and to create an effective sales and marketing organization to commercialize ensifentrine. We will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for ensifentrine or any future product candidates will depend on many factors, including:</w:t>
      </w:r>
    </w:p>
    <w:p>
      <w:pPr>
        <w:spacing w:after="0" w:line="104" w:lineRule="exact"/>
        <w:rPr>
          <w:sz w:val="20"/>
          <w:szCs w:val="20"/>
          <w:color w:val="auto"/>
        </w:rPr>
      </w:pPr>
    </w:p>
    <w:p>
      <w:pPr>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decide to in-license and develop;</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ensifentrine or any future product candidates;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and maintaining and enforcing patents or defending against claims or infringements raised by third parties;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licensing or milestone fees we might have to pay during future development of ensifentrine or any future product candidates;</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6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if any, we may derive either directly or in the form of royalty payments from future sales of ensifentrine or any future product candidates, if approved.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revenues, if any, will be derived from sales of products that we do not expect to be commercially available for several years, if ever.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need to obtain substantial additional funds to achieve our business objectives.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a discussion of pending and recently adopted accounting pronouncements, see Note 2 to our consolidated financial statements included in the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Exchange Act and are not required to provide the information otherwise required under this Item 3.</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9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June 30, 2022, our disclosure controls and procedures were effective at the reasonable assurance level.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0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Our risk factors have not changed materially from those described in Part I, Item 1A of the 2021 Form 10-K under the heading “Risk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5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w:t>
            </w:r>
          </w:p>
        </w:tc>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0" w:type="dxa"/>
            <w:vAlign w:val="bottom"/>
          </w:tcPr>
          <w:p>
            <w:pPr>
              <w:spacing w:after="0"/>
              <w:rPr>
                <w:sz w:val="1"/>
                <w:szCs w:val="1"/>
                <w:color w:val="auto"/>
              </w:rPr>
            </w:pPr>
          </w:p>
        </w:tc>
      </w:tr>
      <w:tr>
        <w:trPr>
          <w:trHeight w:val="297"/>
        </w:trPr>
        <w:tc>
          <w:tcPr>
            <w:tcW w:w="240" w:type="dxa"/>
            <w:vAlign w:val="bottom"/>
          </w:tcPr>
          <w:p>
            <w:pPr>
              <w:spacing w:after="0"/>
              <w:rPr>
                <w:rFonts w:ascii="Times New Roman" w:cs="Times New Roman" w:eastAsia="Times New Roman" w:hAnsi="Times New Roman"/>
                <w:sz w:val="18"/>
                <w:szCs w:val="18"/>
                <w:color w:val="0000FF"/>
                <w:w w:val="97"/>
              </w:rPr>
            </w:pPr>
            <w:hyperlink r:id="rId4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80" w:type="dxa"/>
            <w:vAlign w:val="bottom"/>
            <w:gridSpan w:val="7"/>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Articles of Association, as amended and as currently in effect</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780" w:type="dxa"/>
            <w:vAlign w:val="bottom"/>
          </w:tcPr>
          <w:p>
            <w:pPr>
              <w:spacing w:after="0"/>
              <w:rPr>
                <w:sz w:val="24"/>
                <w:szCs w:val="24"/>
                <w:color w:val="auto"/>
              </w:rPr>
            </w:pPr>
          </w:p>
        </w:tc>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Executive</w:t>
            </w:r>
          </w:p>
        </w:tc>
        <w:tc>
          <w:tcPr>
            <w:tcW w:w="0" w:type="dxa"/>
            <w:vAlign w:val="bottom"/>
          </w:tcPr>
          <w:p>
            <w:pPr>
              <w:spacing w:after="0"/>
              <w:rPr>
                <w:sz w:val="1"/>
                <w:szCs w:val="1"/>
                <w:color w:val="auto"/>
              </w:rPr>
            </w:pPr>
          </w:p>
        </w:tc>
      </w:tr>
      <w:tr>
        <w:trPr>
          <w:trHeight w:val="175"/>
        </w:trPr>
        <w:tc>
          <w:tcPr>
            <w:tcW w:w="320" w:type="dxa"/>
            <w:vAlign w:val="bottom"/>
            <w:tcBorders>
              <w:bottom w:val="single" w:sz="8" w:color="0000FF"/>
            </w:tcBorders>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Officer</w:t>
            </w:r>
          </w:p>
        </w:tc>
        <w:tc>
          <w:tcPr>
            <w:tcW w:w="3680" w:type="dxa"/>
            <w:vAlign w:val="bottom"/>
            <w:tcBorders>
              <w:top w:val="single" w:sz="8" w:color="0000FF"/>
            </w:tcBorders>
            <w:gridSpan w:val="4"/>
          </w:tcPr>
          <w:p>
            <w:pPr>
              <w:spacing w:after="0"/>
              <w:rPr>
                <w:sz w:val="15"/>
                <w:szCs w:val="15"/>
                <w:color w:val="auto"/>
              </w:rPr>
            </w:pPr>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780" w:type="dxa"/>
            <w:vAlign w:val="bottom"/>
          </w:tcPr>
          <w:p>
            <w:pPr>
              <w:spacing w:after="0"/>
              <w:rPr>
                <w:sz w:val="24"/>
                <w:szCs w:val="24"/>
                <w:color w:val="auto"/>
              </w:rPr>
            </w:pPr>
          </w:p>
        </w:tc>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w:t>
            </w:r>
          </w:p>
        </w:tc>
        <w:tc>
          <w:tcPr>
            <w:tcW w:w="0" w:type="dxa"/>
            <w:vAlign w:val="bottom"/>
          </w:tcPr>
          <w:p>
            <w:pPr>
              <w:spacing w:after="0"/>
              <w:rPr>
                <w:sz w:val="1"/>
                <w:szCs w:val="1"/>
                <w:color w:val="auto"/>
              </w:rPr>
            </w:pPr>
          </w:p>
        </w:tc>
      </w:tr>
      <w:tr>
        <w:trPr>
          <w:trHeight w:val="163"/>
        </w:trPr>
        <w:tc>
          <w:tcPr>
            <w:tcW w:w="320" w:type="dxa"/>
            <w:vAlign w:val="bottom"/>
            <w:tcBorders>
              <w:bottom w:val="single" w:sz="8" w:color="0000FF"/>
            </w:tcBorders>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382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Officer</w:t>
            </w:r>
          </w:p>
        </w:tc>
        <w:tc>
          <w:tcPr>
            <w:tcW w:w="340" w:type="dxa"/>
            <w:vAlign w:val="bottom"/>
            <w:tcBorders>
              <w:top w:val="single" w:sz="8" w:color="0000FF"/>
            </w:tcBorders>
            <w:gridSpan w:val="2"/>
          </w:tcPr>
          <w:p>
            <w:pPr>
              <w:spacing w:after="0"/>
              <w:rPr>
                <w:sz w:val="14"/>
                <w:szCs w:val="14"/>
                <w:color w:val="auto"/>
              </w:rPr>
            </w:pPr>
          </w:p>
        </w:tc>
        <w:tc>
          <w:tcPr>
            <w:tcW w:w="3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780" w:type="dxa"/>
            <w:vAlign w:val="bottom"/>
          </w:tcPr>
          <w:p>
            <w:pPr>
              <w:spacing w:after="0"/>
              <w:rPr>
                <w:sz w:val="24"/>
                <w:szCs w:val="24"/>
                <w:color w:val="auto"/>
              </w:rPr>
            </w:pPr>
          </w:p>
        </w:tc>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c>
          <w:tcPr>
            <w:tcW w:w="0" w:type="dxa"/>
            <w:vAlign w:val="bottom"/>
          </w:tcPr>
          <w:p>
            <w:pPr>
              <w:spacing w:after="0"/>
              <w:rPr>
                <w:sz w:val="1"/>
                <w:szCs w:val="1"/>
                <w:color w:val="auto"/>
              </w:rPr>
            </w:pPr>
          </w:p>
        </w:tc>
      </w:tr>
      <w:tr>
        <w:trPr>
          <w:trHeight w:val="426"/>
        </w:trPr>
        <w:tc>
          <w:tcPr>
            <w:tcW w:w="3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780" w:type="dxa"/>
            <w:vAlign w:val="bottom"/>
          </w:tcPr>
          <w:p>
            <w:pPr>
              <w:spacing w:after="0"/>
              <w:rPr>
                <w:sz w:val="24"/>
                <w:szCs w:val="24"/>
                <w:color w:val="auto"/>
              </w:rPr>
            </w:pPr>
          </w:p>
        </w:tc>
        <w:tc>
          <w:tcPr>
            <w:tcW w:w="38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Financial Officer</w:t>
            </w:r>
          </w:p>
        </w:tc>
        <w:tc>
          <w:tcPr>
            <w:tcW w:w="40" w:type="dxa"/>
            <w:vAlign w:val="bottom"/>
            <w:tcBorders>
              <w:top w:val="single" w:sz="8" w:color="0000FF"/>
            </w:tcBorders>
          </w:tcPr>
          <w:p>
            <w:pPr>
              <w:spacing w:after="0"/>
              <w:rPr>
                <w:sz w:val="24"/>
                <w:szCs w:val="24"/>
                <w:color w:val="auto"/>
              </w:rPr>
            </w:pPr>
          </w:p>
        </w:tc>
        <w:tc>
          <w:tcPr>
            <w:tcW w:w="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8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30"/>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Taxonomy Extension Label Linkbase Document</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8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8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43"/>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ind w:left="1120"/>
        <w:spacing w:after="0" w:line="221" w:lineRule="auto"/>
        <w:rPr>
          <w:sz w:val="20"/>
          <w:szCs w:val="20"/>
          <w:color w:val="auto"/>
        </w:rPr>
      </w:pPr>
      <w:r>
        <w:rPr>
          <w:rFonts w:ascii="Times New Roman" w:cs="Times New Roman" w:eastAsia="Times New Roman" w:hAnsi="Times New Roman"/>
          <w:sz w:val="18"/>
          <w:szCs w:val="18"/>
          <w:color w:val="auto"/>
        </w:rPr>
        <w:t>Cover Page Interactive Data File (formatted as Inline XBRL</w:t>
      </w:r>
    </w:p>
    <w:p>
      <w:pPr>
        <w:ind w:right="2460" w:firstLine="26"/>
        <w:spacing w:after="0" w:line="403" w:lineRule="auto"/>
        <w:tabs>
          <w:tab w:leader="none" w:pos="11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contained in Exhibit 101) * Filed herewith.</w:t>
      </w:r>
    </w:p>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tabs>
          <w:tab w:leader="none" w:pos="1220" w:val="left"/>
          <w:tab w:leader="none" w:pos="3220" w:val="left"/>
        </w:tabs>
        <w:rPr>
          <w:sz w:val="20"/>
          <w:szCs w:val="20"/>
          <w:color w:val="auto"/>
        </w:rPr>
      </w:pPr>
      <w:r>
        <w:rPr>
          <w:rFonts w:ascii="Times New Roman" w:cs="Times New Roman" w:eastAsia="Times New Roman" w:hAnsi="Times New Roman"/>
          <w:sz w:val="18"/>
          <w:szCs w:val="18"/>
          <w:color w:val="auto"/>
        </w:rPr>
        <w:t>Form</w:t>
      </w:r>
      <w:r>
        <w:rPr>
          <w:sz w:val="20"/>
          <w:szCs w:val="20"/>
          <w:color w:val="auto"/>
        </w:rPr>
        <w:tab/>
      </w:r>
      <w:r>
        <w:rPr>
          <w:rFonts w:ascii="Times New Roman" w:cs="Times New Roman" w:eastAsia="Times New Roman" w:hAnsi="Times New Roman"/>
          <w:sz w:val="18"/>
          <w:szCs w:val="18"/>
          <w:color w:val="auto"/>
        </w:rPr>
        <w:t>File No.  Exhibit No.</w:t>
      </w:r>
      <w:r>
        <w:rPr>
          <w:sz w:val="20"/>
          <w:szCs w:val="20"/>
          <w:color w:val="auto"/>
        </w:rPr>
        <w:tab/>
      </w:r>
      <w:r>
        <w:rPr>
          <w:rFonts w:ascii="Times New Roman" w:cs="Times New Roman" w:eastAsia="Times New Roman" w:hAnsi="Times New Roman"/>
          <w:sz w:val="18"/>
          <w:szCs w:val="18"/>
          <w:color w:val="auto"/>
        </w:rPr>
        <w:t>Filing date</w:t>
      </w:r>
    </w:p>
    <w:p>
      <w:pPr>
        <w:spacing w:after="0" w:line="239" w:lineRule="exact"/>
        <w:rPr>
          <w:sz w:val="20"/>
          <w:szCs w:val="20"/>
          <w:color w:val="auto"/>
        </w:rPr>
      </w:pPr>
    </w:p>
    <w:p>
      <w:pPr>
        <w:ind w:left="100"/>
        <w:spacing w:after="0"/>
        <w:tabs>
          <w:tab w:leader="none" w:pos="1020" w:val="left"/>
          <w:tab w:leader="none" w:pos="2680" w:val="left"/>
          <w:tab w:leader="none" w:pos="3180" w:val="left"/>
        </w:tabs>
        <w:rPr>
          <w:sz w:val="20"/>
          <w:szCs w:val="20"/>
          <w:color w:val="auto"/>
        </w:rPr>
      </w:pPr>
      <w:r>
        <w:rPr>
          <w:rFonts w:ascii="Times New Roman" w:cs="Times New Roman" w:eastAsia="Times New Roman" w:hAnsi="Times New Roman"/>
          <w:sz w:val="18"/>
          <w:szCs w:val="18"/>
          <w:color w:val="auto"/>
        </w:rPr>
        <w:t>6-K</w:t>
      </w:r>
      <w:r>
        <w:rPr>
          <w:sz w:val="20"/>
          <w:szCs w:val="20"/>
          <w:color w:val="auto"/>
        </w:rPr>
        <w:tab/>
      </w:r>
      <w:r>
        <w:rPr>
          <w:rFonts w:ascii="Times New Roman" w:cs="Times New Roman" w:eastAsia="Times New Roman" w:hAnsi="Times New Roman"/>
          <w:sz w:val="18"/>
          <w:szCs w:val="18"/>
          <w:color w:val="auto"/>
        </w:rPr>
        <w:t>001-38067</w:t>
      </w:r>
      <w:r>
        <w:rPr>
          <w:sz w:val="20"/>
          <w:szCs w:val="20"/>
          <w:color w:val="auto"/>
        </w:rPr>
        <w:tab/>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12/30/2020</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right"/>
        <w:spacing w:after="0" w:line="263" w:lineRule="auto"/>
        <w:rPr>
          <w:sz w:val="20"/>
          <w:szCs w:val="20"/>
          <w:color w:val="auto"/>
        </w:rPr>
      </w:pPr>
      <w:r>
        <w:rPr>
          <w:rFonts w:ascii="Times New Roman" w:cs="Times New Roman" w:eastAsia="Times New Roman" w:hAnsi="Times New Roman"/>
          <w:sz w:val="17"/>
          <w:szCs w:val="17"/>
          <w:color w:val="auto"/>
        </w:rPr>
        <w:t>Filed/Furnished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5720" w:space="300"/>
            <w:col w:w="4020" w:space="40"/>
            <w:col w:w="1140"/>
          </w:cols>
          <w:pgMar w:left="320" w:top="1440" w:right="359" w:bottom="1440" w:gutter="0" w:footer="0" w:header="0"/>
          <w:type w:val="continuous"/>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7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VERONA PHARMA PLC</w:t>
            </w:r>
          </w:p>
        </w:tc>
        <w:tc>
          <w:tcPr>
            <w:tcW w:w="3020" w:type="dxa"/>
            <w:vAlign w:val="bottom"/>
          </w:tcPr>
          <w:p>
            <w:pPr>
              <w:spacing w:after="0"/>
              <w:rPr>
                <w:sz w:val="20"/>
                <w:szCs w:val="20"/>
                <w:color w:val="auto"/>
              </w:rPr>
            </w:pPr>
          </w:p>
        </w:tc>
      </w:tr>
      <w:tr>
        <w:trPr>
          <w:trHeight w:val="53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47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Zaccardelli</w:t>
            </w:r>
          </w:p>
        </w:tc>
      </w:tr>
      <w:tr>
        <w:trPr>
          <w:trHeight w:val="243"/>
        </w:trPr>
        <w:tc>
          <w:tcPr>
            <w:tcW w:w="3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Zaccardelli, Pharm. D.</w:t>
            </w:r>
          </w:p>
        </w:tc>
      </w:tr>
      <w:tr>
        <w:trPr>
          <w:trHeight w:val="256"/>
        </w:trPr>
        <w:tc>
          <w:tcPr>
            <w:tcW w:w="350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1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47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W. Hahn</w:t>
            </w:r>
          </w:p>
        </w:tc>
      </w:tr>
      <w:tr>
        <w:trPr>
          <w:trHeight w:val="243"/>
        </w:trPr>
        <w:tc>
          <w:tcPr>
            <w:tcW w:w="3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W. Hahn</w:t>
            </w:r>
          </w:p>
        </w:tc>
      </w:tr>
      <w:tr>
        <w:trPr>
          <w:trHeight w:val="364"/>
        </w:trPr>
        <w:tc>
          <w:tcPr>
            <w:tcW w:w="35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Zaccardelli, Pharm.D.,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Verona Pharma plc;</w:t>
      </w:r>
    </w:p>
    <w:p>
      <w:pPr>
        <w:spacing w:after="0" w:line="225" w:lineRule="exact"/>
        <w:rPr>
          <w:rFonts w:ascii="Times New Roman" w:cs="Times New Roman" w:eastAsia="Times New Roman" w:hAnsi="Times New Roman"/>
          <w:sz w:val="18"/>
          <w:szCs w:val="18"/>
          <w:color w:val="auto"/>
        </w:rPr>
      </w:pPr>
    </w:p>
    <w:p>
      <w:pPr>
        <w:ind w:left="340" w:right="460" w:hanging="332"/>
        <w:spacing w:after="0" w:line="266" w:lineRule="auto"/>
        <w:tabs>
          <w:tab w:leader="none" w:pos="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right="200" w:hanging="451"/>
        <w:spacing w:after="0" w:line="266" w:lineRule="auto"/>
        <w:tabs>
          <w:tab w:leader="none" w:pos="83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4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right="620" w:hanging="451"/>
        <w:spacing w:after="0" w:line="312" w:lineRule="auto"/>
        <w:tabs>
          <w:tab w:leader="none" w:pos="839" w:val="left"/>
        </w:tabs>
        <w:numPr>
          <w:ilvl w:val="2"/>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4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320" w:hanging="330"/>
        <w:spacing w:after="0" w:line="282" w:lineRule="auto"/>
        <w:tabs>
          <w:tab w:leader="none" w:pos="3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120" w:hanging="451"/>
        <w:spacing w:after="0" w:line="282" w:lineRule="auto"/>
        <w:tabs>
          <w:tab w:leader="none" w:pos="82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3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4160" w:val="left"/>
          <w:tab w:leader="none" w:pos="69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7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34" w:name="page35"/>
    <w:bookmarkEnd w:id="34"/>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Hahn, certify that:</w:t>
      </w:r>
    </w:p>
    <w:p>
      <w:pPr>
        <w:spacing w:after="0" w:line="225" w:lineRule="exact"/>
        <w:rPr>
          <w:sz w:val="20"/>
          <w:szCs w:val="20"/>
          <w:color w:val="auto"/>
        </w:rPr>
      </w:pPr>
    </w:p>
    <w:p>
      <w:pPr>
        <w:ind w:left="520" w:hanging="188"/>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Verona Pharma plc;</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5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5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w:t>
      </w:r>
    </w:p>
    <w:p>
      <w:pPr>
        <w:spacing w:after="0" w:line="27" w:lineRule="exact"/>
        <w:rPr>
          <w:sz w:val="20"/>
          <w:szCs w:val="20"/>
          <w:color w:val="auto"/>
        </w:rPr>
      </w:pPr>
    </w:p>
    <w:p>
      <w:pPr>
        <w:ind w:left="660" w:right="300"/>
        <w:spacing w:after="0" w:line="260" w:lineRule="auto"/>
        <w:rPr>
          <w:sz w:val="20"/>
          <w:szCs w:val="20"/>
          <w:color w:val="auto"/>
        </w:rPr>
      </w:pPr>
      <w:r>
        <w:rPr>
          <w:rFonts w:ascii="Times New Roman" w:cs="Times New Roman" w:eastAsia="Times New Roman" w:hAnsi="Times New Roman"/>
          <w:sz w:val="18"/>
          <w:szCs w:val="18"/>
          <w:color w:val="auto"/>
        </w:rPr>
        <w:t>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900" w:right="200" w:hanging="451"/>
        <w:spacing w:after="0" w:line="266" w:lineRule="auto"/>
        <w:tabs>
          <w:tab w:leader="none" w:pos="8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4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right="620" w:hanging="451"/>
        <w:spacing w:after="0" w:line="312" w:lineRule="auto"/>
        <w:tabs>
          <w:tab w:leader="none" w:pos="839"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4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5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120" w:hanging="451"/>
        <w:spacing w:after="0" w:line="282" w:lineRule="auto"/>
        <w:tabs>
          <w:tab w:leader="none" w:pos="8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3120" w:val="left"/>
          <w:tab w:leader="none" w:pos="67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43180</wp:posOffset>
            </wp:positionV>
            <wp:extent cx="47231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4723130" cy="8890"/>
                    </a:xfrm>
                    <a:prstGeom prst="rect">
                      <a:avLst/>
                    </a:prstGeom>
                    <a:noFill/>
                  </pic:spPr>
                </pic:pic>
              </a:graphicData>
            </a:graphic>
          </wp:anchor>
        </w:drawing>
      </w:r>
    </w:p>
    <w:p>
      <w:pPr>
        <w:spacing w:after="0" w:line="70"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Mark W. Hahn</w:t>
      </w:r>
    </w:p>
    <w:p>
      <w:pPr>
        <w:spacing w:after="0" w:line="75"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Verona Pharma plc (the “Company”)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840" w:hanging="391"/>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00" w:right="740" w:hanging="451"/>
        <w:spacing w:after="0" w:line="282" w:lineRule="auto"/>
        <w:tabs>
          <w:tab w:leader="none" w:pos="8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4160" w:val="left"/>
          <w:tab w:leader="none" w:pos="69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7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36" w:name="page37"/>
    <w:bookmarkEnd w:id="36"/>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Verona Pharma plc (the “Company”)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840" w:hanging="391"/>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00" w:right="740" w:hanging="451"/>
        <w:spacing w:after="0" w:line="282" w:lineRule="auto"/>
        <w:tabs>
          <w:tab w:leader="none" w:pos="8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3120" w:val="left"/>
          <w:tab w:leader="none" w:pos="67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43180</wp:posOffset>
            </wp:positionV>
            <wp:extent cx="47231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70"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Mark W. Hahn</w:t>
      </w:r>
    </w:p>
    <w:p>
      <w:pPr>
        <w:spacing w:after="0" w:line="75"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35"/>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lvl w:ilvl="1">
      <w:lvlJc w:val="left"/>
      <w:lvlText w:val="%2"/>
      <w:numFmt w:val="decimal"/>
      <w:start w:val="104"/>
    </w:lvl>
  </w:abstractNum>
  <w:abstractNum w:abstractNumId="12">
    <w:nsid w:val="6B68079A"/>
    <w:multiLevelType w:val="hybridMultilevel"/>
    <w:lvl w:ilvl="0">
      <w:lvlJc w:val="left"/>
      <w:lvlText w:val="**"/>
      <w:numFmt w:val="bullet"/>
      <w:start w:val="1"/>
    </w:lvl>
    <w:lvl w:ilvl="1">
      <w:lvlJc w:val="left"/>
      <w:lvlText w:val="%2"/>
      <w:numFmt w:val="decimal"/>
      <w:start w:val="1"/>
    </w:lvl>
  </w:abstractNum>
  <w:abstractNum w:abstractNumId="13">
    <w:nsid w:val="4E6AFB66"/>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5"/>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47" Type="http://schemas.openxmlformats.org/officeDocument/2006/relationships/hyperlink" Target="https://www.sec.gov/Archives/edgar/data/1657312/000110465920140541/tm2039594d1_e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2022-08-09T06:56:12Z</dcterms:created>
  <dcterms:modified xsi:type="dcterms:W3CDTF">2022-08-09T06:56:12Z</dcterms:modified>
</cp:coreProperties>
</file>