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United Kingdom</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001-38067</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98-1489389</w:t>
            </w:r>
          </w:p>
        </w:tc>
      </w:tr>
      <w:tr>
        <w:trPr>
          <w:trHeight w:val="252"/>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(State or other jurisdiction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of incorporation)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Identification No.)</w:t>
            </w:r>
          </w:p>
        </w:tc>
      </w:tr>
      <w:tr>
        <w:trPr>
          <w:trHeight w:val="643"/>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 Kingdom</w:t>
            </w:r>
          </w:p>
        </w:tc>
        <w:tc>
          <w:tcPr>
            <w:tcW w:w="28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+44 203 283 4200</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7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69"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42"/>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3"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79" w:lineRule="exact"/>
        <w:rPr>
          <w:sz w:val="20"/>
          <w:szCs w:val="20"/>
          <w:color w:val="auto"/>
        </w:rPr>
      </w:pPr>
    </w:p>
    <w:p>
      <w:pPr>
        <w:ind w:right="160"/>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 2023, Verona Pharma plc announced its financial results for the quarter ended September 30, 2023. The full text of the press release issued in connection with the announcement is furnished as Exhibit 99.1 to this Current Report on Form 8-K.</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12"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issued on November 2, 2023</w:t>
      </w:r>
    </w:p>
    <w:p>
      <w:pPr>
        <w:spacing w:after="0" w:line="63"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Arial" w:cs="Arial" w:eastAsia="Arial" w:hAnsi="Arial"/>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Arial" w:cs="Arial" w:eastAsia="Arial" w:hAnsi="Arial"/>
                <w:sz w:val="18"/>
                <w:szCs w:val="18"/>
                <w:color w:val="auto"/>
              </w:rPr>
              <w:t>Date: November 2, 2023</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4880" w:type="dxa"/>
            <w:vAlign w:val="bottom"/>
          </w:tcPr>
          <w:p>
            <w:pPr>
              <w:ind w:left="60"/>
              <w:spacing w:after="0"/>
              <w:rPr>
                <w:sz w:val="20"/>
                <w:szCs w:val="20"/>
                <w:color w:val="auto"/>
              </w:rPr>
            </w:pPr>
            <w:r>
              <w:rPr>
                <w:rFonts w:ascii="Arial" w:cs="Arial" w:eastAsia="Arial" w:hAnsi="Arial"/>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2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Title:</w:t>
            </w:r>
          </w:p>
        </w:tc>
        <w:tc>
          <w:tcPr>
            <w:tcW w:w="4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739900" cy="840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010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Third Quarter 2023 Financial Results and Provides Corporate Update</w:t>
      </w:r>
    </w:p>
    <w:p>
      <w:pPr>
        <w:spacing w:after="0" w:line="187" w:lineRule="exact"/>
        <w:rPr>
          <w:sz w:val="20"/>
          <w:szCs w:val="20"/>
          <w:color w:val="auto"/>
        </w:rPr>
      </w:pPr>
    </w:p>
    <w:p>
      <w:pPr>
        <w:jc w:val="center"/>
        <w:ind w:left="340" w:right="1740"/>
        <w:spacing w:after="0" w:line="316" w:lineRule="auto"/>
        <w:rPr>
          <w:sz w:val="20"/>
          <w:szCs w:val="20"/>
          <w:color w:val="auto"/>
        </w:rPr>
      </w:pPr>
      <w:r>
        <w:rPr>
          <w:rFonts w:ascii="Arial" w:cs="Arial" w:eastAsia="Arial" w:hAnsi="Arial"/>
          <w:sz w:val="22"/>
          <w:szCs w:val="22"/>
          <w:i w:val="1"/>
          <w:iCs w:val="1"/>
          <w:color w:val="auto"/>
        </w:rPr>
        <w:t>US FDA accepted NDA filing for ensifentrine for maintenance treatment of COPD PDUFA Target Action Date of June 26, 2024 Commercial launch preparations supported by strong balance sheet Conference call today at 9:00 a.m. EDT / 1:00 p.m. GMT</w:t>
      </w: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LONDON and RALEIGH, N.C., November 2, 2023 </w:t>
      </w:r>
      <w:r>
        <w:rPr>
          <w:rFonts w:ascii="Arial" w:cs="Arial" w:eastAsia="Arial" w:hAnsi="Arial"/>
          <w:sz w:val="20"/>
          <w:szCs w:val="20"/>
          <w:color w:val="auto"/>
        </w:rPr>
        <w:t>– Verona Pharma plc (Nasdaq: VRNA) (“Verona Pharma”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clinical-stage biopharmaceutical company focused on respiratory diseases, announces its financial results for the third quarter ended September 30, 2023, and provides a corporate update.</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August, the US Food and Drug Administration ("FDA") accepted for review our New Drug Application ("NDA") seeking approval of ensifentrine for the maintenance treatment of patients with chronic obstructive pulmonary disease ("COPD"),” said David Zaccardelli, Pharm. D., President and Chief Executive Officer. “The Agency assigned a Prescription Drug User Fee Act ("PDUFA") target action date of June 26, 2024, and is not currently planning to hold an advisory committee meeting to discuss the application.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NDA acceptance brings us a step closer to our goal of delivering ensifentrine to a broad population of patients suffering from COPD and we look forward to working with the FDA during their review. If approved, ensifentrine is expected to be the first novel mechanism available for the treatment of COPD in more than 10 years. We believe the bronchodilator and non-steroidal anti-inflammatory activity of ensifentrine has the potential to change the treatment paradigm for COPD.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“Following the end of the quarter, we hosted an investor meeting during which the Company's senior management team and key opinion leader, Cedric “Jamie” Rutland, MD, FCCP, discussed the COPD treatment landscape and provided an overview of our commercial preparations for the US launch of ensifentrine, if approved. The Company also shared a detailed overview of the current COPD market, unmet treatment needs, launch access, distribution, reimbursement strategies and plans for field deployment.</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 recently presented further analyses from the Phase 3 ENHANCE trials at the European Respiratory Society International Congress and at CHEST Annual Meeting. The analyses showed that ensifentrine demonstrated improvements in lung function and symptoms and quality of life endpoints and substantially reduced the rate and risk of COPD exacerbations regardless of background therapy, as well as reduced daily rescue medication use.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“Also at CHEST, we launched the ‘unspoken COPD’ disease awareness campaign. The campaign highlights the severe impact COPD has on a patient's daily life and encourages healthcare professionals to engage in deeper conversations to fully understand the impact of COPD on each patient in their practice.”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planned milestones include:</w:t>
      </w:r>
    </w:p>
    <w:p>
      <w:pPr>
        <w:spacing w:after="0" w:line="94" w:lineRule="exact"/>
        <w:rPr>
          <w:sz w:val="20"/>
          <w:szCs w:val="20"/>
          <w:color w:val="auto"/>
        </w:rPr>
      </w:pPr>
    </w:p>
    <w:p>
      <w:pPr>
        <w:jc w:val="both"/>
        <w:ind w:left="660" w:hanging="328"/>
        <w:spacing w:after="0" w:line="25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fourth quarter of 2023, the Company plans to continue its commercial preparations across medical affairs, commercial operations, manufacturing and IT as well as other departments to support the planned launch of ensifentrine in 2024, subject to the approval of the NDA.</w:t>
      </w:r>
    </w:p>
    <w:p>
      <w:pPr>
        <w:sectPr>
          <w:pgSz w:w="11900" w:h="16838" w:orient="portrait"/>
          <w:cols w:equalWidth="0" w:num="1">
            <w:col w:w="11240"/>
          </w:cols>
          <w:pgMar w:left="320" w:top="1440" w:right="339" w:bottom="1440" w:gutter="0" w:footer="0" w:header="0"/>
        </w:sectPr>
      </w:pPr>
    </w:p>
    <w:bookmarkStart w:id="5" w:name="page6"/>
    <w:bookmarkEnd w:id="5"/>
    <w:p>
      <w:pPr>
        <w:jc w:val="both"/>
        <w:ind w:left="660" w:hanging="328"/>
        <w:spacing w:after="0" w:line="25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is developing a fixed-dose combination formulation with ensifentrine and glycopyrrolate, a long-acting muscarinic antagonist (“LAMA”), for the maintenance treatment of patients with COPD via delivery in a nebulizer. If a feasible formulation is developed, in the second half of 2024, the Company plans to submit an investigational new drug (“IND”) application to the FDA and, if cleared, initiate a Phase 2 clinical trial assessing the safety and efficacy of the fixed-dose combination formulation in COPD patients.</w:t>
      </w:r>
    </w:p>
    <w:p>
      <w:pPr>
        <w:spacing w:after="0" w:line="88"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Also in the second half of 2024, if the FDA approves the Company’s NDA for ensifentrine as a maintenance treatment of COPD, the Company plans to commence a Phase 2 clinical trial to assess the efficacy and safety of nebulized ensifentrine in patients with non-cystic fibrosis bronchiectasis, subject to clearance by the FDA.</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and Recent Highlights</w:t>
      </w:r>
    </w:p>
    <w:p>
      <w:pPr>
        <w:spacing w:after="0" w:line="104" w:lineRule="exact"/>
        <w:rPr>
          <w:sz w:val="20"/>
          <w:szCs w:val="20"/>
          <w:color w:val="auto"/>
        </w:rPr>
      </w:pPr>
    </w:p>
    <w:p>
      <w:pPr>
        <w:jc w:val="both"/>
        <w:ind w:left="660" w:hanging="328"/>
        <w:spacing w:after="0" w:line="25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August 2023, the FDA accepted for review the Company's NDA filing seeking US approval of ensifentrine for the maintenance treatment of patients with COPD. The FDA assigned a PDUFA target action date of June 26, 2024, and is not currently planning to hold an advisory committee meeting to discuss the application.</w:t>
      </w:r>
    </w:p>
    <w:p>
      <w:pPr>
        <w:spacing w:after="0" w:line="84" w:lineRule="exact"/>
        <w:rPr>
          <w:rFonts w:ascii="Arial" w:cs="Arial" w:eastAsia="Arial" w:hAnsi="Arial"/>
          <w:sz w:val="20"/>
          <w:szCs w:val="20"/>
          <w:color w:val="auto"/>
        </w:rPr>
      </w:pPr>
    </w:p>
    <w:p>
      <w:pPr>
        <w:jc w:val="both"/>
        <w:ind w:left="660" w:hanging="328"/>
        <w:spacing w:after="0" w:line="25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September 2023, Christina Ackermann joined the board as a Non-Executive Director. Ms. Ackermann has over 25 years of legal and management experience across the pharmaceutical, device and consumer products industries. Most recently, she served as Executive Vice President, General Counsel and Global President Ophthalmic Pharmaceuticals at Bausch + Lomb Corporation, where she was responsible for strategic planning and worldwide commercialization of pharmaceutical prescription assets across the portfolio as well as global legal affairs.</w:t>
      </w:r>
    </w:p>
    <w:p>
      <w:pPr>
        <w:spacing w:after="0" w:line="88" w:lineRule="exact"/>
        <w:rPr>
          <w:rFonts w:ascii="Arial" w:cs="Arial" w:eastAsia="Arial" w:hAnsi="Arial"/>
          <w:sz w:val="20"/>
          <w:szCs w:val="20"/>
          <w:color w:val="auto"/>
        </w:rPr>
      </w:pPr>
    </w:p>
    <w:p>
      <w:pPr>
        <w:jc w:val="both"/>
        <w:ind w:left="660" w:hanging="328"/>
        <w:spacing w:after="0" w:line="25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recently presented additional analyses of data from the successful ENHANCE trials evaluating ensifentrine in COPD at ERS International Congress 2023 and CHEST Annual Meeting 2023. Also, at CHEST Annual Meeting, the Company launched a disease awareness campaign highlighting how many COPD patients struggle to talk about their condition.</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2023 Financial Results</w:t>
      </w:r>
    </w:p>
    <w:p>
      <w:pPr>
        <w:spacing w:after="0" w:line="94" w:lineRule="exact"/>
        <w:rPr>
          <w:sz w:val="20"/>
          <w:szCs w:val="20"/>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September 30, 2023, were $257.4 million (December 31, 2022: $227.8</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The Company believes cash and cash equivalents at September 30, 2023, expected cash receipts from the UK tax credit program and the remaining $130.0 million funding expected to become available under the debt facility, will enable Verona Pharma to fund planned operating expenses and capital expenditure requirements through at least the end of 2025, including the commercial launch of ensifentrine in the US, if approved.</w:t>
      </w:r>
    </w:p>
    <w:p>
      <w:pPr>
        <w:spacing w:after="0" w:line="65"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(“R&amp;D”) expenses were $3.0 million for the third quarter ended September</w:t>
      </w:r>
    </w:p>
    <w:p>
      <w:pPr>
        <w:spacing w:after="0" w:line="48" w:lineRule="exact"/>
        <w:rPr>
          <w:rFonts w:ascii="Arial" w:cs="Arial" w:eastAsia="Arial" w:hAnsi="Arial"/>
          <w:sz w:val="19"/>
          <w:szCs w:val="19"/>
          <w:color w:val="auto"/>
        </w:rPr>
      </w:pPr>
    </w:p>
    <w:p>
      <w:pPr>
        <w:jc w:val="both"/>
        <w:ind w:left="660"/>
        <w:spacing w:after="0" w:line="249" w:lineRule="auto"/>
        <w:rPr>
          <w:rFonts w:ascii="Arial" w:cs="Arial" w:eastAsia="Arial" w:hAnsi="Arial"/>
          <w:sz w:val="19"/>
          <w:szCs w:val="19"/>
          <w:color w:val="auto"/>
        </w:rPr>
      </w:pPr>
      <w:r>
        <w:rPr>
          <w:rFonts w:ascii="Arial" w:cs="Arial" w:eastAsia="Arial" w:hAnsi="Arial"/>
          <w:sz w:val="20"/>
          <w:szCs w:val="20"/>
          <w:color w:val="auto"/>
        </w:rPr>
        <w:t>30, 2023 (Q3 2022: $9.8 million). This decrease was primarily due to a $7.9 million decrease in clinical trial and other development costs as all study conduct and analysis of the Phase 3 ENHANCE program was complete, whereas in the same period in the prior year significant costs were incurred associated with the then ongoing study conduct. The third quarter 2023 clinical trial and other development costs also include the impact of $2.2 million of credits received related to the final financial reconciliation of a Phase 3 ENHANCE program supplier. This decrease was partially offset by an increase of $0.7 million in people related costs, inclusive of share-based compensation.</w:t>
      </w:r>
    </w:p>
    <w:p>
      <w:pPr>
        <w:spacing w:after="0" w:line="83" w:lineRule="exact"/>
        <w:rPr>
          <w:rFonts w:ascii="Arial" w:cs="Arial" w:eastAsia="Arial" w:hAnsi="Arial"/>
          <w:sz w:val="19"/>
          <w:szCs w:val="19"/>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$13.4 million for the third quarter ended</w:t>
      </w:r>
    </w:p>
    <w:p>
      <w:pPr>
        <w:spacing w:after="0" w:line="23" w:lineRule="exact"/>
        <w:rPr>
          <w:rFonts w:ascii="Arial" w:cs="Arial" w:eastAsia="Arial" w:hAnsi="Arial"/>
          <w:sz w:val="20"/>
          <w:szCs w:val="20"/>
          <w:color w:val="auto"/>
        </w:rPr>
      </w:pPr>
    </w:p>
    <w:p>
      <w:pPr>
        <w:ind w:left="660" w:right="20"/>
        <w:spacing w:after="0" w:line="261" w:lineRule="auto"/>
        <w:rPr>
          <w:rFonts w:ascii="Arial" w:cs="Arial" w:eastAsia="Arial" w:hAnsi="Arial"/>
          <w:sz w:val="20"/>
          <w:szCs w:val="20"/>
          <w:color w:val="auto"/>
        </w:rPr>
      </w:pPr>
      <w:r>
        <w:rPr>
          <w:rFonts w:ascii="Arial" w:cs="Arial" w:eastAsia="Arial" w:hAnsi="Arial"/>
          <w:sz w:val="20"/>
          <w:szCs w:val="20"/>
          <w:color w:val="auto"/>
        </w:rPr>
        <w:t>September 30, 2023 (Q3 2022: $5.3 million). This increase was primarily due to a $4.7 million increase in people related costs,</w:t>
      </w:r>
    </w:p>
    <w:p>
      <w:pPr>
        <w:sectPr>
          <w:pgSz w:w="11900" w:h="16838" w:orient="portrait"/>
          <w:cols w:equalWidth="0" w:num="1">
            <w:col w:w="11240"/>
          </w:cols>
          <w:pgMar w:left="320" w:top="1418" w:right="339" w:bottom="1440" w:gutter="0" w:footer="0" w:header="0"/>
        </w:sectPr>
      </w:pPr>
    </w:p>
    <w:bookmarkStart w:id="6" w:name="page7"/>
    <w:bookmarkEnd w:id="6"/>
    <w:p>
      <w:pPr>
        <w:jc w:val="both"/>
        <w:ind w:left="660"/>
        <w:spacing w:after="0" w:line="257" w:lineRule="auto"/>
        <w:rPr>
          <w:sz w:val="20"/>
          <w:szCs w:val="20"/>
          <w:color w:val="auto"/>
        </w:rPr>
      </w:pPr>
      <w:r>
        <w:rPr>
          <w:rFonts w:ascii="Arial" w:cs="Arial" w:eastAsia="Arial" w:hAnsi="Arial"/>
          <w:sz w:val="20"/>
          <w:szCs w:val="20"/>
          <w:color w:val="auto"/>
        </w:rPr>
        <w:t>inclusive of share-based compensation, as well as an increase of $2.9 million for costs primarily related to preparations for a potential commercial launch including the build out of the distribution network and work related to payer and disease education as well as advancing the commercial and information technology infrastructure of the Company.</w:t>
      </w:r>
    </w:p>
    <w:p>
      <w:pPr>
        <w:spacing w:after="0" w:line="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$14.7 million for the third quarter ended September 30, 2023 (Q3 2022: $15.6 million).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Verona Pharma will host an investment community webcast and conference call at 9:00 a.m. EDT / 1:00 p.m. GMT on Thursday, November 2, 2023, to discuss the third quarter 2023 financial results and the corporate update.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To participate, please dial one of the following numbers and ask to be placed into the Verona Pharma third quarter earnings call:</w:t>
      </w:r>
    </w:p>
    <w:p>
      <w:pPr>
        <w:spacing w:after="0" w:line="1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+1-833-816-1396 for callers in the United States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+1-412-317-0489 for international callers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third quarter 2023 results press release will also be made available today on the Company’s website.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CFCFCF"/>
              <w:left w:val="single" w:sz="8" w:color="CFCFCF"/>
              <w:right w:val="single" w:sz="8" w:color="CFCFCF"/>
            </w:tcBorders>
          </w:tcPr>
          <w:p>
            <w:pPr>
              <w:ind w:left="240"/>
              <w:spacing w:after="0"/>
              <w:rPr>
                <w:sz w:val="20"/>
                <w:szCs w:val="20"/>
                <w:color w:val="auto"/>
              </w:rPr>
            </w:pPr>
            <w:r>
              <w:rPr>
                <w:rFonts w:ascii="Arial" w:cs="Arial" w:eastAsia="Arial" w:hAnsi="Arial"/>
                <w:sz w:val="20"/>
                <w:szCs w:val="20"/>
                <w:b w:val="1"/>
                <w:bCs w:val="1"/>
                <w:color w:val="auto"/>
              </w:rPr>
              <w:t>Verona Pharma plc</w:t>
            </w:r>
          </w:p>
        </w:tc>
        <w:tc>
          <w:tcPr>
            <w:tcW w:w="100" w:type="dxa"/>
            <w:vAlign w:val="bottom"/>
            <w:tcBorders>
              <w:top w:val="single" w:sz="8" w:color="CFCFCF"/>
            </w:tcBorders>
          </w:tcPr>
          <w:p>
            <w:pPr>
              <w:spacing w:after="0"/>
              <w:rPr>
                <w:sz w:val="19"/>
                <w:szCs w:val="19"/>
                <w:color w:val="auto"/>
              </w:rPr>
            </w:pPr>
          </w:p>
        </w:tc>
        <w:tc>
          <w:tcPr>
            <w:tcW w:w="5500" w:type="dxa"/>
            <w:vAlign w:val="bottom"/>
            <w:tcBorders>
              <w:top w:val="single" w:sz="8" w:color="CFCFCF"/>
              <w:right w:val="single" w:sz="8" w:color="CFCFCF"/>
            </w:tcBorders>
            <w:gridSpan w:val="3"/>
          </w:tcPr>
          <w:p>
            <w:pPr>
              <w:ind w:left="20"/>
              <w:spacing w:after="0"/>
              <w:rPr>
                <w:sz w:val="20"/>
                <w:szCs w:val="20"/>
                <w:color w:val="auto"/>
              </w:rPr>
            </w:pPr>
            <w:r>
              <w:rPr>
                <w:rFonts w:ascii="Arial" w:cs="Arial" w:eastAsia="Arial" w:hAnsi="Arial"/>
                <w:sz w:val="20"/>
                <w:szCs w:val="20"/>
                <w:color w:val="auto"/>
              </w:rPr>
              <w:t>US Tel: +1-833-417-0262</w:t>
            </w:r>
          </w:p>
        </w:tc>
      </w:tr>
      <w:tr>
        <w:trPr>
          <w:trHeight w:val="229"/>
        </w:trPr>
        <w:tc>
          <w:tcPr>
            <w:tcW w:w="5620" w:type="dxa"/>
            <w:vAlign w:val="bottom"/>
            <w:tcBorders>
              <w:left w:val="single" w:sz="8" w:color="CFCFCF"/>
              <w:bottom w:val="single" w:sz="8" w:color="CFCFCF"/>
              <w:right w:val="single" w:sz="8" w:color="CFCFCF"/>
            </w:tcBorders>
          </w:tcPr>
          <w:p>
            <w:pPr>
              <w:spacing w:after="0"/>
              <w:rPr>
                <w:sz w:val="19"/>
                <w:szCs w:val="19"/>
                <w:color w:val="auto"/>
              </w:rPr>
            </w:pPr>
          </w:p>
        </w:tc>
        <w:tc>
          <w:tcPr>
            <w:tcW w:w="100" w:type="dxa"/>
            <w:vAlign w:val="bottom"/>
            <w:tcBorders>
              <w:bottom w:val="single" w:sz="8" w:color="CFCFCF"/>
            </w:tcBorders>
          </w:tcPr>
          <w:p>
            <w:pPr>
              <w:spacing w:after="0"/>
              <w:rPr>
                <w:sz w:val="19"/>
                <w:szCs w:val="19"/>
                <w:color w:val="auto"/>
              </w:rPr>
            </w:pPr>
          </w:p>
        </w:tc>
        <w:tc>
          <w:tcPr>
            <w:tcW w:w="5500" w:type="dxa"/>
            <w:vAlign w:val="bottom"/>
            <w:tcBorders>
              <w:bottom w:val="single" w:sz="8" w:color="CFCFCF"/>
              <w:right w:val="single" w:sz="8" w:color="CFCFCF"/>
            </w:tcBorders>
            <w:gridSpan w:val="3"/>
          </w:tcPr>
          <w:p>
            <w:pPr>
              <w:ind w:left="20"/>
              <w:spacing w:after="0"/>
              <w:rPr>
                <w:sz w:val="20"/>
                <w:szCs w:val="20"/>
                <w:color w:val="auto"/>
              </w:rPr>
            </w:pPr>
            <w:r>
              <w:rPr>
                <w:rFonts w:ascii="Arial" w:cs="Arial" w:eastAsia="Arial" w:hAnsi="Arial"/>
                <w:sz w:val="20"/>
                <w:szCs w:val="20"/>
                <w:color w:val="auto"/>
              </w:rPr>
              <w:t>UK Tel: +44 (0)203 283 4200</w:t>
            </w:r>
          </w:p>
        </w:tc>
      </w:tr>
      <w:tr>
        <w:trPr>
          <w:trHeight w:val="196"/>
        </w:trPr>
        <w:tc>
          <w:tcPr>
            <w:tcW w:w="5620" w:type="dxa"/>
            <w:vAlign w:val="bottom"/>
            <w:tcBorders>
              <w:left w:val="single" w:sz="8" w:color="CFCFCF"/>
              <w:right w:val="single" w:sz="8" w:color="CFCFCF"/>
            </w:tcBorders>
          </w:tcPr>
          <w:p>
            <w:pPr>
              <w:ind w:left="240"/>
              <w:spacing w:after="0" w:line="183" w:lineRule="exact"/>
              <w:rPr>
                <w:sz w:val="20"/>
                <w:szCs w:val="20"/>
                <w:color w:val="auto"/>
              </w:rPr>
            </w:pPr>
            <w:r>
              <w:rPr>
                <w:rFonts w:ascii="Arial" w:cs="Arial" w:eastAsia="Arial" w:hAnsi="Arial"/>
                <w:sz w:val="20"/>
                <w:szCs w:val="20"/>
                <w:color w:val="auto"/>
              </w:rPr>
              <w:t>Victoria Stewart, Senior Director of Investor Relations and</w:t>
            </w:r>
          </w:p>
        </w:tc>
        <w:tc>
          <w:tcPr>
            <w:tcW w:w="100" w:type="dxa"/>
            <w:vAlign w:val="bottom"/>
          </w:tcPr>
          <w:p>
            <w:pPr>
              <w:spacing w:after="0"/>
              <w:rPr>
                <w:sz w:val="17"/>
                <w:szCs w:val="17"/>
                <w:color w:val="auto"/>
              </w:rPr>
            </w:pPr>
          </w:p>
        </w:tc>
        <w:tc>
          <w:tcPr>
            <w:tcW w:w="5500" w:type="dxa"/>
            <w:vAlign w:val="bottom"/>
            <w:tcBorders>
              <w:right w:val="single" w:sz="8" w:color="CFCFCF"/>
            </w:tcBorders>
            <w:gridSpan w:val="3"/>
          </w:tcPr>
          <w:p>
            <w:pPr>
              <w:spacing w:after="0" w:line="183" w:lineRule="exact"/>
              <w:rPr>
                <w:sz w:val="20"/>
                <w:szCs w:val="20"/>
                <w:color w:val="auto"/>
              </w:rPr>
            </w:pPr>
            <w:r>
              <w:rPr>
                <w:rFonts w:ascii="Arial" w:cs="Arial" w:eastAsia="Arial" w:hAnsi="Arial"/>
                <w:sz w:val="20"/>
                <w:szCs w:val="20"/>
                <w:color w:val="0000FF"/>
              </w:rPr>
              <w:t>IR@veronapharma.com</w:t>
            </w:r>
          </w:p>
        </w:tc>
      </w:tr>
      <w:tr>
        <w:trPr>
          <w:trHeight w:val="281"/>
        </w:trPr>
        <w:tc>
          <w:tcPr>
            <w:tcW w:w="5620" w:type="dxa"/>
            <w:vAlign w:val="bottom"/>
            <w:tcBorders>
              <w:left w:val="single" w:sz="8" w:color="CFCFCF"/>
              <w:right w:val="single" w:sz="8" w:color="CFCFCF"/>
            </w:tcBorders>
          </w:tcPr>
          <w:p>
            <w:pPr>
              <w:ind w:left="240"/>
              <w:spacing w:after="0"/>
              <w:rPr>
                <w:sz w:val="20"/>
                <w:szCs w:val="20"/>
                <w:color w:val="auto"/>
              </w:rPr>
            </w:pPr>
            <w:r>
              <w:rPr>
                <w:rFonts w:ascii="Arial" w:cs="Arial" w:eastAsia="Arial" w:hAnsi="Arial"/>
                <w:sz w:val="20"/>
                <w:szCs w:val="20"/>
                <w:color w:val="auto"/>
              </w:rPr>
              <w:t>Communications</w:t>
            </w:r>
          </w:p>
        </w:tc>
        <w:tc>
          <w:tcPr>
            <w:tcW w:w="10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Borders>
              <w:right w:val="single" w:sz="8" w:color="CFCFCF"/>
            </w:tcBorders>
          </w:tcPr>
          <w:p>
            <w:pPr>
              <w:spacing w:after="0"/>
              <w:rPr>
                <w:sz w:val="24"/>
                <w:szCs w:val="24"/>
                <w:color w:val="auto"/>
              </w:rPr>
            </w:pPr>
          </w:p>
        </w:tc>
      </w:tr>
      <w:tr>
        <w:trPr>
          <w:trHeight w:val="23"/>
        </w:trPr>
        <w:tc>
          <w:tcPr>
            <w:tcW w:w="5620" w:type="dxa"/>
            <w:vAlign w:val="bottom"/>
            <w:tcBorders>
              <w:left w:val="single" w:sz="8" w:color="CFCFCF"/>
              <w:bottom w:val="single" w:sz="8" w:color="CFCFCF"/>
              <w:right w:val="single" w:sz="8" w:color="CFCFCF"/>
            </w:tcBorders>
          </w:tcPr>
          <w:p>
            <w:pPr>
              <w:spacing w:after="0"/>
              <w:rPr>
                <w:sz w:val="2"/>
                <w:szCs w:val="2"/>
                <w:color w:val="auto"/>
              </w:rPr>
            </w:pPr>
          </w:p>
        </w:tc>
        <w:tc>
          <w:tcPr>
            <w:tcW w:w="100" w:type="dxa"/>
            <w:vAlign w:val="bottom"/>
            <w:tcBorders>
              <w:bottom w:val="single" w:sz="8" w:color="CFCFCF"/>
            </w:tcBorders>
          </w:tcPr>
          <w:p>
            <w:pPr>
              <w:spacing w:after="0"/>
              <w:rPr>
                <w:sz w:val="2"/>
                <w:szCs w:val="2"/>
                <w:color w:val="auto"/>
              </w:rPr>
            </w:pPr>
          </w:p>
        </w:tc>
        <w:tc>
          <w:tcPr>
            <w:tcW w:w="2100" w:type="dxa"/>
            <w:vAlign w:val="bottom"/>
            <w:tcBorders>
              <w:bottom w:val="single" w:sz="8" w:color="CFCFCF"/>
            </w:tcBorders>
          </w:tcPr>
          <w:p>
            <w:pPr>
              <w:spacing w:after="0"/>
              <w:rPr>
                <w:sz w:val="2"/>
                <w:szCs w:val="2"/>
                <w:color w:val="auto"/>
              </w:rPr>
            </w:pPr>
          </w:p>
        </w:tc>
        <w:tc>
          <w:tcPr>
            <w:tcW w:w="300" w:type="dxa"/>
            <w:vAlign w:val="bottom"/>
            <w:tcBorders>
              <w:bottom w:val="single" w:sz="8" w:color="CFCFCF"/>
            </w:tcBorders>
          </w:tcPr>
          <w:p>
            <w:pPr>
              <w:spacing w:after="0"/>
              <w:rPr>
                <w:sz w:val="2"/>
                <w:szCs w:val="2"/>
                <w:color w:val="auto"/>
              </w:rPr>
            </w:pPr>
          </w:p>
        </w:tc>
        <w:tc>
          <w:tcPr>
            <w:tcW w:w="3100" w:type="dxa"/>
            <w:vAlign w:val="bottom"/>
            <w:tcBorders>
              <w:bottom w:val="single" w:sz="8" w:color="CFCFCF"/>
              <w:right w:val="single" w:sz="8" w:color="CFCFCF"/>
            </w:tcBorders>
          </w:tcPr>
          <w:p>
            <w:pPr>
              <w:spacing w:after="0"/>
              <w:rPr>
                <w:sz w:val="2"/>
                <w:szCs w:val="2"/>
                <w:color w:val="auto"/>
              </w:rPr>
            </w:pPr>
          </w:p>
        </w:tc>
      </w:tr>
      <w:tr>
        <w:trPr>
          <w:trHeight w:val="192"/>
        </w:trPr>
        <w:tc>
          <w:tcPr>
            <w:tcW w:w="5620" w:type="dxa"/>
            <w:vAlign w:val="bottom"/>
            <w:tcBorders>
              <w:left w:val="single" w:sz="8" w:color="CFCFCF"/>
              <w:right w:val="single" w:sz="8" w:color="CFCFCF"/>
            </w:tcBorders>
          </w:tcPr>
          <w:p>
            <w:pPr>
              <w:ind w:left="240"/>
              <w:spacing w:after="0" w:line="192" w:lineRule="exact"/>
              <w:rPr>
                <w:sz w:val="20"/>
                <w:szCs w:val="20"/>
                <w:color w:val="auto"/>
              </w:rPr>
            </w:pPr>
            <w:r>
              <w:rPr>
                <w:rFonts w:ascii="Arial" w:cs="Arial" w:eastAsia="Arial" w:hAnsi="Arial"/>
                <w:sz w:val="20"/>
                <w:szCs w:val="20"/>
                <w:b w:val="1"/>
                <w:bCs w:val="1"/>
                <w:color w:val="auto"/>
              </w:rPr>
              <w:t>Argot Partners</w:t>
            </w:r>
          </w:p>
        </w:tc>
        <w:tc>
          <w:tcPr>
            <w:tcW w:w="100" w:type="dxa"/>
            <w:vAlign w:val="bottom"/>
          </w:tcPr>
          <w:p>
            <w:pPr>
              <w:spacing w:after="0"/>
              <w:rPr>
                <w:sz w:val="16"/>
                <w:szCs w:val="16"/>
                <w:color w:val="auto"/>
              </w:rPr>
            </w:pPr>
          </w:p>
        </w:tc>
        <w:tc>
          <w:tcPr>
            <w:tcW w:w="5500" w:type="dxa"/>
            <w:vAlign w:val="bottom"/>
            <w:tcBorders>
              <w:right w:val="single" w:sz="8" w:color="CFCFCF"/>
            </w:tcBorders>
            <w:gridSpan w:val="3"/>
          </w:tcPr>
          <w:p>
            <w:pPr>
              <w:spacing w:after="0" w:line="192" w:lineRule="exact"/>
              <w:rPr>
                <w:sz w:val="20"/>
                <w:szCs w:val="20"/>
                <w:color w:val="auto"/>
              </w:rPr>
            </w:pPr>
            <w:r>
              <w:rPr>
                <w:rFonts w:ascii="Arial" w:cs="Arial" w:eastAsia="Arial" w:hAnsi="Arial"/>
                <w:sz w:val="20"/>
                <w:szCs w:val="20"/>
                <w:color w:val="auto"/>
              </w:rPr>
              <w:t>Tel: +1-212-600-1902</w:t>
            </w:r>
          </w:p>
        </w:tc>
      </w:tr>
      <w:tr>
        <w:trPr>
          <w:trHeight w:val="207"/>
        </w:trPr>
        <w:tc>
          <w:tcPr>
            <w:tcW w:w="5620" w:type="dxa"/>
            <w:vAlign w:val="bottom"/>
            <w:tcBorders>
              <w:left w:val="single" w:sz="8" w:color="CFCFCF"/>
              <w:right w:val="single" w:sz="8" w:color="CFCFCF"/>
            </w:tcBorders>
          </w:tcPr>
          <w:p>
            <w:pPr>
              <w:ind w:left="240"/>
              <w:spacing w:after="0" w:line="207" w:lineRule="exact"/>
              <w:rPr>
                <w:sz w:val="20"/>
                <w:szCs w:val="20"/>
                <w:color w:val="auto"/>
              </w:rPr>
            </w:pPr>
            <w:r>
              <w:rPr>
                <w:rFonts w:ascii="Arial" w:cs="Arial" w:eastAsia="Arial" w:hAnsi="Arial"/>
                <w:sz w:val="20"/>
                <w:szCs w:val="20"/>
                <w:color w:val="auto"/>
              </w:rPr>
              <w:t>US Investor Enquiries</w:t>
            </w:r>
          </w:p>
        </w:tc>
        <w:tc>
          <w:tcPr>
            <w:tcW w:w="100" w:type="dxa"/>
            <w:vAlign w:val="bottom"/>
          </w:tcPr>
          <w:p>
            <w:pPr>
              <w:spacing w:after="0"/>
              <w:rPr>
                <w:sz w:val="17"/>
                <w:szCs w:val="17"/>
                <w:color w:val="auto"/>
              </w:rPr>
            </w:pPr>
          </w:p>
        </w:tc>
        <w:tc>
          <w:tcPr>
            <w:tcW w:w="5500" w:type="dxa"/>
            <w:vAlign w:val="bottom"/>
            <w:tcBorders>
              <w:right w:val="single" w:sz="8" w:color="CFCFCF"/>
            </w:tcBorders>
            <w:gridSpan w:val="3"/>
          </w:tcPr>
          <w:p>
            <w:pPr>
              <w:spacing w:after="0" w:line="207" w:lineRule="exact"/>
              <w:rPr>
                <w:sz w:val="20"/>
                <w:szCs w:val="20"/>
                <w:color w:val="auto"/>
              </w:rPr>
            </w:pPr>
            <w:r>
              <w:rPr>
                <w:rFonts w:ascii="Arial" w:cs="Arial" w:eastAsia="Arial" w:hAnsi="Arial"/>
                <w:sz w:val="20"/>
                <w:szCs w:val="20"/>
                <w:color w:val="0000FF"/>
              </w:rPr>
              <w:t>verona@argotpartners.com</w:t>
            </w:r>
          </w:p>
        </w:tc>
      </w:tr>
      <w:tr>
        <w:trPr>
          <w:trHeight w:val="20"/>
        </w:trPr>
        <w:tc>
          <w:tcPr>
            <w:tcW w:w="5620" w:type="dxa"/>
            <w:vAlign w:val="bottom"/>
            <w:tcBorders>
              <w:left w:val="single" w:sz="8" w:color="CFCFCF"/>
              <w:bottom w:val="single" w:sz="8" w:color="CFCFCF"/>
              <w:right w:val="single" w:sz="8" w:color="CFCFCF"/>
            </w:tcBorders>
          </w:tcPr>
          <w:p>
            <w:pPr>
              <w:spacing w:after="0" w:line="20" w:lineRule="exact"/>
              <w:rPr>
                <w:sz w:val="1"/>
                <w:szCs w:val="1"/>
                <w:color w:val="auto"/>
              </w:rPr>
            </w:pPr>
          </w:p>
        </w:tc>
        <w:tc>
          <w:tcPr>
            <w:tcW w:w="100" w:type="dxa"/>
            <w:vAlign w:val="bottom"/>
            <w:tcBorders>
              <w:bottom w:val="single" w:sz="8" w:color="CFCFCF"/>
            </w:tcBorders>
          </w:tcPr>
          <w:p>
            <w:pPr>
              <w:spacing w:after="0" w:line="20" w:lineRule="exact"/>
              <w:rPr>
                <w:sz w:val="1"/>
                <w:szCs w:val="1"/>
                <w:color w:val="auto"/>
              </w:rPr>
            </w:pPr>
          </w:p>
        </w:tc>
        <w:tc>
          <w:tcPr>
            <w:tcW w:w="2100" w:type="dxa"/>
            <w:vAlign w:val="bottom"/>
            <w:tcBorders>
              <w:top w:val="single" w:sz="8" w:color="0000FF"/>
              <w:bottom w:val="single" w:sz="8" w:color="CFCFCF"/>
            </w:tcBorders>
          </w:tcPr>
          <w:p>
            <w:pPr>
              <w:spacing w:after="0" w:line="20" w:lineRule="exact"/>
              <w:rPr>
                <w:sz w:val="1"/>
                <w:szCs w:val="1"/>
                <w:color w:val="auto"/>
              </w:rPr>
            </w:pPr>
          </w:p>
        </w:tc>
        <w:tc>
          <w:tcPr>
            <w:tcW w:w="300" w:type="dxa"/>
            <w:vAlign w:val="bottom"/>
            <w:tcBorders>
              <w:top w:val="single" w:sz="8" w:color="0000FF"/>
              <w:bottom w:val="single" w:sz="8" w:color="CFCFCF"/>
            </w:tcBorders>
          </w:tcPr>
          <w:p>
            <w:pPr>
              <w:spacing w:after="0" w:line="20" w:lineRule="exact"/>
              <w:rPr>
                <w:sz w:val="1"/>
                <w:szCs w:val="1"/>
                <w:color w:val="auto"/>
              </w:rPr>
            </w:pPr>
          </w:p>
        </w:tc>
        <w:tc>
          <w:tcPr>
            <w:tcW w:w="3100" w:type="dxa"/>
            <w:vAlign w:val="bottom"/>
            <w:tcBorders>
              <w:bottom w:val="single" w:sz="8" w:color="CFCFCF"/>
              <w:right w:val="single" w:sz="8" w:color="CFCFCF"/>
            </w:tcBorders>
          </w:tcPr>
          <w:p>
            <w:pPr>
              <w:spacing w:after="0" w:line="20" w:lineRule="exact"/>
              <w:rPr>
                <w:sz w:val="1"/>
                <w:szCs w:val="1"/>
                <w:color w:val="auto"/>
              </w:rPr>
            </w:pPr>
          </w:p>
        </w:tc>
      </w:tr>
      <w:tr>
        <w:trPr>
          <w:trHeight w:val="192"/>
        </w:trPr>
        <w:tc>
          <w:tcPr>
            <w:tcW w:w="5620" w:type="dxa"/>
            <w:vAlign w:val="bottom"/>
            <w:tcBorders>
              <w:left w:val="single" w:sz="8" w:color="CFCFCF"/>
              <w:right w:val="single" w:sz="8" w:color="CFCFCF"/>
            </w:tcBorders>
          </w:tcPr>
          <w:p>
            <w:pPr>
              <w:ind w:left="240"/>
              <w:spacing w:after="0" w:line="192" w:lineRule="exact"/>
              <w:rPr>
                <w:sz w:val="20"/>
                <w:szCs w:val="20"/>
                <w:color w:val="auto"/>
              </w:rPr>
            </w:pPr>
            <w:r>
              <w:rPr>
                <w:rFonts w:ascii="Arial" w:cs="Arial" w:eastAsia="Arial" w:hAnsi="Arial"/>
                <w:sz w:val="20"/>
                <w:szCs w:val="20"/>
                <w:b w:val="1"/>
                <w:bCs w:val="1"/>
                <w:color w:val="auto"/>
              </w:rPr>
              <w:t>Ten Bridge Communications</w:t>
            </w:r>
          </w:p>
        </w:tc>
        <w:tc>
          <w:tcPr>
            <w:tcW w:w="100" w:type="dxa"/>
            <w:vAlign w:val="bottom"/>
          </w:tcPr>
          <w:p>
            <w:pPr>
              <w:spacing w:after="0"/>
              <w:rPr>
                <w:sz w:val="16"/>
                <w:szCs w:val="16"/>
                <w:color w:val="auto"/>
              </w:rPr>
            </w:pPr>
          </w:p>
        </w:tc>
        <w:tc>
          <w:tcPr>
            <w:tcW w:w="5500" w:type="dxa"/>
            <w:vAlign w:val="bottom"/>
            <w:tcBorders>
              <w:right w:val="single" w:sz="8" w:color="CFCFCF"/>
            </w:tcBorders>
            <w:gridSpan w:val="3"/>
          </w:tcPr>
          <w:p>
            <w:pPr>
              <w:spacing w:after="0" w:line="192" w:lineRule="exact"/>
              <w:rPr>
                <w:sz w:val="20"/>
                <w:szCs w:val="20"/>
                <w:color w:val="auto"/>
              </w:rPr>
            </w:pPr>
            <w:r>
              <w:rPr>
                <w:rFonts w:ascii="Arial" w:cs="Arial" w:eastAsia="Arial" w:hAnsi="Arial"/>
                <w:sz w:val="20"/>
                <w:szCs w:val="20"/>
                <w:color w:val="auto"/>
              </w:rPr>
              <w:t>Tel: +1-312-523-5016</w:t>
            </w:r>
          </w:p>
        </w:tc>
      </w:tr>
      <w:tr>
        <w:trPr>
          <w:trHeight w:val="247"/>
        </w:trPr>
        <w:tc>
          <w:tcPr>
            <w:tcW w:w="5620" w:type="dxa"/>
            <w:vAlign w:val="bottom"/>
            <w:tcBorders>
              <w:left w:val="single" w:sz="8" w:color="CFCFCF"/>
              <w:bottom w:val="single" w:sz="8" w:color="CFCFCF"/>
              <w:right w:val="single" w:sz="8" w:color="CFCFCF"/>
            </w:tcBorders>
          </w:tcPr>
          <w:p>
            <w:pPr>
              <w:ind w:left="240"/>
              <w:spacing w:after="0"/>
              <w:rPr>
                <w:sz w:val="20"/>
                <w:szCs w:val="20"/>
                <w:color w:val="auto"/>
              </w:rPr>
            </w:pPr>
            <w:r>
              <w:rPr>
                <w:rFonts w:ascii="Arial" w:cs="Arial" w:eastAsia="Arial" w:hAnsi="Arial"/>
                <w:sz w:val="20"/>
                <w:szCs w:val="20"/>
                <w:color w:val="auto"/>
              </w:rPr>
              <w:t>International / US Media Enquiries</w:t>
            </w:r>
          </w:p>
        </w:tc>
        <w:tc>
          <w:tcPr>
            <w:tcW w:w="100" w:type="dxa"/>
            <w:vAlign w:val="bottom"/>
            <w:tcBorders>
              <w:bottom w:val="single" w:sz="8" w:color="CFCFCF"/>
            </w:tcBorders>
          </w:tcPr>
          <w:p>
            <w:pPr>
              <w:spacing w:after="0"/>
              <w:rPr>
                <w:sz w:val="21"/>
                <w:szCs w:val="21"/>
                <w:color w:val="auto"/>
              </w:rPr>
            </w:pPr>
          </w:p>
        </w:tc>
        <w:tc>
          <w:tcPr>
            <w:tcW w:w="5500" w:type="dxa"/>
            <w:vAlign w:val="bottom"/>
            <w:tcBorders>
              <w:bottom w:val="single" w:sz="8" w:color="CFCFCF"/>
              <w:right w:val="single" w:sz="8" w:color="CFCFCF"/>
            </w:tcBorders>
            <w:gridSpan w:val="3"/>
          </w:tcPr>
          <w:p>
            <w:pPr>
              <w:spacing w:after="0"/>
              <w:rPr>
                <w:sz w:val="20"/>
                <w:szCs w:val="20"/>
                <w:color w:val="auto"/>
              </w:rPr>
            </w:pPr>
            <w:r>
              <w:rPr>
                <w:rFonts w:ascii="Arial" w:cs="Arial" w:eastAsia="Arial" w:hAnsi="Arial"/>
                <w:sz w:val="20"/>
                <w:szCs w:val="20"/>
                <w:color w:val="auto"/>
              </w:rPr>
              <w:t>tbcverona@tenbridgecommunications.com</w:t>
            </w:r>
          </w:p>
        </w:tc>
      </w:tr>
      <w:tr>
        <w:trPr>
          <w:trHeight w:val="268"/>
        </w:trPr>
        <w:tc>
          <w:tcPr>
            <w:tcW w:w="5620" w:type="dxa"/>
            <w:vAlign w:val="bottom"/>
            <w:tcBorders>
              <w:left w:val="single" w:sz="8" w:color="CFCFCF"/>
              <w:right w:val="single" w:sz="8" w:color="CFCFCF"/>
            </w:tcBorders>
          </w:tcPr>
          <w:p>
            <w:pPr>
              <w:ind w:left="240"/>
              <w:spacing w:after="0"/>
              <w:rPr>
                <w:sz w:val="20"/>
                <w:szCs w:val="20"/>
                <w:color w:val="auto"/>
              </w:rPr>
            </w:pPr>
            <w:r>
              <w:rPr>
                <w:rFonts w:ascii="Arial" w:cs="Arial" w:eastAsia="Arial" w:hAnsi="Arial"/>
                <w:sz w:val="20"/>
                <w:szCs w:val="20"/>
                <w:color w:val="auto"/>
              </w:rPr>
              <w:t>Leslie Humbel</w:t>
            </w:r>
          </w:p>
        </w:tc>
        <w:tc>
          <w:tcPr>
            <w:tcW w:w="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00" w:type="dxa"/>
            <w:vAlign w:val="bottom"/>
            <w:tcBorders>
              <w:right w:val="single" w:sz="8" w:color="CFCFCF"/>
            </w:tcBorders>
          </w:tcPr>
          <w:p>
            <w:pPr>
              <w:spacing w:after="0"/>
              <w:rPr>
                <w:sz w:val="23"/>
                <w:szCs w:val="23"/>
                <w:color w:val="auto"/>
              </w:rPr>
            </w:pPr>
          </w:p>
        </w:tc>
      </w:tr>
      <w:tr>
        <w:trPr>
          <w:trHeight w:val="23"/>
        </w:trPr>
        <w:tc>
          <w:tcPr>
            <w:tcW w:w="5620" w:type="dxa"/>
            <w:vAlign w:val="bottom"/>
            <w:tcBorders>
              <w:left w:val="single" w:sz="8" w:color="CFCFCF"/>
              <w:bottom w:val="single" w:sz="8" w:color="CFCFCF"/>
              <w:right w:val="single" w:sz="8" w:color="CFCFCF"/>
            </w:tcBorders>
          </w:tcPr>
          <w:p>
            <w:pPr>
              <w:spacing w:after="0"/>
              <w:rPr>
                <w:sz w:val="2"/>
                <w:szCs w:val="2"/>
                <w:color w:val="auto"/>
              </w:rPr>
            </w:pPr>
          </w:p>
        </w:tc>
        <w:tc>
          <w:tcPr>
            <w:tcW w:w="100" w:type="dxa"/>
            <w:vAlign w:val="bottom"/>
            <w:tcBorders>
              <w:bottom w:val="single" w:sz="8" w:color="CFCFCF"/>
            </w:tcBorders>
          </w:tcPr>
          <w:p>
            <w:pPr>
              <w:spacing w:after="0"/>
              <w:rPr>
                <w:sz w:val="2"/>
                <w:szCs w:val="2"/>
                <w:color w:val="auto"/>
              </w:rPr>
            </w:pPr>
          </w:p>
        </w:tc>
        <w:tc>
          <w:tcPr>
            <w:tcW w:w="2100" w:type="dxa"/>
            <w:vAlign w:val="bottom"/>
            <w:tcBorders>
              <w:bottom w:val="single" w:sz="8" w:color="CFCFCF"/>
            </w:tcBorders>
          </w:tcPr>
          <w:p>
            <w:pPr>
              <w:spacing w:after="0"/>
              <w:rPr>
                <w:sz w:val="2"/>
                <w:szCs w:val="2"/>
                <w:color w:val="auto"/>
              </w:rPr>
            </w:pPr>
          </w:p>
        </w:tc>
        <w:tc>
          <w:tcPr>
            <w:tcW w:w="300" w:type="dxa"/>
            <w:vAlign w:val="bottom"/>
            <w:tcBorders>
              <w:bottom w:val="single" w:sz="8" w:color="CFCFCF"/>
            </w:tcBorders>
          </w:tcPr>
          <w:p>
            <w:pPr>
              <w:spacing w:after="0"/>
              <w:rPr>
                <w:sz w:val="2"/>
                <w:szCs w:val="2"/>
                <w:color w:val="auto"/>
              </w:rPr>
            </w:pPr>
          </w:p>
        </w:tc>
        <w:tc>
          <w:tcPr>
            <w:tcW w:w="3100" w:type="dxa"/>
            <w:vAlign w:val="bottom"/>
            <w:tcBorders>
              <w:bottom w:val="single" w:sz="8" w:color="CFCFCF"/>
              <w:right w:val="single" w:sz="8" w:color="CFCFCF"/>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Verona Pharma is a clinical-stage biopharmaceutical company focused on developing and commercializing innovative therapies for the treatment of chronic respiratory diseases with significant unmet medical needs. If successfully developed and approved, Verona Pharma’s product candidate, ensifentrine, has the potential to become the first non-steroidal therapy for the treatment of respiratory diseases that combines bronchodilator and anti-inflammatory activities in one molecule. The Company has evaluated nebulized ensifentrine in its Phase 3 clinical program ENHANCE (“Ensifentrine as a Novel inHAled Nebulized COPD thErapy”) for COPD maintenance treatment. Ensifentrine met the primary endpoint in both ENHANCE-1 and ENHANCE-2 trials demonstrating statistically significant and clinically meaningful improvements in lung function. In addition, ensifentrine substantially reduced the rate and risk of COPD exacerbations in pooled analysis from ENHANCE-1 and ENHANCE-2. In the third quarter of 2023, the US Food and Drug Administration accepted for review the Company’s NDA for ensifentrine for the maintenance treatment of patients with COPD and assigned a PDUFA target action date of June 26, 2024. Two additional formulations of ensifentrine have been evaluated in Phase 2 trials for the treatment of COPD: dry powder</w:t>
      </w:r>
    </w:p>
    <w:p>
      <w:pPr>
        <w:sectPr>
          <w:pgSz w:w="11900" w:h="16838" w:orient="portrait"/>
          <w:cols w:equalWidth="0" w:num="1">
            <w:col w:w="11240"/>
          </w:cols>
          <w:pgMar w:left="320" w:top="1418"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20"/>
          <w:szCs w:val="20"/>
          <w:color w:val="auto"/>
        </w:rPr>
        <w:t>inhaler (“DPI”) and pressurized metered-dose inhaler (“pMDI”). Ensifentrine has potential applications in non-cystic fibrosis bronchiectasis, cystic fibrosis, asthma and other respiratory diseases. For more information, please visit www.veronapharma.com.</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statements regarding our operational review, outlook and financial review, the timing of the FDA’s decision on the approval of the NDA for ensifentrine and the assigned PDUFA target action date, the planned US commercial launch of ensifentrine and timing thereof and the advancement of commercialization preparations in support of the launch, the potential for ensifentrine to be the first novel mechanism available for the treatment of COPD in more than 10 years and the first therapy for the treatment of respiratory diseases to combine bronchodilator and non-steroidal anti-inflammatory benefits in one compound, the planned development of a fixed-dose combination formulation of ensifentrine and glycopyrrolate for the treatment of COPD and the planned development and potential of ensifentrine in the treatment of non-cystic fibrosis bronchiectasis and the potential of ensifentrine in the treatment of cystic fibrosis, asthma and other respiratory diseases, as well as the potential of the DPI and pMDI formulations of ensifentrine, the remaining $130 million funding we expect to become available under the debt facility and from cash receipts from UK tax credits, and the sufficiency of our cash and cash equivalents, and the cash runway period provided by the sources of financing through to at least the end of 2025 and expected to fund our operations.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w:t>
      </w:r>
    </w:p>
    <w:p>
      <w:pPr>
        <w:sectPr>
          <w:pgSz w:w="11900" w:h="16838" w:orient="portrait"/>
          <w:cols w:equalWidth="0" w:num="1">
            <w:col w:w="11240"/>
          </w:cols>
          <w:pgMar w:left="320" w:top="1418" w:right="3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20"/>
          <w:szCs w:val="20"/>
          <w:color w:val="auto"/>
        </w:rPr>
        <w:t>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2022, as updated in our Quarterly Reports on Form 10-Q for the quarters ended March 31, 2023, June 30, 2023 and September 30, 2023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ectPr>
          <w:pgSz w:w="11900" w:h="16838" w:orient="portrait"/>
          <w:cols w:equalWidth="0" w:num="1">
            <w:col w:w="11240"/>
          </w:cols>
          <w:pgMar w:left="320" w:top="1418"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2323"/>
        </w:rPr>
        <w:t>(in thousands, except per share amounts)</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800" w:type="dxa"/>
            <w:vAlign w:val="bottom"/>
            <w:tcBorders>
              <w:top w:val="single" w:sz="8" w:color="auto"/>
              <w:left w:val="single" w:sz="8" w:color="auto"/>
            </w:tcBorders>
          </w:tcPr>
          <w:p>
            <w:pPr>
              <w:spacing w:after="0"/>
              <w:rPr>
                <w:sz w:val="23"/>
                <w:szCs w:val="23"/>
                <w:color w:val="auto"/>
              </w:rPr>
            </w:pPr>
          </w:p>
        </w:tc>
        <w:tc>
          <w:tcPr>
            <w:tcW w:w="4580" w:type="dxa"/>
            <w:vAlign w:val="bottom"/>
            <w:tcBorders>
              <w:top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Three months ended September 30,</w:t>
            </w:r>
          </w:p>
        </w:tc>
        <w:tc>
          <w:tcPr>
            <w:tcW w:w="8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800" w:type="dxa"/>
            <w:vAlign w:val="bottom"/>
            <w:tcBorders>
              <w:left w:val="single" w:sz="8" w:color="auto"/>
            </w:tcBorders>
          </w:tcPr>
          <w:p>
            <w:pPr>
              <w:spacing w:after="0"/>
              <w:rPr>
                <w:sz w:val="24"/>
                <w:szCs w:val="24"/>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2022</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2"/>
        </w:trPr>
        <w:tc>
          <w:tcPr>
            <w:tcW w:w="5800" w:type="dxa"/>
            <w:vAlign w:val="bottom"/>
            <w:tcBorders>
              <w:left w:val="single" w:sz="8" w:color="auto"/>
            </w:tcBorders>
            <w:vMerge w:val="continue"/>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2,958</w:t>
            </w:r>
          </w:p>
        </w:tc>
        <w:tc>
          <w:tcPr>
            <w:tcW w:w="340" w:type="dxa"/>
            <w:vAlign w:val="bottom"/>
          </w:tcPr>
          <w:p>
            <w:pPr>
              <w:spacing w:after="0"/>
              <w:rPr>
                <w:sz w:val="23"/>
                <w:szCs w:val="23"/>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83"/>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13,353</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40"/>
        </w:trPr>
        <w:tc>
          <w:tcPr>
            <w:tcW w:w="58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00" w:type="dxa"/>
            <w:vAlign w:val="bottom"/>
            <w:tcBorders>
              <w:left w:val="single" w:sz="8" w:color="auto"/>
            </w:tcBorders>
            <w:vMerge w:val="continue"/>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16,311</w:t>
            </w: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41"/>
        </w:trPr>
        <w:tc>
          <w:tcPr>
            <w:tcW w:w="58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Operating loss</w:t>
            </w: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00" w:type="dxa"/>
            <w:vAlign w:val="bottom"/>
            <w:tcBorders>
              <w:left w:val="single" w:sz="8" w:color="auto"/>
            </w:tcBorders>
            <w:vMerge w:val="continue"/>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(16,311)</w:t>
            </w: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295"/>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Other income/(expense)</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Research and development tax credit</w:t>
            </w:r>
          </w:p>
        </w:tc>
        <w:tc>
          <w:tcPr>
            <w:tcW w:w="17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83"/>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Interest income</w:t>
            </w:r>
          </w:p>
        </w:tc>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3,390</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83"/>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84"/>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Foreign exchange (loss)/gain</w:t>
            </w:r>
          </w:p>
        </w:tc>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40"/>
        </w:trPr>
        <w:tc>
          <w:tcPr>
            <w:tcW w:w="58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Total other income/(expense), net</w:t>
            </w: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00" w:type="dxa"/>
            <w:vAlign w:val="bottom"/>
            <w:tcBorders>
              <w:left w:val="single" w:sz="8" w:color="auto"/>
            </w:tcBorders>
            <w:vMerge w:val="continue"/>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1,668</w:t>
            </w: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40"/>
        </w:trPr>
        <w:tc>
          <w:tcPr>
            <w:tcW w:w="58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Loss before income taxes</w:t>
            </w: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00" w:type="dxa"/>
            <w:vAlign w:val="bottom"/>
            <w:tcBorders>
              <w:left w:val="single" w:sz="8" w:color="auto"/>
            </w:tcBorders>
            <w:vMerge w:val="continue"/>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(14,643)</w:t>
            </w: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0" w:type="dxa"/>
            <w:vAlign w:val="bottom"/>
          </w:tcPr>
          <w:p>
            <w:pPr>
              <w:spacing w:after="0"/>
              <w:rPr>
                <w:sz w:val="1"/>
                <w:szCs w:val="1"/>
                <w:color w:val="auto"/>
              </w:rPr>
            </w:pPr>
          </w:p>
        </w:tc>
      </w:tr>
      <w:tr>
        <w:trPr>
          <w:trHeight w:val="284"/>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Income tax expense</w:t>
            </w:r>
          </w:p>
        </w:tc>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0"/>
        </w:trPr>
        <w:tc>
          <w:tcPr>
            <w:tcW w:w="58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Net loss</w:t>
            </w: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800" w:type="dxa"/>
            <w:vAlign w:val="bottom"/>
            <w:tcBorders>
              <w:left w:val="single" w:sz="8" w:color="auto"/>
            </w:tcBorders>
            <w:vMerge w:val="continue"/>
          </w:tcPr>
          <w:p>
            <w:pPr>
              <w:spacing w:after="0"/>
              <w:rPr>
                <w:sz w:val="21"/>
                <w:szCs w:val="21"/>
                <w:color w:val="auto"/>
              </w:rPr>
            </w:pP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(14,687)</w:t>
            </w:r>
          </w:p>
        </w:tc>
        <w:tc>
          <w:tcPr>
            <w:tcW w:w="340" w:type="dxa"/>
            <w:vAlign w:val="bottom"/>
          </w:tcPr>
          <w:p>
            <w:pPr>
              <w:spacing w:after="0"/>
              <w:rPr>
                <w:sz w:val="21"/>
                <w:szCs w:val="21"/>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0" w:type="dxa"/>
            <w:vAlign w:val="bottom"/>
          </w:tcPr>
          <w:p>
            <w:pPr>
              <w:spacing w:after="0"/>
              <w:rPr>
                <w:sz w:val="1"/>
                <w:szCs w:val="1"/>
                <w:color w:val="auto"/>
              </w:rPr>
            </w:pPr>
          </w:p>
        </w:tc>
      </w:tr>
      <w:tr>
        <w:trPr>
          <w:trHeight w:val="29"/>
        </w:trPr>
        <w:tc>
          <w:tcPr>
            <w:tcW w:w="5800" w:type="dxa"/>
            <w:vAlign w:val="bottom"/>
            <w:tcBorders>
              <w:lef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tcBorders>
              <w:lef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Weighted-average shares outstanding – basic and diluted</w:t>
            </w:r>
          </w:p>
        </w:tc>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638,239</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544,134</w:t>
            </w:r>
          </w:p>
        </w:tc>
        <w:tc>
          <w:tcPr>
            <w:tcW w:w="0" w:type="dxa"/>
            <w:vAlign w:val="bottom"/>
          </w:tcPr>
          <w:p>
            <w:pPr>
              <w:spacing w:after="0"/>
              <w:rPr>
                <w:sz w:val="1"/>
                <w:szCs w:val="1"/>
                <w:color w:val="auto"/>
              </w:rPr>
            </w:pPr>
          </w:p>
        </w:tc>
      </w:tr>
      <w:tr>
        <w:trPr>
          <w:trHeight w:val="283"/>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Loss per ordinary share – basic and diluted</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24"/>
                <w:szCs w:val="24"/>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40"/>
        </w:trPr>
        <w:tc>
          <w:tcPr>
            <w:tcW w:w="5800" w:type="dxa"/>
            <w:vAlign w:val="bottom"/>
            <w:tcBorders>
              <w:lef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0" w:type="dxa"/>
            <w:vAlign w:val="bottom"/>
            <w:tcBorders>
              <w:lef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0" w:type="dxa"/>
            <w:vAlign w:val="bottom"/>
            <w:tcBorders>
              <w:left w:val="single" w:sz="8" w:color="auto"/>
            </w:tcBorders>
          </w:tcPr>
          <w:p>
            <w:pPr>
              <w:spacing w:after="0"/>
              <w:rPr>
                <w:sz w:val="24"/>
                <w:szCs w:val="24"/>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Sep-30</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Jun-30</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00" w:type="dxa"/>
            <w:vAlign w:val="bottom"/>
            <w:tcBorders>
              <w:left w:val="single" w:sz="8" w:color="auto"/>
            </w:tcBorders>
          </w:tcPr>
          <w:p>
            <w:pPr>
              <w:spacing w:after="0"/>
              <w:rPr>
                <w:sz w:val="22"/>
                <w:szCs w:val="22"/>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2023</w:t>
            </w:r>
          </w:p>
        </w:tc>
        <w:tc>
          <w:tcPr>
            <w:tcW w:w="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800" w:type="dxa"/>
            <w:vAlign w:val="bottom"/>
            <w:tcBorders>
              <w:lef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0"/>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257,366</w:t>
            </w:r>
          </w:p>
        </w:tc>
        <w:tc>
          <w:tcPr>
            <w:tcW w:w="340" w:type="dxa"/>
            <w:vAlign w:val="bottom"/>
          </w:tcPr>
          <w:p>
            <w:pPr>
              <w:spacing w:after="0"/>
              <w:rPr>
                <w:sz w:val="24"/>
                <w:szCs w:val="24"/>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270,727</w:t>
            </w:r>
          </w:p>
        </w:tc>
        <w:tc>
          <w:tcPr>
            <w:tcW w:w="0" w:type="dxa"/>
            <w:vAlign w:val="bottom"/>
          </w:tcPr>
          <w:p>
            <w:pPr>
              <w:spacing w:after="0"/>
              <w:rPr>
                <w:sz w:val="1"/>
                <w:szCs w:val="1"/>
                <w:color w:val="auto"/>
              </w:rPr>
            </w:pPr>
          </w:p>
        </w:tc>
      </w:tr>
      <w:tr>
        <w:trPr>
          <w:trHeight w:val="283"/>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Total assets</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292,470</w:t>
            </w:r>
          </w:p>
        </w:tc>
        <w:tc>
          <w:tcPr>
            <w:tcW w:w="340" w:type="dxa"/>
            <w:vAlign w:val="bottom"/>
          </w:tcPr>
          <w:p>
            <w:pPr>
              <w:spacing w:after="0"/>
              <w:rPr>
                <w:sz w:val="24"/>
                <w:szCs w:val="24"/>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303,929</w:t>
            </w:r>
          </w:p>
        </w:tc>
        <w:tc>
          <w:tcPr>
            <w:tcW w:w="0" w:type="dxa"/>
            <w:vAlign w:val="bottom"/>
          </w:tcPr>
          <w:p>
            <w:pPr>
              <w:spacing w:after="0"/>
              <w:rPr>
                <w:sz w:val="1"/>
                <w:szCs w:val="1"/>
                <w:color w:val="auto"/>
              </w:rPr>
            </w:pPr>
          </w:p>
        </w:tc>
      </w:tr>
      <w:tr>
        <w:trPr>
          <w:trHeight w:val="284"/>
        </w:trPr>
        <w:tc>
          <w:tcPr>
            <w:tcW w:w="58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Shareholders’ equity</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263,533</w:t>
            </w:r>
          </w:p>
        </w:tc>
        <w:tc>
          <w:tcPr>
            <w:tcW w:w="340" w:type="dxa"/>
            <w:vAlign w:val="bottom"/>
          </w:tcPr>
          <w:p>
            <w:pPr>
              <w:spacing w:after="0"/>
              <w:rPr>
                <w:sz w:val="24"/>
                <w:szCs w:val="24"/>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273,093</w:t>
            </w:r>
          </w:p>
        </w:tc>
        <w:tc>
          <w:tcPr>
            <w:tcW w:w="0" w:type="dxa"/>
            <w:vAlign w:val="bottom"/>
          </w:tcPr>
          <w:p>
            <w:pPr>
              <w:spacing w:after="0"/>
              <w:rPr>
                <w:sz w:val="1"/>
                <w:szCs w:val="1"/>
                <w:color w:val="auto"/>
              </w:rPr>
            </w:pPr>
          </w:p>
        </w:tc>
      </w:tr>
      <w:tr>
        <w:trPr>
          <w:trHeight w:val="310"/>
        </w:trPr>
        <w:tc>
          <w:tcPr>
            <w:tcW w:w="580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2023-11-02T05:38:15Z</dcterms:created>
  <dcterms:modified xsi:type="dcterms:W3CDTF">2023-11-02T05:38:15Z</dcterms:modified>
</cp:coreProperties>
</file>