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06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Sinclair Andrew</w:t>
              </w:r>
            </w:hyperlink>
          </w:p>
        </w:tc>
        <w:tc>
          <w:tcPr>
            <w:tcW w:w="1560" w:type="dxa"/>
            <w:vAlign w:val="bottom"/>
          </w:tcPr>
          <w:p>
            <w:pPr>
              <w:ind w:left="20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060" w:type="dxa"/>
            <w:vAlign w:val="bottom"/>
            <w:vMerge w:val="continue"/>
          </w:tcPr>
          <w:p>
            <w:pPr>
              <w:spacing w:after="0"/>
              <w:rPr>
                <w:sz w:val="14"/>
                <w:szCs w:val="14"/>
                <w:color w:val="auto"/>
              </w:rPr>
            </w:pPr>
          </w:p>
        </w:tc>
        <w:tc>
          <w:tcPr>
            <w:tcW w:w="1560" w:type="dxa"/>
            <w:vAlign w:val="bottom"/>
          </w:tcPr>
          <w:p>
            <w:pPr>
              <w:ind w:left="20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Times New Roman" w:cs="Times New Roman" w:eastAsia="Times New Roman" w:hAnsi="Times New Roman"/>
                <w:sz w:val="18"/>
                <w:szCs w:val="18"/>
                <w:color w:val="0000FF"/>
              </w:rPr>
              <w:t>01/01/2021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Verona Pharma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VRNA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0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221"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 MORE LONDON RIVERSIDE</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LONDON</w:t>
            </w:r>
          </w:p>
        </w:tc>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X0</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SE1 2RE</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662940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01/04/2020</w:t>
      </w:r>
    </w:p>
    <w:p>
      <w:pPr>
        <w:spacing w:after="0" w:line="240" w:lineRule="exact"/>
        <w:rPr>
          <w:sz w:val="24"/>
          <w:szCs w:val="24"/>
          <w:color w:val="auto"/>
        </w:rPr>
      </w:pPr>
    </w:p>
    <w:p>
      <w:pPr>
        <w:ind w:right="480" w:firstLine="9"/>
        <w:spacing w:after="0" w:line="255"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60" w:right="340" w:hanging="304"/>
        <w:spacing w:after="0" w:line="182" w:lineRule="auto"/>
        <w:tabs>
          <w:tab w:leader="none" w:pos="460"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60"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28"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80" w:type="dxa"/>
            <w:vAlign w:val="bottom"/>
            <w:gridSpan w:val="4"/>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(I) (Instr. 5)</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20"/>
                <w:szCs w:val="20"/>
                <w:color w:val="0000FF"/>
              </w:rPr>
              <w:t>19,660,001</w:t>
            </w:r>
            <w:r>
              <w:rPr>
                <w:rFonts w:ascii="Times New Roman" w:cs="Times New Roman" w:eastAsia="Times New Roman" w:hAnsi="Times New Roman"/>
                <w:sz w:val="25"/>
                <w:szCs w:val="25"/>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(2)(3)</w:t>
            </w: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5240" w:type="dxa"/>
            <w:vAlign w:val="bottom"/>
            <w:tcBorders>
              <w:top w:val="single" w:sz="8" w:color="2C2C2C"/>
            </w:tcBorders>
            <w:gridSpan w:val="6"/>
          </w:tcPr>
          <w:p>
            <w:pPr>
              <w:ind w:left="2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2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420" w:type="dxa"/>
            <w:vAlign w:val="bottom"/>
            <w:gridSpan w:val="7"/>
          </w:tcPr>
          <w:p>
            <w:pPr>
              <w:ind w:left="4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00" w:type="dxa"/>
            <w:vAlign w:val="bottom"/>
            <w:tcBorders>
              <w:bottom w:val="single" w:sz="8" w:color="2C2C2C"/>
            </w:tcBorders>
            <w:gridSpan w:val="2"/>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76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6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72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32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8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8"/>
                <w:szCs w:val="18"/>
                <w:color w:val="auto"/>
              </w:rPr>
            </w:pPr>
          </w:p>
        </w:tc>
        <w:tc>
          <w:tcPr>
            <w:tcW w:w="840" w:type="dxa"/>
            <w:vAlign w:val="bottom"/>
          </w:tcPr>
          <w:p>
            <w:pPr>
              <w:ind w:left="4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2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6"/>
              </w:rPr>
              <w:t>Ordinary Shares Warrant (right to</w:t>
            </w:r>
          </w:p>
        </w:tc>
        <w:tc>
          <w:tcPr>
            <w:tcW w:w="1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0000FF"/>
              </w:rPr>
              <w:t>05/02/2017</w:t>
            </w:r>
          </w:p>
        </w:tc>
        <w:tc>
          <w:tcPr>
            <w:tcW w:w="88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0000FF"/>
              </w:rPr>
              <w:t>05/02/2022</w:t>
            </w:r>
          </w:p>
        </w:tc>
        <w:tc>
          <w:tcPr>
            <w:tcW w:w="182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w w:val="97"/>
              </w:rPr>
              <w:t>1,404,221</w:t>
            </w:r>
          </w:p>
        </w:tc>
        <w:tc>
          <w:tcPr>
            <w:tcW w:w="1040" w:type="dxa"/>
            <w:vAlign w:val="bottom"/>
            <w:gridSpan w:val="3"/>
            <w:vMerge w:val="restart"/>
          </w:tcPr>
          <w:p>
            <w:pPr>
              <w:jc w:val="right"/>
              <w:ind w:right="57"/>
              <w:spacing w:after="0"/>
              <w:rPr>
                <w:sz w:val="20"/>
                <w:szCs w:val="20"/>
                <w:color w:val="auto"/>
              </w:rPr>
            </w:pPr>
            <w:r>
              <w:rPr>
                <w:rFonts w:ascii="Times New Roman" w:cs="Times New Roman" w:eastAsia="Times New Roman" w:hAnsi="Times New Roman"/>
                <w:sz w:val="20"/>
                <w:szCs w:val="20"/>
                <w:color w:val="0000FF"/>
              </w:rPr>
              <w:t>2.3289</w:t>
            </w:r>
            <w:r>
              <w:rPr>
                <w:rFonts w:ascii="Times New Roman" w:cs="Times New Roman" w:eastAsia="Times New Roman" w:hAnsi="Times New Roman"/>
                <w:sz w:val="25"/>
                <w:szCs w:val="25"/>
                <w:color w:val="008000"/>
                <w:vertAlign w:val="superscript"/>
              </w:rPr>
              <w:t>(4)</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w w:val="96"/>
              </w:rPr>
              <w:t>See footnotes</w:t>
            </w:r>
            <w:r>
              <w:rPr>
                <w:rFonts w:ascii="Times New Roman" w:cs="Times New Roman" w:eastAsia="Times New Roman" w:hAnsi="Times New Roman"/>
                <w:sz w:val="25"/>
                <w:szCs w:val="25"/>
                <w:color w:val="008000"/>
                <w:w w:val="96"/>
                <w:vertAlign w:val="superscript"/>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16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8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-1560830</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9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40" w:right="60" w:firstLine="5"/>
        <w:spacing w:after="0" w:line="259"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(i) 1 Ordinary Share and (ii) 19,660,000 Ordinary Shares underlying 2,457,500 American Depositary Shares (the "ADS"), each of which represents eight (8) Ordinary Shares.</w:t>
      </w:r>
    </w:p>
    <w:p>
      <w:pPr>
        <w:spacing w:after="0" w:line="17" w:lineRule="exact"/>
        <w:rPr>
          <w:rFonts w:ascii="Times New Roman" w:cs="Times New Roman" w:eastAsia="Times New Roman" w:hAnsi="Times New Roman"/>
          <w:sz w:val="15"/>
          <w:szCs w:val="15"/>
          <w:color w:val="008000"/>
        </w:rPr>
      </w:pPr>
    </w:p>
    <w:p>
      <w:pPr>
        <w:ind w:left="40" w:right="600" w:firstLine="5"/>
        <w:spacing w:after="0" w:line="259"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are held by Abingworth Bioventures VI, LP ("ABV VI"). Abingworth LLP is the investment manager of ABV VI and has been delegated with all investment and dispositive power over the securities held by ABV VI. Reporting Person is a Partner and Portfolio Manager of Abingworth LLP.</w:t>
      </w:r>
    </w:p>
    <w:p>
      <w:pPr>
        <w:spacing w:after="0" w:line="17" w:lineRule="exact"/>
        <w:rPr>
          <w:rFonts w:ascii="Times New Roman" w:cs="Times New Roman" w:eastAsia="Times New Roman" w:hAnsi="Times New Roman"/>
          <w:sz w:val="15"/>
          <w:szCs w:val="15"/>
          <w:color w:val="008000"/>
        </w:rPr>
      </w:pPr>
    </w:p>
    <w:p>
      <w:pPr>
        <w:ind w:left="40" w:right="40" w:firstLine="5"/>
        <w:spacing w:after="0" w:line="237"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An investment committee approves investment and voting decisions by a majority vote, and no individual member has the sole control or voting power over the shares held by ABV VI. From time to time, the investment committee may delegate investment and voting authority over certain securities held by ABV VI to employees of Abingworth subject to the supervision and oversight of the investment committee, including any limits on such authority imposed by the investment committee in its discretion and the right of the investment committee to revoke such authority at any time. The Reporting Person disclaims beneficial ownership of such shares, except to the extent of his pecuniary interest therein, if any.</w:t>
      </w:r>
    </w:p>
    <w:p>
      <w:pPr>
        <w:spacing w:after="0" w:line="33" w:lineRule="exact"/>
        <w:rPr>
          <w:rFonts w:ascii="Times New Roman" w:cs="Times New Roman" w:eastAsia="Times New Roman" w:hAnsi="Times New Roman"/>
          <w:sz w:val="15"/>
          <w:szCs w:val="15"/>
          <w:color w:val="008000"/>
        </w:rPr>
      </w:pPr>
    </w:p>
    <w:p>
      <w:pPr>
        <w:ind w:left="40" w:right="60" w:firstLine="5"/>
        <w:spacing w:after="0" w:line="259" w:lineRule="auto"/>
        <w:tabs>
          <w:tab w:leader="none" w:pos="19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exercise price of the warrants is GBP 1.7238 per Ordinary Share. The amount in Column 4 is converted to USD using the exchange rate as of December 23, 2020 as reported by the H.10 statistical release of the Board of Governors of the Federal Reserve System.</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This Form 3 amendment is being filed to include the indirect holdings of Reporting Person which were inadvertantly omitted from the original Form 3 filing.</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Claire Poll, Attorney-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01/05/2021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40" w:type="dxa"/>
            <w:vAlign w:val="bottom"/>
          </w:tcPr>
          <w:p>
            <w:pPr>
              <w:spacing w:after="0"/>
              <w:rPr>
                <w:sz w:val="8"/>
                <w:szCs w:val="8"/>
                <w:color w:val="auto"/>
              </w:rPr>
            </w:pPr>
          </w:p>
        </w:tc>
        <w:tc>
          <w:tcPr>
            <w:tcW w:w="2120" w:type="dxa"/>
            <w:vAlign w:val="bottom"/>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in-fact for Andrew Sinclair</w:t>
            </w:r>
          </w:p>
        </w:tc>
        <w:tc>
          <w:tcPr>
            <w:tcW w:w="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20" w:type="dxa"/>
            <w:vAlign w:val="bottom"/>
            <w:tcBorders>
              <w:bottom w:val="single" w:sz="8" w:color="auto"/>
            </w:tcBorders>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62451"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2021-01-05T16:26:28Z</dcterms:created>
  <dcterms:modified xsi:type="dcterms:W3CDTF">2021-01-05T16:26:28Z</dcterms:modified>
</cp:coreProperties>
</file>