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132715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25"/>
          <w:szCs w:val="25"/>
          <w:b w:val="1"/>
          <w:bCs w:val="1"/>
          <w:color w:val="auto"/>
        </w:rPr>
        <w:t>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36"/>
          <w:szCs w:val="36"/>
          <w:b w:val="1"/>
          <w:bCs w:val="1"/>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31115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(Name of Issuer)</w:t>
      </w:r>
    </w:p>
    <w:p>
      <w:pPr>
        <w:spacing w:after="0" w:line="255"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Ordinary Shares, nominal value £0.05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19685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(represented by American Depositary Shares)</w:t>
      </w:r>
    </w:p>
    <w:p>
      <w:pPr>
        <w:spacing w:after="0" w:line="23"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57"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925050106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(CUSIP Number)</w:t>
      </w:r>
    </w:p>
    <w:p>
      <w:pPr>
        <w:spacing w:after="0" w:line="270"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Louis S. Citron, Esq.</w:t>
      </w:r>
    </w:p>
    <w:p>
      <w:pPr>
        <w:spacing w:after="0" w:line="3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New Enterprise Associates</w:t>
      </w:r>
    </w:p>
    <w:p>
      <w:pPr>
        <w:spacing w:after="0" w:line="9"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1954 Greenspring Drive, Suite 600, Timonium, MD 21093</w:t>
      </w:r>
    </w:p>
    <w:p>
      <w:pPr>
        <w:spacing w:after="0" w:line="9"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(410) 842-4000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5715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57"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August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19685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left="2"/>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highlight w:val="lightGray"/>
        </w:rPr>
        <w:t>☐</w:t>
      </w:r>
    </w:p>
    <w:p>
      <w:pPr>
        <w:spacing w:after="0" w:line="175" w:lineRule="exact"/>
        <w:rPr>
          <w:sz w:val="24"/>
          <w:szCs w:val="24"/>
          <w:color w:val="auto"/>
        </w:rPr>
      </w:pPr>
    </w:p>
    <w:p>
      <w:pPr>
        <w:ind w:left="2"/>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199" w:lineRule="exact"/>
        <w:rPr>
          <w:sz w:val="24"/>
          <w:szCs w:val="24"/>
          <w:color w:val="auto"/>
        </w:rPr>
      </w:pPr>
    </w:p>
    <w:p>
      <w:pPr>
        <w:ind w:left="2" w:hanging="2"/>
        <w:spacing w:after="0" w:line="195" w:lineRule="auto"/>
        <w:tabs>
          <w:tab w:leader="none" w:pos="128"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123190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149225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2"/>
          </w:cols>
          <w:pgMar w:left="778" w:top="689" w:right="7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2 of 33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579" w:right="339" w:bottom="1095"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Equity Opportunities 17, LLC</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WC</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 Limited Liability Company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10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2"/>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46,447,651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2"/>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2"/>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46,447,651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1095"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43"/>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46,447,651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12.</w:t>
            </w:r>
          </w:p>
        </w:tc>
        <w:tc>
          <w:tcPr>
            <w:tcW w:w="9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right w:val="single" w:sz="8" w:color="auto"/>
            </w:tcBorders>
            <w:vMerge w:val="continue"/>
          </w:tcPr>
          <w:p>
            <w:pPr>
              <w:spacing w:after="0"/>
              <w:rPr>
                <w:sz w:val="14"/>
                <w:szCs w:val="14"/>
                <w:color w:val="auto"/>
              </w:rPr>
            </w:pPr>
          </w:p>
        </w:tc>
        <w:tc>
          <w:tcPr>
            <w:tcW w:w="9240" w:type="dxa"/>
            <w:vAlign w:val="bottom"/>
            <w:vMerge w:val="restart"/>
          </w:tcPr>
          <w:p>
            <w:pPr>
              <w:ind w:left="220"/>
              <w:spacing w:after="0" w:line="189"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tcPr>
          <w:p>
            <w:pPr>
              <w:spacing w:after="0"/>
              <w:rPr>
                <w:sz w:val="14"/>
                <w:szCs w:val="14"/>
                <w:color w:val="auto"/>
              </w:rPr>
            </w:pPr>
          </w:p>
        </w:tc>
        <w:tc>
          <w:tcPr>
            <w:tcW w:w="140" w:type="dxa"/>
            <w:vAlign w:val="bottom"/>
            <w:vMerge w:val="restart"/>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20" w:type="dxa"/>
            <w:vAlign w:val="bottom"/>
            <w:tcBorders>
              <w:right w:val="single" w:sz="8" w:color="auto"/>
            </w:tcBorders>
          </w:tcPr>
          <w:p>
            <w:pPr>
              <w:spacing w:after="0"/>
              <w:rPr>
                <w:sz w:val="2"/>
                <w:szCs w:val="2"/>
                <w:color w:val="auto"/>
              </w:rPr>
            </w:pPr>
          </w:p>
        </w:tc>
        <w:tc>
          <w:tcPr>
            <w:tcW w:w="92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vMerge w:val="continue"/>
            <w:shd w:val="clear" w:color="auto" w:fill="C0C0C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5"/>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7.9%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OO</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1095" w:gutter="0" w:footer="0" w:header="0"/>
          <w:type w:val="continuous"/>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3 of 33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821" w:right="339" w:bottom="609"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Enterprise Associates 17, L.P.</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WC</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 Limited Partnership</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821" w:right="339" w:bottom="6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3"/>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46,447,651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3"/>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3"/>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46,447,651 shares</w:t>
      </w:r>
    </w:p>
    <w:p>
      <w:pPr>
        <w:spacing w:after="0" w:line="200" w:lineRule="exact"/>
        <w:rPr>
          <w:sz w:val="20"/>
          <w:szCs w:val="20"/>
          <w:color w:val="auto"/>
        </w:rPr>
      </w:pPr>
    </w:p>
    <w:p>
      <w:pPr>
        <w:sectPr>
          <w:pgSz w:w="11900" w:h="16838" w:orient="portrait"/>
          <w:cols w:equalWidth="0" w:num="2">
            <w:col w:w="1480" w:space="450"/>
            <w:col w:w="9310"/>
          </w:cols>
          <w:pgMar w:left="320" w:top="821" w:right="339" w:bottom="609"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43"/>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46,447,651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12.</w:t>
            </w:r>
          </w:p>
        </w:tc>
        <w:tc>
          <w:tcPr>
            <w:tcW w:w="9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right w:val="single" w:sz="8" w:color="auto"/>
            </w:tcBorders>
            <w:vMerge w:val="continue"/>
          </w:tcPr>
          <w:p>
            <w:pPr>
              <w:spacing w:after="0"/>
              <w:rPr>
                <w:sz w:val="14"/>
                <w:szCs w:val="14"/>
                <w:color w:val="auto"/>
              </w:rPr>
            </w:pPr>
          </w:p>
        </w:tc>
        <w:tc>
          <w:tcPr>
            <w:tcW w:w="9240" w:type="dxa"/>
            <w:vAlign w:val="bottom"/>
            <w:vMerge w:val="restart"/>
          </w:tcPr>
          <w:p>
            <w:pPr>
              <w:ind w:left="220"/>
              <w:spacing w:after="0" w:line="189"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tcPr>
          <w:p>
            <w:pPr>
              <w:spacing w:after="0"/>
              <w:rPr>
                <w:sz w:val="14"/>
                <w:szCs w:val="14"/>
                <w:color w:val="auto"/>
              </w:rPr>
            </w:pPr>
          </w:p>
        </w:tc>
        <w:tc>
          <w:tcPr>
            <w:tcW w:w="140" w:type="dxa"/>
            <w:vAlign w:val="bottom"/>
            <w:vMerge w:val="restart"/>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20" w:type="dxa"/>
            <w:vAlign w:val="bottom"/>
            <w:tcBorders>
              <w:right w:val="single" w:sz="8" w:color="auto"/>
            </w:tcBorders>
          </w:tcPr>
          <w:p>
            <w:pPr>
              <w:spacing w:after="0"/>
              <w:rPr>
                <w:sz w:val="2"/>
                <w:szCs w:val="2"/>
                <w:color w:val="auto"/>
              </w:rPr>
            </w:pPr>
          </w:p>
        </w:tc>
        <w:tc>
          <w:tcPr>
            <w:tcW w:w="92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vMerge w:val="continue"/>
            <w:shd w:val="clear" w:color="auto" w:fill="C0C0C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5"/>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7.9%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1" w:right="339" w:bottom="609" w:gutter="0" w:footer="0" w:header="0"/>
          <w:type w:val="continuous"/>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4 of 33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822" w:right="339" w:bottom="609"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NEA Partners 17, L.P.</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 Limited Partnership</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822" w:right="339" w:bottom="6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4"/>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46,447,651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4"/>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4"/>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46,447,651 shares</w:t>
      </w:r>
    </w:p>
    <w:p>
      <w:pPr>
        <w:spacing w:after="0" w:line="200" w:lineRule="exact"/>
        <w:rPr>
          <w:sz w:val="20"/>
          <w:szCs w:val="20"/>
          <w:color w:val="auto"/>
        </w:rPr>
      </w:pPr>
    </w:p>
    <w:p>
      <w:pPr>
        <w:sectPr>
          <w:pgSz w:w="11900" w:h="16838" w:orient="portrait"/>
          <w:cols w:equalWidth="0" w:num="2">
            <w:col w:w="1480" w:space="450"/>
            <w:col w:w="9310"/>
          </w:cols>
          <w:pgMar w:left="320" w:top="822" w:right="339" w:bottom="609"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43"/>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46,447,651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12.</w:t>
            </w:r>
          </w:p>
        </w:tc>
        <w:tc>
          <w:tcPr>
            <w:tcW w:w="9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right w:val="single" w:sz="8" w:color="auto"/>
            </w:tcBorders>
            <w:vMerge w:val="continue"/>
          </w:tcPr>
          <w:p>
            <w:pPr>
              <w:spacing w:after="0"/>
              <w:rPr>
                <w:sz w:val="14"/>
                <w:szCs w:val="14"/>
                <w:color w:val="auto"/>
              </w:rPr>
            </w:pPr>
          </w:p>
        </w:tc>
        <w:tc>
          <w:tcPr>
            <w:tcW w:w="9240" w:type="dxa"/>
            <w:vAlign w:val="bottom"/>
            <w:vMerge w:val="restart"/>
          </w:tcPr>
          <w:p>
            <w:pPr>
              <w:ind w:left="220"/>
              <w:spacing w:after="0" w:line="189"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tcPr>
          <w:p>
            <w:pPr>
              <w:spacing w:after="0"/>
              <w:rPr>
                <w:sz w:val="14"/>
                <w:szCs w:val="14"/>
                <w:color w:val="auto"/>
              </w:rPr>
            </w:pPr>
          </w:p>
        </w:tc>
        <w:tc>
          <w:tcPr>
            <w:tcW w:w="140" w:type="dxa"/>
            <w:vAlign w:val="bottom"/>
            <w:vMerge w:val="restart"/>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20" w:type="dxa"/>
            <w:vAlign w:val="bottom"/>
            <w:tcBorders>
              <w:right w:val="single" w:sz="8" w:color="auto"/>
            </w:tcBorders>
          </w:tcPr>
          <w:p>
            <w:pPr>
              <w:spacing w:after="0"/>
              <w:rPr>
                <w:sz w:val="2"/>
                <w:szCs w:val="2"/>
                <w:color w:val="auto"/>
              </w:rPr>
            </w:pPr>
          </w:p>
        </w:tc>
        <w:tc>
          <w:tcPr>
            <w:tcW w:w="92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vMerge w:val="continue"/>
            <w:shd w:val="clear" w:color="auto" w:fill="C0C0C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5"/>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7.9%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2" w:right="339" w:bottom="609" w:gutter="0" w:footer="0" w:header="0"/>
          <w:type w:val="continuous"/>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5 of 33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822" w:right="339" w:bottom="609"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NEA 17 GP, LLC</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 Limited Liability Company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822" w:right="339" w:bottom="6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5"/>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46,447,651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5"/>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5"/>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46,447,651 shares</w:t>
      </w:r>
    </w:p>
    <w:p>
      <w:pPr>
        <w:spacing w:after="0" w:line="200" w:lineRule="exact"/>
        <w:rPr>
          <w:sz w:val="20"/>
          <w:szCs w:val="20"/>
          <w:color w:val="auto"/>
        </w:rPr>
      </w:pPr>
    </w:p>
    <w:p>
      <w:pPr>
        <w:sectPr>
          <w:pgSz w:w="11900" w:h="16838" w:orient="portrait"/>
          <w:cols w:equalWidth="0" w:num="2">
            <w:col w:w="1480" w:space="450"/>
            <w:col w:w="9310"/>
          </w:cols>
          <w:pgMar w:left="320" w:top="822" w:right="339" w:bottom="609"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43"/>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46,447,651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12.</w:t>
            </w:r>
          </w:p>
        </w:tc>
        <w:tc>
          <w:tcPr>
            <w:tcW w:w="9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right w:val="single" w:sz="8" w:color="auto"/>
            </w:tcBorders>
            <w:vMerge w:val="continue"/>
          </w:tcPr>
          <w:p>
            <w:pPr>
              <w:spacing w:after="0"/>
              <w:rPr>
                <w:sz w:val="14"/>
                <w:szCs w:val="14"/>
                <w:color w:val="auto"/>
              </w:rPr>
            </w:pPr>
          </w:p>
        </w:tc>
        <w:tc>
          <w:tcPr>
            <w:tcW w:w="9240" w:type="dxa"/>
            <w:vAlign w:val="bottom"/>
            <w:vMerge w:val="restart"/>
          </w:tcPr>
          <w:p>
            <w:pPr>
              <w:ind w:left="220"/>
              <w:spacing w:after="0" w:line="189"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tcPr>
          <w:p>
            <w:pPr>
              <w:spacing w:after="0"/>
              <w:rPr>
                <w:sz w:val="14"/>
                <w:szCs w:val="14"/>
                <w:color w:val="auto"/>
              </w:rPr>
            </w:pPr>
          </w:p>
        </w:tc>
        <w:tc>
          <w:tcPr>
            <w:tcW w:w="140" w:type="dxa"/>
            <w:vAlign w:val="bottom"/>
            <w:vMerge w:val="restart"/>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20" w:type="dxa"/>
            <w:vAlign w:val="bottom"/>
            <w:tcBorders>
              <w:right w:val="single" w:sz="8" w:color="auto"/>
            </w:tcBorders>
          </w:tcPr>
          <w:p>
            <w:pPr>
              <w:spacing w:after="0"/>
              <w:rPr>
                <w:sz w:val="2"/>
                <w:szCs w:val="2"/>
                <w:color w:val="auto"/>
              </w:rPr>
            </w:pPr>
          </w:p>
        </w:tc>
        <w:tc>
          <w:tcPr>
            <w:tcW w:w="92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vMerge w:val="continue"/>
            <w:shd w:val="clear" w:color="auto" w:fill="C0C0C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5"/>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7.9%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OO</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2" w:right="339" w:bottom="609" w:gutter="0" w:footer="0" w:header="0"/>
          <w:type w:val="continuous"/>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6 of 33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579" w:right="339" w:bottom="852"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Equity Opportunities Fund IV, LLC</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WC</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 Limited Liability Company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8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6"/>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46,447,651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6"/>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6"/>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46,447,651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852"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43"/>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46,447,651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12.</w:t>
            </w:r>
          </w:p>
        </w:tc>
        <w:tc>
          <w:tcPr>
            <w:tcW w:w="9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right w:val="single" w:sz="8" w:color="auto"/>
            </w:tcBorders>
            <w:vMerge w:val="continue"/>
          </w:tcPr>
          <w:p>
            <w:pPr>
              <w:spacing w:after="0"/>
              <w:rPr>
                <w:sz w:val="14"/>
                <w:szCs w:val="14"/>
                <w:color w:val="auto"/>
              </w:rPr>
            </w:pPr>
          </w:p>
        </w:tc>
        <w:tc>
          <w:tcPr>
            <w:tcW w:w="9240" w:type="dxa"/>
            <w:vAlign w:val="bottom"/>
            <w:vMerge w:val="restart"/>
          </w:tcPr>
          <w:p>
            <w:pPr>
              <w:ind w:left="220"/>
              <w:spacing w:after="0" w:line="189"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tcPr>
          <w:p>
            <w:pPr>
              <w:spacing w:after="0"/>
              <w:rPr>
                <w:sz w:val="14"/>
                <w:szCs w:val="14"/>
                <w:color w:val="auto"/>
              </w:rPr>
            </w:pPr>
          </w:p>
        </w:tc>
        <w:tc>
          <w:tcPr>
            <w:tcW w:w="140" w:type="dxa"/>
            <w:vAlign w:val="bottom"/>
            <w:vMerge w:val="restart"/>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20" w:type="dxa"/>
            <w:vAlign w:val="bottom"/>
            <w:tcBorders>
              <w:right w:val="single" w:sz="8" w:color="auto"/>
            </w:tcBorders>
          </w:tcPr>
          <w:p>
            <w:pPr>
              <w:spacing w:after="0"/>
              <w:rPr>
                <w:sz w:val="2"/>
                <w:szCs w:val="2"/>
                <w:color w:val="auto"/>
              </w:rPr>
            </w:pPr>
          </w:p>
        </w:tc>
        <w:tc>
          <w:tcPr>
            <w:tcW w:w="92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vMerge w:val="continue"/>
            <w:shd w:val="clear" w:color="auto" w:fill="C0C0C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5"/>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7.9%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OO</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852" w:gutter="0" w:footer="0" w:header="0"/>
          <w:type w:val="continuous"/>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7 of 33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929" w:right="339" w:bottom="501"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Enterprise Associates 15, L.P.</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 Limited Partnership</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929" w:right="339" w:bottom="50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7"/>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46,447,651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7"/>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7"/>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46,447,651 shares</w:t>
      </w:r>
    </w:p>
    <w:p>
      <w:pPr>
        <w:spacing w:after="0" w:line="200" w:lineRule="exact"/>
        <w:rPr>
          <w:sz w:val="20"/>
          <w:szCs w:val="20"/>
          <w:color w:val="auto"/>
        </w:rPr>
      </w:pPr>
    </w:p>
    <w:p>
      <w:pPr>
        <w:sectPr>
          <w:pgSz w:w="11900" w:h="16838" w:orient="portrait"/>
          <w:cols w:equalWidth="0" w:num="2">
            <w:col w:w="1480" w:space="450"/>
            <w:col w:w="9310"/>
          </w:cols>
          <w:pgMar w:left="320" w:top="929" w:right="339" w:bottom="501"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43"/>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46,447,651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12.</w:t>
            </w:r>
          </w:p>
        </w:tc>
        <w:tc>
          <w:tcPr>
            <w:tcW w:w="9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right w:val="single" w:sz="8" w:color="auto"/>
            </w:tcBorders>
            <w:vMerge w:val="continue"/>
          </w:tcPr>
          <w:p>
            <w:pPr>
              <w:spacing w:after="0"/>
              <w:rPr>
                <w:sz w:val="14"/>
                <w:szCs w:val="14"/>
                <w:color w:val="auto"/>
              </w:rPr>
            </w:pPr>
          </w:p>
        </w:tc>
        <w:tc>
          <w:tcPr>
            <w:tcW w:w="9240" w:type="dxa"/>
            <w:vAlign w:val="bottom"/>
            <w:vMerge w:val="restart"/>
          </w:tcPr>
          <w:p>
            <w:pPr>
              <w:ind w:left="220"/>
              <w:spacing w:after="0" w:line="189"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tcPr>
          <w:p>
            <w:pPr>
              <w:spacing w:after="0"/>
              <w:rPr>
                <w:sz w:val="14"/>
                <w:szCs w:val="14"/>
                <w:color w:val="auto"/>
              </w:rPr>
            </w:pPr>
          </w:p>
        </w:tc>
        <w:tc>
          <w:tcPr>
            <w:tcW w:w="140" w:type="dxa"/>
            <w:vAlign w:val="bottom"/>
            <w:vMerge w:val="restart"/>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20" w:type="dxa"/>
            <w:vAlign w:val="bottom"/>
            <w:tcBorders>
              <w:right w:val="single" w:sz="8" w:color="auto"/>
            </w:tcBorders>
          </w:tcPr>
          <w:p>
            <w:pPr>
              <w:spacing w:after="0"/>
              <w:rPr>
                <w:sz w:val="2"/>
                <w:szCs w:val="2"/>
                <w:color w:val="auto"/>
              </w:rPr>
            </w:pPr>
          </w:p>
        </w:tc>
        <w:tc>
          <w:tcPr>
            <w:tcW w:w="92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vMerge w:val="continue"/>
            <w:shd w:val="clear" w:color="auto" w:fill="C0C0C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5"/>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7.9%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501" w:gutter="0" w:footer="0" w:header="0"/>
          <w:type w:val="continuous"/>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8 of 33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929" w:right="339" w:bottom="501"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NEA Partners 15, L.P.</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 Limited Partnership</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929" w:right="339" w:bottom="50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8"/>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46,447,651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8"/>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8"/>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46,447,651 shares</w:t>
      </w:r>
    </w:p>
    <w:p>
      <w:pPr>
        <w:spacing w:after="0" w:line="200" w:lineRule="exact"/>
        <w:rPr>
          <w:sz w:val="20"/>
          <w:szCs w:val="20"/>
          <w:color w:val="auto"/>
        </w:rPr>
      </w:pPr>
    </w:p>
    <w:p>
      <w:pPr>
        <w:sectPr>
          <w:pgSz w:w="11900" w:h="16838" w:orient="portrait"/>
          <w:cols w:equalWidth="0" w:num="2">
            <w:col w:w="1480" w:space="450"/>
            <w:col w:w="9310"/>
          </w:cols>
          <w:pgMar w:left="320" w:top="929" w:right="339" w:bottom="501"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43"/>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46,447,651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12.</w:t>
            </w:r>
          </w:p>
        </w:tc>
        <w:tc>
          <w:tcPr>
            <w:tcW w:w="9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right w:val="single" w:sz="8" w:color="auto"/>
            </w:tcBorders>
            <w:vMerge w:val="continue"/>
          </w:tcPr>
          <w:p>
            <w:pPr>
              <w:spacing w:after="0"/>
              <w:rPr>
                <w:sz w:val="14"/>
                <w:szCs w:val="14"/>
                <w:color w:val="auto"/>
              </w:rPr>
            </w:pPr>
          </w:p>
        </w:tc>
        <w:tc>
          <w:tcPr>
            <w:tcW w:w="9240" w:type="dxa"/>
            <w:vAlign w:val="bottom"/>
            <w:vMerge w:val="restart"/>
          </w:tcPr>
          <w:p>
            <w:pPr>
              <w:ind w:left="220"/>
              <w:spacing w:after="0" w:line="189"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tcPr>
          <w:p>
            <w:pPr>
              <w:spacing w:after="0"/>
              <w:rPr>
                <w:sz w:val="14"/>
                <w:szCs w:val="14"/>
                <w:color w:val="auto"/>
              </w:rPr>
            </w:pPr>
          </w:p>
        </w:tc>
        <w:tc>
          <w:tcPr>
            <w:tcW w:w="140" w:type="dxa"/>
            <w:vAlign w:val="bottom"/>
            <w:vMerge w:val="restart"/>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20" w:type="dxa"/>
            <w:vAlign w:val="bottom"/>
            <w:tcBorders>
              <w:right w:val="single" w:sz="8" w:color="auto"/>
            </w:tcBorders>
          </w:tcPr>
          <w:p>
            <w:pPr>
              <w:spacing w:after="0"/>
              <w:rPr>
                <w:sz w:val="2"/>
                <w:szCs w:val="2"/>
                <w:color w:val="auto"/>
              </w:rPr>
            </w:pPr>
          </w:p>
        </w:tc>
        <w:tc>
          <w:tcPr>
            <w:tcW w:w="92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vMerge w:val="continue"/>
            <w:shd w:val="clear" w:color="auto" w:fill="C0C0C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5"/>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7.9%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501" w:gutter="0" w:footer="0" w:header="0"/>
          <w:type w:val="continuous"/>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9 of 33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929" w:right="339" w:bottom="501"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NEA 15 GP, LLC</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 Limited Liability Company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929" w:right="339" w:bottom="50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9"/>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46,447,651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9"/>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9"/>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46,447,651 shares</w:t>
      </w:r>
    </w:p>
    <w:p>
      <w:pPr>
        <w:spacing w:after="0" w:line="200" w:lineRule="exact"/>
        <w:rPr>
          <w:sz w:val="20"/>
          <w:szCs w:val="20"/>
          <w:color w:val="auto"/>
        </w:rPr>
      </w:pPr>
    </w:p>
    <w:p>
      <w:pPr>
        <w:sectPr>
          <w:pgSz w:w="11900" w:h="16838" w:orient="portrait"/>
          <w:cols w:equalWidth="0" w:num="2">
            <w:col w:w="1480" w:space="450"/>
            <w:col w:w="9310"/>
          </w:cols>
          <w:pgMar w:left="320" w:top="929" w:right="339" w:bottom="501"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43"/>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46,447,651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12.</w:t>
            </w:r>
          </w:p>
        </w:tc>
        <w:tc>
          <w:tcPr>
            <w:tcW w:w="9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right w:val="single" w:sz="8" w:color="auto"/>
            </w:tcBorders>
            <w:vMerge w:val="continue"/>
          </w:tcPr>
          <w:p>
            <w:pPr>
              <w:spacing w:after="0"/>
              <w:rPr>
                <w:sz w:val="14"/>
                <w:szCs w:val="14"/>
                <w:color w:val="auto"/>
              </w:rPr>
            </w:pPr>
          </w:p>
        </w:tc>
        <w:tc>
          <w:tcPr>
            <w:tcW w:w="9240" w:type="dxa"/>
            <w:vAlign w:val="bottom"/>
            <w:vMerge w:val="restart"/>
          </w:tcPr>
          <w:p>
            <w:pPr>
              <w:ind w:left="220"/>
              <w:spacing w:after="0" w:line="189"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tcPr>
          <w:p>
            <w:pPr>
              <w:spacing w:after="0"/>
              <w:rPr>
                <w:sz w:val="14"/>
                <w:szCs w:val="14"/>
                <w:color w:val="auto"/>
              </w:rPr>
            </w:pPr>
          </w:p>
        </w:tc>
        <w:tc>
          <w:tcPr>
            <w:tcW w:w="140" w:type="dxa"/>
            <w:vAlign w:val="bottom"/>
            <w:vMerge w:val="restart"/>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20" w:type="dxa"/>
            <w:vAlign w:val="bottom"/>
            <w:tcBorders>
              <w:right w:val="single" w:sz="8" w:color="auto"/>
            </w:tcBorders>
          </w:tcPr>
          <w:p>
            <w:pPr>
              <w:spacing w:after="0"/>
              <w:rPr>
                <w:sz w:val="2"/>
                <w:szCs w:val="2"/>
                <w:color w:val="auto"/>
              </w:rPr>
            </w:pPr>
          </w:p>
        </w:tc>
        <w:tc>
          <w:tcPr>
            <w:tcW w:w="92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vMerge w:val="continue"/>
            <w:shd w:val="clear" w:color="auto" w:fill="C0C0C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5"/>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7.9%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OO</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501" w:gutter="0" w:footer="0" w:header="0"/>
          <w:type w:val="continuous"/>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10 of 33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929" w:right="339" w:bottom="501"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Forest Baskett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929" w:right="339" w:bottom="50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10"/>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46,447,651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10"/>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10"/>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46,447,651 shares</w:t>
      </w:r>
    </w:p>
    <w:p>
      <w:pPr>
        <w:spacing w:after="0" w:line="200" w:lineRule="exact"/>
        <w:rPr>
          <w:sz w:val="20"/>
          <w:szCs w:val="20"/>
          <w:color w:val="auto"/>
        </w:rPr>
      </w:pPr>
    </w:p>
    <w:p>
      <w:pPr>
        <w:sectPr>
          <w:pgSz w:w="11900" w:h="16838" w:orient="portrait"/>
          <w:cols w:equalWidth="0" w:num="2">
            <w:col w:w="1480" w:space="450"/>
            <w:col w:w="9310"/>
          </w:cols>
          <w:pgMar w:left="320" w:top="929" w:right="339" w:bottom="501"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43"/>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46,447,651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12.</w:t>
            </w:r>
          </w:p>
        </w:tc>
        <w:tc>
          <w:tcPr>
            <w:tcW w:w="9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right w:val="single" w:sz="8" w:color="auto"/>
            </w:tcBorders>
            <w:vMerge w:val="continue"/>
          </w:tcPr>
          <w:p>
            <w:pPr>
              <w:spacing w:after="0"/>
              <w:rPr>
                <w:sz w:val="14"/>
                <w:szCs w:val="14"/>
                <w:color w:val="auto"/>
              </w:rPr>
            </w:pPr>
          </w:p>
        </w:tc>
        <w:tc>
          <w:tcPr>
            <w:tcW w:w="9240" w:type="dxa"/>
            <w:vAlign w:val="bottom"/>
            <w:vMerge w:val="restart"/>
          </w:tcPr>
          <w:p>
            <w:pPr>
              <w:ind w:left="220"/>
              <w:spacing w:after="0" w:line="189"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tcPr>
          <w:p>
            <w:pPr>
              <w:spacing w:after="0"/>
              <w:rPr>
                <w:sz w:val="14"/>
                <w:szCs w:val="14"/>
                <w:color w:val="auto"/>
              </w:rPr>
            </w:pPr>
          </w:p>
        </w:tc>
        <w:tc>
          <w:tcPr>
            <w:tcW w:w="140" w:type="dxa"/>
            <w:vAlign w:val="bottom"/>
            <w:vMerge w:val="restart"/>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20" w:type="dxa"/>
            <w:vAlign w:val="bottom"/>
            <w:tcBorders>
              <w:right w:val="single" w:sz="8" w:color="auto"/>
            </w:tcBorders>
          </w:tcPr>
          <w:p>
            <w:pPr>
              <w:spacing w:after="0"/>
              <w:rPr>
                <w:sz w:val="2"/>
                <w:szCs w:val="2"/>
                <w:color w:val="auto"/>
              </w:rPr>
            </w:pPr>
          </w:p>
        </w:tc>
        <w:tc>
          <w:tcPr>
            <w:tcW w:w="92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vMerge w:val="continue"/>
            <w:shd w:val="clear" w:color="auto" w:fill="C0C0C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6"/>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7.9%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501" w:gutter="0" w:footer="0" w:header="0"/>
          <w:type w:val="continuous"/>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60"/>
              <w:spacing w:after="0"/>
              <w:rPr>
                <w:sz w:val="20"/>
                <w:szCs w:val="20"/>
                <w:color w:val="auto"/>
              </w:rPr>
            </w:pPr>
            <w:r>
              <w:rPr>
                <w:rFonts w:ascii="Times New Roman" w:cs="Times New Roman" w:eastAsia="Times New Roman" w:hAnsi="Times New Roman"/>
                <w:sz w:val="18"/>
                <w:szCs w:val="18"/>
                <w:b w:val="1"/>
                <w:bCs w:val="1"/>
                <w:color w:val="auto"/>
              </w:rPr>
              <w:t>Page 11 of 33 Pages</w:t>
            </w:r>
          </w:p>
        </w:tc>
      </w:tr>
      <w:tr>
        <w:trPr>
          <w:trHeight w:val="67"/>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632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579" w:right="339" w:bottom="744" w:gutter="0" w:footer="0" w:header="0"/>
        </w:sectPr>
      </w:pPr>
    </w:p>
    <w:p>
      <w:pPr>
        <w:spacing w:after="0" w:line="3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Ali Behbahani</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11"/>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34,920,632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11"/>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11"/>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34,920,632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744"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43"/>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34,920,632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12.</w:t>
            </w:r>
          </w:p>
        </w:tc>
        <w:tc>
          <w:tcPr>
            <w:tcW w:w="9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right w:val="single" w:sz="8" w:color="auto"/>
            </w:tcBorders>
            <w:vMerge w:val="continue"/>
          </w:tcPr>
          <w:p>
            <w:pPr>
              <w:spacing w:after="0"/>
              <w:rPr>
                <w:sz w:val="14"/>
                <w:szCs w:val="14"/>
                <w:color w:val="auto"/>
              </w:rPr>
            </w:pPr>
          </w:p>
        </w:tc>
        <w:tc>
          <w:tcPr>
            <w:tcW w:w="9240" w:type="dxa"/>
            <w:vAlign w:val="bottom"/>
            <w:vMerge w:val="restart"/>
          </w:tcPr>
          <w:p>
            <w:pPr>
              <w:ind w:left="220"/>
              <w:spacing w:after="0" w:line="189"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tcPr>
          <w:p>
            <w:pPr>
              <w:spacing w:after="0"/>
              <w:rPr>
                <w:sz w:val="14"/>
                <w:szCs w:val="14"/>
                <w:color w:val="auto"/>
              </w:rPr>
            </w:pPr>
          </w:p>
        </w:tc>
        <w:tc>
          <w:tcPr>
            <w:tcW w:w="140" w:type="dxa"/>
            <w:vAlign w:val="bottom"/>
            <w:vMerge w:val="restart"/>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20" w:type="dxa"/>
            <w:vAlign w:val="bottom"/>
            <w:tcBorders>
              <w:right w:val="single" w:sz="8" w:color="auto"/>
            </w:tcBorders>
          </w:tcPr>
          <w:p>
            <w:pPr>
              <w:spacing w:after="0"/>
              <w:rPr>
                <w:sz w:val="2"/>
                <w:szCs w:val="2"/>
                <w:color w:val="auto"/>
              </w:rPr>
            </w:pPr>
          </w:p>
        </w:tc>
        <w:tc>
          <w:tcPr>
            <w:tcW w:w="92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vMerge w:val="continue"/>
            <w:shd w:val="clear" w:color="auto" w:fill="C0C0C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5"/>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5.9%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744" w:gutter="0" w:footer="0" w:header="0"/>
          <w:type w:val="continuous"/>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12 of 33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658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658225"/>
                    </a:xfrm>
                    <a:prstGeom prst="rect">
                      <a:avLst/>
                    </a:prstGeom>
                    <a:noFill/>
                  </pic:spPr>
                </pic:pic>
              </a:graphicData>
            </a:graphic>
          </wp:anchor>
        </w:drawing>
      </w:r>
    </w:p>
    <w:p>
      <w:pPr>
        <w:sectPr>
          <w:pgSz w:w="11900" w:h="16838" w:orient="portrait"/>
          <w:cols w:equalWidth="0" w:num="1">
            <w:col w:w="11240"/>
          </w:cols>
          <w:pgMar w:left="320" w:top="579" w:right="339" w:bottom="703" w:gutter="0" w:footer="0" w:header="0"/>
        </w:sectPr>
      </w:pPr>
    </w:p>
    <w:p>
      <w:pPr>
        <w:spacing w:after="0" w:line="3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Carmen Chang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70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12"/>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34,920,632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12"/>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12"/>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34,920,632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703"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43"/>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34,920,632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12.</w:t>
            </w:r>
          </w:p>
        </w:tc>
        <w:tc>
          <w:tcPr>
            <w:tcW w:w="9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right w:val="single" w:sz="8" w:color="auto"/>
            </w:tcBorders>
            <w:vMerge w:val="continue"/>
          </w:tcPr>
          <w:p>
            <w:pPr>
              <w:spacing w:after="0"/>
              <w:rPr>
                <w:sz w:val="14"/>
                <w:szCs w:val="14"/>
                <w:color w:val="auto"/>
              </w:rPr>
            </w:pPr>
          </w:p>
        </w:tc>
        <w:tc>
          <w:tcPr>
            <w:tcW w:w="9240" w:type="dxa"/>
            <w:vAlign w:val="bottom"/>
            <w:vMerge w:val="restart"/>
          </w:tcPr>
          <w:p>
            <w:pPr>
              <w:ind w:left="220"/>
              <w:spacing w:after="0" w:line="189"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tcPr>
          <w:p>
            <w:pPr>
              <w:spacing w:after="0"/>
              <w:rPr>
                <w:sz w:val="14"/>
                <w:szCs w:val="14"/>
                <w:color w:val="auto"/>
              </w:rPr>
            </w:pPr>
          </w:p>
        </w:tc>
        <w:tc>
          <w:tcPr>
            <w:tcW w:w="140" w:type="dxa"/>
            <w:vAlign w:val="bottom"/>
            <w:vMerge w:val="restart"/>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20" w:type="dxa"/>
            <w:vAlign w:val="bottom"/>
            <w:tcBorders>
              <w:right w:val="single" w:sz="8" w:color="auto"/>
            </w:tcBorders>
          </w:tcPr>
          <w:p>
            <w:pPr>
              <w:spacing w:after="0"/>
              <w:rPr>
                <w:sz w:val="2"/>
                <w:szCs w:val="2"/>
                <w:color w:val="auto"/>
              </w:rPr>
            </w:pPr>
          </w:p>
        </w:tc>
        <w:tc>
          <w:tcPr>
            <w:tcW w:w="92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vMerge w:val="continue"/>
            <w:shd w:val="clear" w:color="auto" w:fill="C0C0C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5"/>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5.9%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703" w:gutter="0" w:footer="0" w:header="0"/>
          <w:type w:val="continuous"/>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13 of 33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6321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579" w:right="339" w:bottom="744" w:gutter="0" w:footer="0" w:header="0"/>
        </w:sectPr>
      </w:pPr>
    </w:p>
    <w:p>
      <w:pPr>
        <w:spacing w:after="0" w:line="3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Anthony A. Florence, Jr.</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13"/>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46,447,651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13"/>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13"/>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46,447,651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744"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43"/>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46,447,651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12.</w:t>
            </w:r>
          </w:p>
        </w:tc>
        <w:tc>
          <w:tcPr>
            <w:tcW w:w="9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right w:val="single" w:sz="8" w:color="auto"/>
            </w:tcBorders>
            <w:vMerge w:val="continue"/>
          </w:tcPr>
          <w:p>
            <w:pPr>
              <w:spacing w:after="0"/>
              <w:rPr>
                <w:sz w:val="14"/>
                <w:szCs w:val="14"/>
                <w:color w:val="auto"/>
              </w:rPr>
            </w:pPr>
          </w:p>
        </w:tc>
        <w:tc>
          <w:tcPr>
            <w:tcW w:w="9240" w:type="dxa"/>
            <w:vAlign w:val="bottom"/>
            <w:vMerge w:val="restart"/>
          </w:tcPr>
          <w:p>
            <w:pPr>
              <w:ind w:left="220"/>
              <w:spacing w:after="0" w:line="189"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tcPr>
          <w:p>
            <w:pPr>
              <w:spacing w:after="0"/>
              <w:rPr>
                <w:sz w:val="14"/>
                <w:szCs w:val="14"/>
                <w:color w:val="auto"/>
              </w:rPr>
            </w:pPr>
          </w:p>
        </w:tc>
        <w:tc>
          <w:tcPr>
            <w:tcW w:w="140" w:type="dxa"/>
            <w:vAlign w:val="bottom"/>
            <w:vMerge w:val="restart"/>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20" w:type="dxa"/>
            <w:vAlign w:val="bottom"/>
            <w:tcBorders>
              <w:right w:val="single" w:sz="8" w:color="auto"/>
            </w:tcBorders>
          </w:tcPr>
          <w:p>
            <w:pPr>
              <w:spacing w:after="0"/>
              <w:rPr>
                <w:sz w:val="2"/>
                <w:szCs w:val="2"/>
                <w:color w:val="auto"/>
              </w:rPr>
            </w:pPr>
          </w:p>
        </w:tc>
        <w:tc>
          <w:tcPr>
            <w:tcW w:w="92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vMerge w:val="continue"/>
            <w:shd w:val="clear" w:color="auto" w:fill="C0C0C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6"/>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7.9%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744" w:gutter="0" w:footer="0" w:header="0"/>
          <w:type w:val="continuous"/>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14 of 33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658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658225"/>
                    </a:xfrm>
                    <a:prstGeom prst="rect">
                      <a:avLst/>
                    </a:prstGeom>
                    <a:noFill/>
                  </pic:spPr>
                </pic:pic>
              </a:graphicData>
            </a:graphic>
          </wp:anchor>
        </w:drawing>
      </w:r>
    </w:p>
    <w:p>
      <w:pPr>
        <w:sectPr>
          <w:pgSz w:w="11900" w:h="16838" w:orient="portrait"/>
          <w:cols w:equalWidth="0" w:num="1">
            <w:col w:w="11240"/>
          </w:cols>
          <w:pgMar w:left="320" w:top="579" w:right="339" w:bottom="703" w:gutter="0" w:footer="0" w:header="0"/>
        </w:sectPr>
      </w:pPr>
    </w:p>
    <w:p>
      <w:pPr>
        <w:spacing w:after="0" w:line="3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Liza Landsman</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70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14"/>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34,920,632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14"/>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14"/>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34,920,632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703"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43"/>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34,920,632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12.</w:t>
            </w:r>
          </w:p>
        </w:tc>
        <w:tc>
          <w:tcPr>
            <w:tcW w:w="9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right w:val="single" w:sz="8" w:color="auto"/>
            </w:tcBorders>
            <w:vMerge w:val="continue"/>
          </w:tcPr>
          <w:p>
            <w:pPr>
              <w:spacing w:after="0"/>
              <w:rPr>
                <w:sz w:val="14"/>
                <w:szCs w:val="14"/>
                <w:color w:val="auto"/>
              </w:rPr>
            </w:pPr>
          </w:p>
        </w:tc>
        <w:tc>
          <w:tcPr>
            <w:tcW w:w="9240" w:type="dxa"/>
            <w:vAlign w:val="bottom"/>
            <w:vMerge w:val="restart"/>
          </w:tcPr>
          <w:p>
            <w:pPr>
              <w:ind w:left="220"/>
              <w:spacing w:after="0" w:line="189"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tcPr>
          <w:p>
            <w:pPr>
              <w:spacing w:after="0"/>
              <w:rPr>
                <w:sz w:val="14"/>
                <w:szCs w:val="14"/>
                <w:color w:val="auto"/>
              </w:rPr>
            </w:pPr>
          </w:p>
        </w:tc>
        <w:tc>
          <w:tcPr>
            <w:tcW w:w="140" w:type="dxa"/>
            <w:vAlign w:val="bottom"/>
            <w:vMerge w:val="restart"/>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20" w:type="dxa"/>
            <w:vAlign w:val="bottom"/>
            <w:tcBorders>
              <w:right w:val="single" w:sz="8" w:color="auto"/>
            </w:tcBorders>
          </w:tcPr>
          <w:p>
            <w:pPr>
              <w:spacing w:after="0"/>
              <w:rPr>
                <w:sz w:val="2"/>
                <w:szCs w:val="2"/>
                <w:color w:val="auto"/>
              </w:rPr>
            </w:pPr>
          </w:p>
        </w:tc>
        <w:tc>
          <w:tcPr>
            <w:tcW w:w="92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vMerge w:val="continue"/>
            <w:shd w:val="clear" w:color="auto" w:fill="C0C0C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5"/>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5.9%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703" w:gutter="0" w:footer="0" w:header="0"/>
          <w:type w:val="continuous"/>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15 of 33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658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658225"/>
                    </a:xfrm>
                    <a:prstGeom prst="rect">
                      <a:avLst/>
                    </a:prstGeom>
                    <a:noFill/>
                  </pic:spPr>
                </pic:pic>
              </a:graphicData>
            </a:graphic>
          </wp:anchor>
        </w:drawing>
      </w:r>
    </w:p>
    <w:p>
      <w:pPr>
        <w:sectPr>
          <w:pgSz w:w="11900" w:h="16838" w:orient="portrait"/>
          <w:cols w:equalWidth="0" w:num="1">
            <w:col w:w="11240"/>
          </w:cols>
          <w:pgMar w:left="320" w:top="579" w:right="339" w:bottom="946" w:gutter="0" w:footer="0" w:header="0"/>
        </w:sectPr>
      </w:pPr>
    </w:p>
    <w:p>
      <w:pPr>
        <w:spacing w:after="0" w:line="3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Mohamad H. Makhzoumi</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94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15"/>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46,447,651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15"/>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15"/>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46,447,651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946"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43"/>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46,447,651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12.</w:t>
            </w:r>
          </w:p>
        </w:tc>
        <w:tc>
          <w:tcPr>
            <w:tcW w:w="9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right w:val="single" w:sz="8" w:color="auto"/>
            </w:tcBorders>
            <w:vMerge w:val="continue"/>
          </w:tcPr>
          <w:p>
            <w:pPr>
              <w:spacing w:after="0"/>
              <w:rPr>
                <w:sz w:val="14"/>
                <w:szCs w:val="14"/>
                <w:color w:val="auto"/>
              </w:rPr>
            </w:pPr>
          </w:p>
        </w:tc>
        <w:tc>
          <w:tcPr>
            <w:tcW w:w="9240" w:type="dxa"/>
            <w:vAlign w:val="bottom"/>
            <w:vMerge w:val="restart"/>
          </w:tcPr>
          <w:p>
            <w:pPr>
              <w:ind w:left="220"/>
              <w:spacing w:after="0" w:line="189"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tcPr>
          <w:p>
            <w:pPr>
              <w:spacing w:after="0"/>
              <w:rPr>
                <w:sz w:val="14"/>
                <w:szCs w:val="14"/>
                <w:color w:val="auto"/>
              </w:rPr>
            </w:pPr>
          </w:p>
        </w:tc>
        <w:tc>
          <w:tcPr>
            <w:tcW w:w="140" w:type="dxa"/>
            <w:vAlign w:val="bottom"/>
            <w:vMerge w:val="restart"/>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20" w:type="dxa"/>
            <w:vAlign w:val="bottom"/>
            <w:tcBorders>
              <w:right w:val="single" w:sz="8" w:color="auto"/>
            </w:tcBorders>
          </w:tcPr>
          <w:p>
            <w:pPr>
              <w:spacing w:after="0"/>
              <w:rPr>
                <w:sz w:val="2"/>
                <w:szCs w:val="2"/>
                <w:color w:val="auto"/>
              </w:rPr>
            </w:pPr>
          </w:p>
        </w:tc>
        <w:tc>
          <w:tcPr>
            <w:tcW w:w="92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vMerge w:val="continue"/>
            <w:shd w:val="clear" w:color="auto" w:fill="C0C0C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5"/>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7.9%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946" w:gutter="0" w:footer="0" w:header="0"/>
          <w:type w:val="continuous"/>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16 of 33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58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658225"/>
                    </a:xfrm>
                    <a:prstGeom prst="rect">
                      <a:avLst/>
                    </a:prstGeom>
                    <a:noFill/>
                  </pic:spPr>
                </pic:pic>
              </a:graphicData>
            </a:graphic>
          </wp:anchor>
        </w:drawing>
      </w:r>
    </w:p>
    <w:p>
      <w:pPr>
        <w:sectPr>
          <w:pgSz w:w="11900" w:h="16838" w:orient="portrait"/>
          <w:cols w:equalWidth="0" w:num="1">
            <w:col w:w="11240"/>
          </w:cols>
          <w:pgMar w:left="320" w:top="795" w:right="339" w:bottom="838"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Edward T. Mathers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795" w:right="339" w:bottom="83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16"/>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34,920,632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16"/>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16"/>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34,920,632 shares</w:t>
      </w:r>
    </w:p>
    <w:p>
      <w:pPr>
        <w:spacing w:after="0" w:line="200" w:lineRule="exact"/>
        <w:rPr>
          <w:sz w:val="20"/>
          <w:szCs w:val="20"/>
          <w:color w:val="auto"/>
        </w:rPr>
      </w:pPr>
    </w:p>
    <w:p>
      <w:pPr>
        <w:sectPr>
          <w:pgSz w:w="11900" w:h="16838" w:orient="portrait"/>
          <w:cols w:equalWidth="0" w:num="2">
            <w:col w:w="1480" w:space="450"/>
            <w:col w:w="9310"/>
          </w:cols>
          <w:pgMar w:left="320" w:top="795" w:right="339" w:bottom="838"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43"/>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34,920,632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12.</w:t>
            </w:r>
          </w:p>
        </w:tc>
        <w:tc>
          <w:tcPr>
            <w:tcW w:w="9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right w:val="single" w:sz="8" w:color="auto"/>
            </w:tcBorders>
            <w:vMerge w:val="continue"/>
          </w:tcPr>
          <w:p>
            <w:pPr>
              <w:spacing w:after="0"/>
              <w:rPr>
                <w:sz w:val="14"/>
                <w:szCs w:val="14"/>
                <w:color w:val="auto"/>
              </w:rPr>
            </w:pPr>
          </w:p>
        </w:tc>
        <w:tc>
          <w:tcPr>
            <w:tcW w:w="9240" w:type="dxa"/>
            <w:vAlign w:val="bottom"/>
            <w:vMerge w:val="restart"/>
          </w:tcPr>
          <w:p>
            <w:pPr>
              <w:ind w:left="220"/>
              <w:spacing w:after="0" w:line="189"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tcPr>
          <w:p>
            <w:pPr>
              <w:spacing w:after="0"/>
              <w:rPr>
                <w:sz w:val="14"/>
                <w:szCs w:val="14"/>
                <w:color w:val="auto"/>
              </w:rPr>
            </w:pPr>
          </w:p>
        </w:tc>
        <w:tc>
          <w:tcPr>
            <w:tcW w:w="140" w:type="dxa"/>
            <w:vAlign w:val="bottom"/>
            <w:vMerge w:val="restart"/>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20" w:type="dxa"/>
            <w:vAlign w:val="bottom"/>
            <w:tcBorders>
              <w:right w:val="single" w:sz="8" w:color="auto"/>
            </w:tcBorders>
          </w:tcPr>
          <w:p>
            <w:pPr>
              <w:spacing w:after="0"/>
              <w:rPr>
                <w:sz w:val="2"/>
                <w:szCs w:val="2"/>
                <w:color w:val="auto"/>
              </w:rPr>
            </w:pPr>
          </w:p>
        </w:tc>
        <w:tc>
          <w:tcPr>
            <w:tcW w:w="92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vMerge w:val="continue"/>
            <w:shd w:val="clear" w:color="auto" w:fill="C0C0C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5"/>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5.9%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838" w:gutter="0" w:footer="0" w:header="0"/>
          <w:type w:val="continuous"/>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17 of 33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58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658225"/>
                    </a:xfrm>
                    <a:prstGeom prst="rect">
                      <a:avLst/>
                    </a:prstGeom>
                    <a:noFill/>
                  </pic:spPr>
                </pic:pic>
              </a:graphicData>
            </a:graphic>
          </wp:anchor>
        </w:drawing>
      </w:r>
    </w:p>
    <w:p>
      <w:pPr>
        <w:sectPr>
          <w:pgSz w:w="11900" w:h="16838" w:orient="portrait"/>
          <w:cols w:equalWidth="0" w:num="1">
            <w:col w:w="11240"/>
          </w:cols>
          <w:pgMar w:left="320" w:top="687" w:right="339" w:bottom="703"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Scott D. Sandell</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87" w:right="339" w:bottom="70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17"/>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46,447,651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17"/>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17"/>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46,447,651 shares</w:t>
      </w:r>
    </w:p>
    <w:p>
      <w:pPr>
        <w:spacing w:after="0" w:line="200" w:lineRule="exact"/>
        <w:rPr>
          <w:sz w:val="20"/>
          <w:szCs w:val="20"/>
          <w:color w:val="auto"/>
        </w:rPr>
      </w:pPr>
    </w:p>
    <w:p>
      <w:pPr>
        <w:sectPr>
          <w:pgSz w:w="11900" w:h="16838" w:orient="portrait"/>
          <w:cols w:equalWidth="0" w:num="2">
            <w:col w:w="1480" w:space="450"/>
            <w:col w:w="9310"/>
          </w:cols>
          <w:pgMar w:left="320" w:top="687" w:right="339" w:bottom="703"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43"/>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46,447,651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12.</w:t>
            </w:r>
          </w:p>
        </w:tc>
        <w:tc>
          <w:tcPr>
            <w:tcW w:w="9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right w:val="single" w:sz="8" w:color="auto"/>
            </w:tcBorders>
            <w:vMerge w:val="continue"/>
          </w:tcPr>
          <w:p>
            <w:pPr>
              <w:spacing w:after="0"/>
              <w:rPr>
                <w:sz w:val="14"/>
                <w:szCs w:val="14"/>
                <w:color w:val="auto"/>
              </w:rPr>
            </w:pPr>
          </w:p>
        </w:tc>
        <w:tc>
          <w:tcPr>
            <w:tcW w:w="9240" w:type="dxa"/>
            <w:vAlign w:val="bottom"/>
            <w:vMerge w:val="restart"/>
          </w:tcPr>
          <w:p>
            <w:pPr>
              <w:ind w:left="220"/>
              <w:spacing w:after="0" w:line="189"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tcPr>
          <w:p>
            <w:pPr>
              <w:spacing w:after="0"/>
              <w:rPr>
                <w:sz w:val="14"/>
                <w:szCs w:val="14"/>
                <w:color w:val="auto"/>
              </w:rPr>
            </w:pPr>
          </w:p>
        </w:tc>
        <w:tc>
          <w:tcPr>
            <w:tcW w:w="140" w:type="dxa"/>
            <w:vAlign w:val="bottom"/>
            <w:vMerge w:val="restart"/>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20" w:type="dxa"/>
            <w:vAlign w:val="bottom"/>
            <w:tcBorders>
              <w:right w:val="single" w:sz="8" w:color="auto"/>
            </w:tcBorders>
          </w:tcPr>
          <w:p>
            <w:pPr>
              <w:spacing w:after="0"/>
              <w:rPr>
                <w:sz w:val="2"/>
                <w:szCs w:val="2"/>
                <w:color w:val="auto"/>
              </w:rPr>
            </w:pPr>
          </w:p>
        </w:tc>
        <w:tc>
          <w:tcPr>
            <w:tcW w:w="92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vMerge w:val="continue"/>
            <w:shd w:val="clear" w:color="auto" w:fill="C0C0C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5"/>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7.9%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7" w:right="339" w:bottom="703" w:gutter="0" w:footer="0" w:header="0"/>
          <w:type w:val="continuous"/>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18 of 33 Pages</w:t>
            </w:r>
          </w:p>
        </w:tc>
      </w:tr>
      <w:tr>
        <w:trPr>
          <w:trHeight w:val="67"/>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75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675370"/>
                    </a:xfrm>
                    <a:prstGeom prst="rect">
                      <a:avLst/>
                    </a:prstGeom>
                    <a:noFill/>
                  </pic:spPr>
                </pic:pic>
              </a:graphicData>
            </a:graphic>
          </wp:anchor>
        </w:drawing>
      </w:r>
    </w:p>
    <w:p>
      <w:pPr>
        <w:sectPr>
          <w:pgSz w:w="11900" w:h="16838" w:orient="portrait"/>
          <w:cols w:equalWidth="0" w:num="1">
            <w:col w:w="11240"/>
          </w:cols>
          <w:pgMar w:left="320" w:top="687" w:right="339" w:bottom="676"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Peter W. Sonsini</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9"/>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87" w:right="339" w:bottom="67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18"/>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46,447,651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18"/>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18"/>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46,447,651 shares</w:t>
      </w:r>
    </w:p>
    <w:p>
      <w:pPr>
        <w:spacing w:after="0" w:line="200" w:lineRule="exact"/>
        <w:rPr>
          <w:sz w:val="20"/>
          <w:szCs w:val="20"/>
          <w:color w:val="auto"/>
        </w:rPr>
      </w:pPr>
    </w:p>
    <w:p>
      <w:pPr>
        <w:sectPr>
          <w:pgSz w:w="11900" w:h="16838" w:orient="portrait"/>
          <w:cols w:equalWidth="0" w:num="2">
            <w:col w:w="1480" w:space="450"/>
            <w:col w:w="9310"/>
          </w:cols>
          <w:pgMar w:left="320" w:top="687" w:right="339" w:bottom="676"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43"/>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46,447,651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12.</w:t>
            </w:r>
          </w:p>
        </w:tc>
        <w:tc>
          <w:tcPr>
            <w:tcW w:w="9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right w:val="single" w:sz="8" w:color="auto"/>
            </w:tcBorders>
            <w:vMerge w:val="continue"/>
          </w:tcPr>
          <w:p>
            <w:pPr>
              <w:spacing w:after="0"/>
              <w:rPr>
                <w:sz w:val="14"/>
                <w:szCs w:val="14"/>
                <w:color w:val="auto"/>
              </w:rPr>
            </w:pPr>
          </w:p>
        </w:tc>
        <w:tc>
          <w:tcPr>
            <w:tcW w:w="9240" w:type="dxa"/>
            <w:vAlign w:val="bottom"/>
            <w:vMerge w:val="restart"/>
          </w:tcPr>
          <w:p>
            <w:pPr>
              <w:ind w:left="220"/>
              <w:spacing w:after="0" w:line="189"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tcPr>
          <w:p>
            <w:pPr>
              <w:spacing w:after="0"/>
              <w:rPr>
                <w:sz w:val="14"/>
                <w:szCs w:val="14"/>
                <w:color w:val="auto"/>
              </w:rPr>
            </w:pPr>
          </w:p>
        </w:tc>
        <w:tc>
          <w:tcPr>
            <w:tcW w:w="140" w:type="dxa"/>
            <w:vAlign w:val="bottom"/>
            <w:vMerge w:val="restart"/>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20" w:type="dxa"/>
            <w:vAlign w:val="bottom"/>
            <w:tcBorders>
              <w:right w:val="single" w:sz="8" w:color="auto"/>
            </w:tcBorders>
          </w:tcPr>
          <w:p>
            <w:pPr>
              <w:spacing w:after="0"/>
              <w:rPr>
                <w:sz w:val="2"/>
                <w:szCs w:val="2"/>
                <w:color w:val="auto"/>
              </w:rPr>
            </w:pPr>
          </w:p>
        </w:tc>
        <w:tc>
          <w:tcPr>
            <w:tcW w:w="92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vMerge w:val="continue"/>
            <w:shd w:val="clear" w:color="auto" w:fill="C0C0C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5"/>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7.9%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7" w:right="339" w:bottom="676" w:gutter="0" w:footer="0" w:header="0"/>
          <w:type w:val="continuous"/>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19 of 33 Pages</w:t>
            </w:r>
          </w:p>
        </w:tc>
      </w:tr>
      <w:tr>
        <w:trPr>
          <w:trHeight w:val="67"/>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58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658225"/>
                    </a:xfrm>
                    <a:prstGeom prst="rect">
                      <a:avLst/>
                    </a:prstGeom>
                    <a:noFill/>
                  </pic:spPr>
                </pic:pic>
              </a:graphicData>
            </a:graphic>
          </wp:anchor>
        </w:drawing>
      </w:r>
    </w:p>
    <w:p>
      <w:pPr>
        <w:sectPr>
          <w:pgSz w:w="11900" w:h="16838" w:orient="portrait"/>
          <w:cols w:equalWidth="0" w:num="1">
            <w:col w:w="11240"/>
          </w:cols>
          <w:pgMar w:left="320" w:top="687" w:right="339" w:bottom="703"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Paul Walker</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87" w:right="339" w:bottom="70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19"/>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34,920,632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19"/>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19"/>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34,920,632 shares</w:t>
      </w:r>
    </w:p>
    <w:p>
      <w:pPr>
        <w:spacing w:after="0" w:line="200" w:lineRule="exact"/>
        <w:rPr>
          <w:sz w:val="20"/>
          <w:szCs w:val="20"/>
          <w:color w:val="auto"/>
        </w:rPr>
      </w:pPr>
    </w:p>
    <w:p>
      <w:pPr>
        <w:sectPr>
          <w:pgSz w:w="11900" w:h="16838" w:orient="portrait"/>
          <w:cols w:equalWidth="0" w:num="2">
            <w:col w:w="1480" w:space="450"/>
            <w:col w:w="9310"/>
          </w:cols>
          <w:pgMar w:left="320" w:top="687" w:right="339" w:bottom="703"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43"/>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34,920,632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12.</w:t>
            </w:r>
          </w:p>
        </w:tc>
        <w:tc>
          <w:tcPr>
            <w:tcW w:w="9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right w:val="single" w:sz="8" w:color="auto"/>
            </w:tcBorders>
            <w:vMerge w:val="continue"/>
          </w:tcPr>
          <w:p>
            <w:pPr>
              <w:spacing w:after="0"/>
              <w:rPr>
                <w:sz w:val="14"/>
                <w:szCs w:val="14"/>
                <w:color w:val="auto"/>
              </w:rPr>
            </w:pPr>
          </w:p>
        </w:tc>
        <w:tc>
          <w:tcPr>
            <w:tcW w:w="9240" w:type="dxa"/>
            <w:vAlign w:val="bottom"/>
            <w:vMerge w:val="restart"/>
          </w:tcPr>
          <w:p>
            <w:pPr>
              <w:ind w:left="220"/>
              <w:spacing w:after="0" w:line="189"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tcPr>
          <w:p>
            <w:pPr>
              <w:spacing w:after="0"/>
              <w:rPr>
                <w:sz w:val="14"/>
                <w:szCs w:val="14"/>
                <w:color w:val="auto"/>
              </w:rPr>
            </w:pPr>
          </w:p>
        </w:tc>
        <w:tc>
          <w:tcPr>
            <w:tcW w:w="140" w:type="dxa"/>
            <w:vAlign w:val="bottom"/>
            <w:vMerge w:val="restart"/>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20" w:type="dxa"/>
            <w:vAlign w:val="bottom"/>
            <w:tcBorders>
              <w:right w:val="single" w:sz="8" w:color="auto"/>
            </w:tcBorders>
          </w:tcPr>
          <w:p>
            <w:pPr>
              <w:spacing w:after="0"/>
              <w:rPr>
                <w:sz w:val="2"/>
                <w:szCs w:val="2"/>
                <w:color w:val="auto"/>
              </w:rPr>
            </w:pPr>
          </w:p>
        </w:tc>
        <w:tc>
          <w:tcPr>
            <w:tcW w:w="92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vMerge w:val="continue"/>
            <w:shd w:val="clear" w:color="auto" w:fill="C0C0C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5"/>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5.9%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7" w:right="339" w:bottom="703" w:gutter="0" w:footer="0" w:header="0"/>
          <w:type w:val="continuous"/>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20 of 33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58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658225"/>
                    </a:xfrm>
                    <a:prstGeom prst="rect">
                      <a:avLst/>
                    </a:prstGeom>
                    <a:noFill/>
                  </pic:spPr>
                </pic:pic>
              </a:graphicData>
            </a:graphic>
          </wp:anchor>
        </w:drawing>
      </w:r>
    </w:p>
    <w:p>
      <w:pPr>
        <w:sectPr>
          <w:pgSz w:w="11900" w:h="16838" w:orient="portrait"/>
          <w:cols w:equalWidth="0" w:num="1">
            <w:col w:w="11240"/>
          </w:cols>
          <w:pgMar w:left="320" w:top="579" w:right="339" w:bottom="811"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Rick Yang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 citizen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81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20"/>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34,920,632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20"/>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20"/>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34,920,632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811"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43"/>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34,920,632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12.</w:t>
            </w:r>
          </w:p>
        </w:tc>
        <w:tc>
          <w:tcPr>
            <w:tcW w:w="9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right w:val="single" w:sz="8" w:color="auto"/>
            </w:tcBorders>
            <w:vMerge w:val="continue"/>
          </w:tcPr>
          <w:p>
            <w:pPr>
              <w:spacing w:after="0"/>
              <w:rPr>
                <w:sz w:val="14"/>
                <w:szCs w:val="14"/>
                <w:color w:val="auto"/>
              </w:rPr>
            </w:pPr>
          </w:p>
        </w:tc>
        <w:tc>
          <w:tcPr>
            <w:tcW w:w="9240" w:type="dxa"/>
            <w:vAlign w:val="bottom"/>
            <w:vMerge w:val="restart"/>
          </w:tcPr>
          <w:p>
            <w:pPr>
              <w:ind w:left="220"/>
              <w:spacing w:after="0" w:line="189"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tcPr>
          <w:p>
            <w:pPr>
              <w:spacing w:after="0"/>
              <w:rPr>
                <w:sz w:val="14"/>
                <w:szCs w:val="14"/>
                <w:color w:val="auto"/>
              </w:rPr>
            </w:pPr>
          </w:p>
        </w:tc>
        <w:tc>
          <w:tcPr>
            <w:tcW w:w="140" w:type="dxa"/>
            <w:vAlign w:val="bottom"/>
            <w:vMerge w:val="restart"/>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20" w:type="dxa"/>
            <w:vAlign w:val="bottom"/>
            <w:tcBorders>
              <w:right w:val="single" w:sz="8" w:color="auto"/>
            </w:tcBorders>
          </w:tcPr>
          <w:p>
            <w:pPr>
              <w:spacing w:after="0"/>
              <w:rPr>
                <w:sz w:val="2"/>
                <w:szCs w:val="2"/>
                <w:color w:val="auto"/>
              </w:rPr>
            </w:pPr>
          </w:p>
        </w:tc>
        <w:tc>
          <w:tcPr>
            <w:tcW w:w="92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vMerge w:val="continue"/>
            <w:shd w:val="clear" w:color="auto" w:fill="C0C0C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6"/>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5.9%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43"/>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811" w:gutter="0" w:footer="0" w:header="0"/>
          <w:type w:val="continuous"/>
        </w:sectPr>
      </w:pPr>
    </w:p>
    <w:bookmarkStart w:id="20" w:name="page21"/>
    <w:bookmarkEnd w:id="20"/>
    <w:p>
      <w:pPr>
        <w:ind w:left="80"/>
        <w:spacing w:after="0"/>
        <w:tabs>
          <w:tab w:leader="none" w:pos="5460" w:val="left"/>
          <w:tab w:leader="none" w:pos="9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448945</wp:posOffset>
            </wp:positionV>
            <wp:extent cx="2357120" cy="240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236601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925050106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21 of 33 Pages</w:t>
      </w:r>
    </w:p>
    <w:p>
      <w:pPr>
        <w:sectPr>
          <w:pgSz w:w="11900" w:h="16838" w:orient="portrait"/>
          <w:cols w:equalWidth="0" w:num="1">
            <w:col w:w="11240"/>
          </w:cols>
          <w:pgMar w:left="320" w:top="752"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3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u w:val="single" w:color="auto"/>
          <w:color w:val="auto"/>
        </w:rPr>
        <w:t>Security and Issuer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18"/>
          <w:szCs w:val="18"/>
          <w:color w:val="auto"/>
        </w:rPr>
        <w:t>This Amendment No. 2 (“Amendment No. 2”) to Schedule 13D amends and restates the statement on Schedule 13D originally filed on May 9, 2017 and Amendment No. 1 filed on August 3, 2020 relating to the ordinary shares, nominal value £0.05 per share (the “Ordinary Shares”), including Ordinary Shares represented by American Depositary Shares (the “ADS”), with each ADS representing eight Ordinary Shares, of Verona Pharma plc (the “Issuer”) having its principal executive office at 3 More London Riverside, London SE1 2RE, United Kingdom.</w:t>
      </w:r>
    </w:p>
    <w:p>
      <w:pPr>
        <w:spacing w:after="0" w:line="193"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Certain terms used but not defined herein in this Amendment No. 2 have the meanings assigned thereto in the Schedule 13D (including Amendment No. 1 thereto). Except as specifically provided herein, this Amendment No. 2 does not modify any of the information previously reported on the Schedule 13D (including Amendment No. 1 thereto).</w:t>
      </w:r>
    </w:p>
    <w:p>
      <w:pPr>
        <w:spacing w:after="0" w:line="38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Identity and Background</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This statement is being filed by:</w:t>
      </w:r>
    </w:p>
    <w:p>
      <w:pPr>
        <w:spacing w:after="0" w:line="225" w:lineRule="exact"/>
        <w:rPr>
          <w:sz w:val="20"/>
          <w:szCs w:val="20"/>
          <w:color w:val="auto"/>
        </w:rPr>
      </w:pPr>
    </w:p>
    <w:p>
      <w:pPr>
        <w:ind w:firstLine="818"/>
        <w:spacing w:after="0" w:line="282" w:lineRule="auto"/>
        <w:tabs>
          <w:tab w:leader="none" w:pos="10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Equity Opportunities Fund IV, LLC (“GEO 15”), Growth Equity Opportunities 17, LLC (“GEO 17” and, together with GEO 15, the “GEO Entities”);</w:t>
      </w:r>
    </w:p>
    <w:p>
      <w:pPr>
        <w:spacing w:after="0" w:line="161" w:lineRule="exact"/>
        <w:rPr>
          <w:rFonts w:ascii="Times New Roman" w:cs="Times New Roman" w:eastAsia="Times New Roman" w:hAnsi="Times New Roman"/>
          <w:sz w:val="18"/>
          <w:szCs w:val="18"/>
          <w:color w:val="auto"/>
        </w:rPr>
      </w:pPr>
    </w:p>
    <w:p>
      <w:pPr>
        <w:jc w:val="both"/>
        <w:ind w:firstLine="818"/>
        <w:spacing w:after="0" w:line="258" w:lineRule="auto"/>
        <w:tabs>
          <w:tab w:leader="none" w:pos="10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Enterprise Associates 15, L.P. (“NEA 15”), which is the sole member of GEO 15, New Enterprise Associates 17, L.P. (“NEA 17” and, together with NEA 15, the “Funds”), which is the sole member of GEO 17; NEA Partners 15, L.P. (“NEA Partners 15”), which is the sole general partner of NEA 15, NEA Partners 17, L.P. (“NEA Partners 17” and, together with NEA Partners 15, the “GPLPs”), which is the sole general partner of NEA 17; and NEA 15 GP, LLC (“NEA 15 LLC”), which is the sole general partner of NEA Partners 15, NEA 17 GP, LLC (“NEA 17 LLC”, together with “NEA 15 LLC” the “GP LLCs” and, collectively with the GPLPs, the “Control Entities”), which is the sole general partner of NEA Partners 17; and</w:t>
      </w:r>
    </w:p>
    <w:p>
      <w:pPr>
        <w:spacing w:after="0" w:line="183" w:lineRule="exact"/>
        <w:rPr>
          <w:rFonts w:ascii="Times New Roman" w:cs="Times New Roman" w:eastAsia="Times New Roman" w:hAnsi="Times New Roman"/>
          <w:sz w:val="18"/>
          <w:szCs w:val="18"/>
          <w:color w:val="auto"/>
        </w:rPr>
      </w:pPr>
    </w:p>
    <w:p>
      <w:pPr>
        <w:jc w:val="both"/>
        <w:ind w:firstLine="818"/>
        <w:spacing w:after="0" w:line="266" w:lineRule="auto"/>
        <w:tabs>
          <w:tab w:leader="none" w:pos="106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Forest Baskett (“Baskett”), Ali Behbahani (“Behbahani”), Carmen Chang (“Chang”), Anthony A Florence, Jr. (“Florence”), Liza Landsman (“Landsman”), Mohamad H. Makhzoumi (“Makhzoumi”), Edward T. Mathers (“Mathers”), Scott D. Sandell (“Sandell”), Peter W. Sonsini (“Sonsini”), Paul Walker (“Walker”) and Rick Yang (“Yang”) (together, the “Managers”), and Joshua Makower (“Makower”).</w:t>
      </w:r>
    </w:p>
    <w:p>
      <w:pPr>
        <w:spacing w:after="0" w:line="176" w:lineRule="exact"/>
        <w:rPr>
          <w:sz w:val="20"/>
          <w:szCs w:val="20"/>
          <w:color w:val="auto"/>
        </w:rPr>
      </w:pPr>
    </w:p>
    <w:p>
      <w:pPr>
        <w:jc w:val="both"/>
        <w:ind w:right="20" w:firstLine="810"/>
        <w:spacing w:after="0" w:line="282" w:lineRule="auto"/>
        <w:rPr>
          <w:sz w:val="20"/>
          <w:szCs w:val="20"/>
          <w:color w:val="auto"/>
        </w:rPr>
      </w:pPr>
      <w:r>
        <w:rPr>
          <w:rFonts w:ascii="Times New Roman" w:cs="Times New Roman" w:eastAsia="Times New Roman" w:hAnsi="Times New Roman"/>
          <w:sz w:val="18"/>
          <w:szCs w:val="18"/>
          <w:color w:val="auto"/>
        </w:rPr>
        <w:t>Baskett, Florence, Makhzoumi, Sandell and Sonsini (the “Dual Managers”) are managers of the GP LLCs. Behbahani, Chang, Landsman, Mathers, Walker and Yang are managers of NEA 17 LLC.</w:t>
      </w:r>
    </w:p>
    <w:p>
      <w:pPr>
        <w:spacing w:after="0" w:line="16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persons named in this Item 2 are referred to individually herein as a “Reporting Person” and collectively as the “Reporting Persons.”</w:t>
      </w:r>
    </w:p>
    <w:p>
      <w:pPr>
        <w:spacing w:after="0" w:line="225" w:lineRule="exact"/>
        <w:rPr>
          <w:sz w:val="20"/>
          <w:szCs w:val="20"/>
          <w:color w:val="auto"/>
        </w:rPr>
      </w:pPr>
    </w:p>
    <w:p>
      <w:pPr>
        <w:jc w:val="both"/>
        <w:ind w:firstLine="810"/>
        <w:spacing w:after="0" w:line="265" w:lineRule="auto"/>
        <w:rPr>
          <w:sz w:val="20"/>
          <w:szCs w:val="20"/>
          <w:color w:val="auto"/>
        </w:rPr>
      </w:pPr>
      <w:r>
        <w:rPr>
          <w:rFonts w:ascii="Times New Roman" w:cs="Times New Roman" w:eastAsia="Times New Roman" w:hAnsi="Times New Roman"/>
          <w:sz w:val="18"/>
          <w:szCs w:val="18"/>
          <w:color w:val="auto"/>
        </w:rPr>
        <w:t>The address of the principal business office of each GEO Entity, each Control Entity and Sandell is New Enterprise Associates, 1954 Greenspring Drive, Suite 600, Timonium, MD 21093. The address of the principal business office of Behbahani and Mathers is New Enterprise Associates, 5425 Wisconsin Avenue, Suite 800, Chevy Chase, MD 20815. The address of the principal business office of Baskett, Chang, Makhzoumi, Sonsini, Walker and Yang is New Enterprise Associates, 2855 Sand Hill Road, Menlo Park, California 94025. The address of the principal business office of Florence and Landsman is New Enterprise Associates, 104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10001.</w:t>
      </w:r>
    </w:p>
    <w:p>
      <w:pPr>
        <w:sectPr>
          <w:pgSz w:w="11900" w:h="16838" w:orient="portrait"/>
          <w:cols w:equalWidth="0" w:num="1">
            <w:col w:w="11240"/>
          </w:cols>
          <w:pgMar w:left="320" w:top="752" w:right="339" w:bottom="1440" w:gutter="0" w:footer="0" w:header="0"/>
          <w:type w:val="continuous"/>
        </w:sectPr>
      </w:pPr>
    </w:p>
    <w:bookmarkStart w:id="21" w:name="page22"/>
    <w:bookmarkEnd w:id="21"/>
    <w:p>
      <w:pPr>
        <w:ind w:left="80"/>
        <w:spacing w:after="0"/>
        <w:tabs>
          <w:tab w:leader="none" w:pos="5460" w:val="left"/>
          <w:tab w:leader="none" w:pos="9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88900</wp:posOffset>
            </wp:positionV>
            <wp:extent cx="235712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2366010"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925050106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22 of 33 Pages</w:t>
      </w:r>
    </w:p>
    <w:p>
      <w:pPr>
        <w:sectPr>
          <w:pgSz w:w="11900" w:h="16838" w:orient="portrait"/>
          <w:cols w:equalWidth="0" w:num="1">
            <w:col w:w="11240"/>
          </w:cols>
          <w:pgMar w:left="320" w:top="1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810"/>
        <w:spacing w:after="0" w:line="256" w:lineRule="auto"/>
        <w:rPr>
          <w:sz w:val="20"/>
          <w:szCs w:val="20"/>
          <w:color w:val="auto"/>
        </w:rPr>
      </w:pPr>
      <w:r>
        <w:rPr>
          <w:rFonts w:ascii="Times New Roman" w:cs="Times New Roman" w:eastAsia="Times New Roman" w:hAnsi="Times New Roman"/>
          <w:sz w:val="18"/>
          <w:szCs w:val="18"/>
          <w:color w:val="auto"/>
        </w:rPr>
        <w:t>The principal business of the GEO Entities and the Funds is to invest in and assist growth-oriented businesses located principally in the United States. The principal business of NEA Partners 15 is to act as the sole general partner of NEA 15. The principal business of NEA Partners 17 is to act as the sole general partner of NEA 17. The principal business of NEA 15 LLC is to act as the sole general partner of NEA Partners 15. The principal business of NEA 17 LLC is to act as the sole general partner of NEA Partners 17. The principal business of each of the Dual Managers is to manage the Control Entities, the GEO Entities and a number of affiliated partnerships with similar businesses. The principal business of each of Behbahani, Chang, Landsman, Mathers, Walker and Yang is to manage NEA 17 LLC, NEA Partners 17, NEA 17, GEO 17 and a number of affiliated partnerships with similar businesses.</w:t>
      </w:r>
    </w:p>
    <w:p>
      <w:pPr>
        <w:spacing w:after="0" w:line="187"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During the five years prior to the date hereof, none of the Reporting Persons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p>
      <w:pPr>
        <w:spacing w:after="0" w:line="176" w:lineRule="exact"/>
        <w:rPr>
          <w:sz w:val="20"/>
          <w:szCs w:val="20"/>
          <w:color w:val="auto"/>
        </w:rPr>
      </w:pPr>
    </w:p>
    <w:p>
      <w:pPr>
        <w:jc w:val="both"/>
        <w:ind w:right="20" w:firstLine="810"/>
        <w:spacing w:after="0" w:line="282" w:lineRule="auto"/>
        <w:rPr>
          <w:sz w:val="20"/>
          <w:szCs w:val="20"/>
          <w:color w:val="auto"/>
        </w:rPr>
      </w:pPr>
      <w:r>
        <w:rPr>
          <w:rFonts w:ascii="Times New Roman" w:cs="Times New Roman" w:eastAsia="Times New Roman" w:hAnsi="Times New Roman"/>
          <w:sz w:val="18"/>
          <w:szCs w:val="18"/>
          <w:color w:val="auto"/>
        </w:rPr>
        <w:t>The GEO Entities and GP LLCs are limited liability companies organized under the laws of the State of Delaware. The Funds and the GPLPs are limited partnerships organized under the laws of the State of Delaware. Each of the Managers is a United States citizen.</w:t>
      </w:r>
    </w:p>
    <w:p>
      <w:pPr>
        <w:spacing w:after="0" w:line="37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Source and Amount of Funds or Other Consideration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810"/>
        <w:spacing w:after="0" w:line="256" w:lineRule="auto"/>
        <w:rPr>
          <w:sz w:val="20"/>
          <w:szCs w:val="20"/>
          <w:color w:val="auto"/>
        </w:rPr>
      </w:pPr>
      <w:r>
        <w:rPr>
          <w:rFonts w:ascii="Times New Roman" w:cs="Times New Roman" w:eastAsia="Times New Roman" w:hAnsi="Times New Roman"/>
          <w:sz w:val="18"/>
          <w:szCs w:val="18"/>
          <w:color w:val="auto"/>
        </w:rPr>
        <w:t>On August 11, 2022, the Issuer closed an underwritten offering of 12,400,000 ADS representing 99,200,000 Ordinary Shares (the “Offering”) as further described in the supplement Issuer’s Prospectus filed under Rule 424(b)(5) with the Securities and Exchange Commission on August 11, 2022 (the “Prospectus”). In connection with the closing of the Offering (the “Closing”), GEO 17 purchased an aggregate of 476,190 ADS representing 3,809,520 Ordinary Shares at an aggregate purchase price of $4,999,995. Prior to the Closing, GEO 17 held 31,111,112 Ordinary Shares and now holds a total of 34,920,632 Ordinary Shares (the “GEO 17 Shares”). The GEO Entities now hold 46,447,651 Ordinary Shares (the “GEO Shares”) including (i) the GEO 17 Shares, (ii) the 9,757,393 Ordinary Shares held by GEO 15 and (iii) the GEO 15 Warrant Shares.</w:t>
      </w:r>
    </w:p>
    <w:p>
      <w:pPr>
        <w:spacing w:after="0" w:line="201"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The working capital of GEO 15 was the source of the funds for the purchase of the GEO 15 Shares. The working capital of GEO 17 was the source of the funds for the purchase of the GEO 17 Shares. No part of the purchase price of the GEO Shares was represented by funds or other consideration borrowed or otherwise obtained for the purpose of acquiring, holding, trading or voting the GEO Shares.</w:t>
      </w:r>
    </w:p>
    <w:p>
      <w:pPr>
        <w:spacing w:after="0" w:line="38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Purpose of Transaction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The GEO Entities acquired the GEO Shares for investment purposes. Depending on market conditions, its continuing evaluation of the business and prospects of the Issuer and other factors, the GEO Entities and other Reporting Persons may dispose of or acquire additional shares of the Issuer. Except as set forth above, none of the Reporting Persons has any present plans which relate to or would result in:</w:t>
      </w:r>
    </w:p>
    <w:p>
      <w:pPr>
        <w:spacing w:after="0" w:line="176" w:lineRule="exact"/>
        <w:rPr>
          <w:sz w:val="20"/>
          <w:szCs w:val="20"/>
          <w:color w:val="auto"/>
        </w:rPr>
      </w:pPr>
    </w:p>
    <w:p>
      <w:pPr>
        <w:ind w:left="1460" w:hanging="642"/>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of additional securities of the Issuer, or the disposition of securities of the Issuer;</w:t>
      </w:r>
    </w:p>
    <w:p>
      <w:pPr>
        <w:spacing w:after="0" w:line="238" w:lineRule="exact"/>
        <w:rPr>
          <w:rFonts w:ascii="Times New Roman" w:cs="Times New Roman" w:eastAsia="Times New Roman" w:hAnsi="Times New Roman"/>
          <w:sz w:val="18"/>
          <w:szCs w:val="18"/>
          <w:color w:val="auto"/>
        </w:rPr>
      </w:pPr>
    </w:p>
    <w:p>
      <w:pPr>
        <w:ind w:left="1460" w:hanging="642"/>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extraordinary corporate transaction, such as a merger, reorganization or liquidation, involving the Issuer or any of its subsidiaries;</w:t>
      </w:r>
    </w:p>
    <w:p>
      <w:pPr>
        <w:spacing w:after="0" w:line="238" w:lineRule="exact"/>
        <w:rPr>
          <w:rFonts w:ascii="Times New Roman" w:cs="Times New Roman" w:eastAsia="Times New Roman" w:hAnsi="Times New Roman"/>
          <w:sz w:val="18"/>
          <w:szCs w:val="18"/>
          <w:color w:val="auto"/>
        </w:rPr>
      </w:pPr>
    </w:p>
    <w:p>
      <w:pPr>
        <w:ind w:left="1460" w:hanging="642"/>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transfer of a material amount of assets of the Issuer or any of its subsidiaries;</w:t>
      </w:r>
    </w:p>
    <w:p>
      <w:pPr>
        <w:spacing w:after="0" w:line="238" w:lineRule="exact"/>
        <w:rPr>
          <w:rFonts w:ascii="Times New Roman" w:cs="Times New Roman" w:eastAsia="Times New Roman" w:hAnsi="Times New Roman"/>
          <w:sz w:val="18"/>
          <w:szCs w:val="18"/>
          <w:color w:val="auto"/>
        </w:rPr>
      </w:pPr>
    </w:p>
    <w:p>
      <w:pPr>
        <w:ind w:left="1460" w:hanging="642"/>
        <w:spacing w:after="0" w:line="282" w:lineRule="auto"/>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present board of directors or management of the Issuer, including any plans or proposals to change the number or term of directors or to fill any existing vacancies on the board;</w:t>
      </w:r>
    </w:p>
    <w:p>
      <w:pPr>
        <w:spacing w:after="0" w:line="175" w:lineRule="exact"/>
        <w:rPr>
          <w:rFonts w:ascii="Times New Roman" w:cs="Times New Roman" w:eastAsia="Times New Roman" w:hAnsi="Times New Roman"/>
          <w:sz w:val="18"/>
          <w:szCs w:val="18"/>
          <w:color w:val="auto"/>
        </w:rPr>
      </w:pPr>
    </w:p>
    <w:p>
      <w:pPr>
        <w:ind w:left="1460" w:hanging="642"/>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the present capitalization or dividend policy of the Issuer;</w:t>
      </w:r>
    </w:p>
    <w:p>
      <w:pPr>
        <w:spacing w:after="0" w:line="238" w:lineRule="exact"/>
        <w:rPr>
          <w:rFonts w:ascii="Times New Roman" w:cs="Times New Roman" w:eastAsia="Times New Roman" w:hAnsi="Times New Roman"/>
          <w:sz w:val="18"/>
          <w:szCs w:val="18"/>
          <w:color w:val="auto"/>
        </w:rPr>
      </w:pPr>
    </w:p>
    <w:p>
      <w:pPr>
        <w:ind w:left="1460" w:hanging="642"/>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change in the Issuer’s business or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22" w:name="page23"/>
    <w:bookmarkEnd w:id="22"/>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23 of 33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460" w:hanging="642"/>
        <w:spacing w:after="0" w:line="282" w:lineRule="auto"/>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Issuer’s charter, bylaws or instruments corresponding thereto or other actions which may impede the acquisition of control of the Issuer by any person;</w:t>
      </w:r>
    </w:p>
    <w:p>
      <w:pPr>
        <w:spacing w:after="0" w:line="175" w:lineRule="exact"/>
        <w:rPr>
          <w:rFonts w:ascii="Times New Roman" w:cs="Times New Roman" w:eastAsia="Times New Roman" w:hAnsi="Times New Roman"/>
          <w:sz w:val="18"/>
          <w:szCs w:val="18"/>
          <w:color w:val="auto"/>
        </w:rPr>
      </w:pPr>
    </w:p>
    <w:p>
      <w:pPr>
        <w:ind w:left="1460" w:hanging="642"/>
        <w:spacing w:after="0" w:line="282" w:lineRule="auto"/>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175" w:lineRule="exact"/>
        <w:rPr>
          <w:rFonts w:ascii="Times New Roman" w:cs="Times New Roman" w:eastAsia="Times New Roman" w:hAnsi="Times New Roman"/>
          <w:sz w:val="18"/>
          <w:szCs w:val="18"/>
          <w:color w:val="auto"/>
        </w:rPr>
      </w:pPr>
    </w:p>
    <w:p>
      <w:pPr>
        <w:ind w:left="1460" w:right="20" w:hanging="642"/>
        <w:spacing w:after="0" w:line="282" w:lineRule="auto"/>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 of equity securities of the Issuer becoming eligible for termination of registration pursuant to Section 12(g)(4) of the Securities Exchange Act of 1934; or</w:t>
      </w:r>
    </w:p>
    <w:p>
      <w:pPr>
        <w:spacing w:after="0" w:line="175" w:lineRule="exact"/>
        <w:rPr>
          <w:rFonts w:ascii="Times New Roman" w:cs="Times New Roman" w:eastAsia="Times New Roman" w:hAnsi="Times New Roman"/>
          <w:sz w:val="18"/>
          <w:szCs w:val="18"/>
          <w:color w:val="auto"/>
        </w:rPr>
      </w:pPr>
    </w:p>
    <w:p>
      <w:pPr>
        <w:ind w:left="1460" w:hanging="642"/>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similar to any of those enumerated above.</w:t>
      </w:r>
    </w:p>
    <w:p>
      <w:pPr>
        <w:spacing w:after="0" w:line="200" w:lineRule="exact"/>
        <w:rPr>
          <w:sz w:val="20"/>
          <w:szCs w:val="20"/>
          <w:color w:val="auto"/>
        </w:rPr>
      </w:pPr>
    </w:p>
    <w:p>
      <w:pPr>
        <w:spacing w:after="0" w:line="27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Interest in Securities of the Issuer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left="1460" w:hanging="642"/>
        <w:spacing w:after="0" w:line="256" w:lineRule="auto"/>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 15 is the record owner of the GEO 15 Shares. As the sole member of GEO 15, NEA 15 may be deemed to own beneficially the GEO 15 Shares. As the general partner of NEA 15, NEA Partners 15 may be deemed to own beneficially the GEO 15 Shares. As the sole general partner of NEA Partners 15, NEA 15 LLC may be deemed to own beneficially the GEO 15 Shares. GEO 17 is the record owner of the GEO 17 Shares. As the sole member of GEO 17, NEA 17 may be deemed to own beneficially the GEO 17 Shares. As the general partner of NEA 17, NEA Partners 17 may be deemed to own beneficially the GEO 17 Shares. As the sole general partner of NEA Partners 17, NEA 17 LLC may be deemed to own beneficially the GEO 17 Shares.</w:t>
      </w:r>
    </w:p>
    <w:p>
      <w:pPr>
        <w:spacing w:after="0" w:line="187" w:lineRule="exact"/>
        <w:rPr>
          <w:rFonts w:ascii="Times New Roman" w:cs="Times New Roman" w:eastAsia="Times New Roman" w:hAnsi="Times New Roman"/>
          <w:sz w:val="18"/>
          <w:szCs w:val="18"/>
          <w:color w:val="auto"/>
        </w:rPr>
      </w:pPr>
    </w:p>
    <w:p>
      <w:pPr>
        <w:jc w:val="both"/>
        <w:ind w:left="14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virtue of their relationship as affiliated entities, whose Control Entities have overlapping individual controlling persons, each of the GEO Entities may be deemed to share the power to direct the disposition and vote of the GEO Shares. As sole members of the GEO Entities, each of the Funds may also be deemed to beneficially own the GEO Shares. As general partners of the Funds, each of the GPLPs may also be deemed to own beneficially the GEO Shares. As the sole general partner of NEA Partners 15, NEA 15 LLC may also be deemed to own beneficially the GEO Shares. As the sole general partner of NEA Partners 17, NEA 17 LLC may also be deemed to own beneficially the GEO Shares.</w:t>
      </w:r>
    </w:p>
    <w:p>
      <w:pPr>
        <w:spacing w:after="0" w:line="200" w:lineRule="exact"/>
        <w:rPr>
          <w:rFonts w:ascii="Times New Roman" w:cs="Times New Roman" w:eastAsia="Times New Roman" w:hAnsi="Times New Roman"/>
          <w:sz w:val="18"/>
          <w:szCs w:val="18"/>
          <w:color w:val="auto"/>
        </w:rPr>
      </w:pPr>
    </w:p>
    <w:p>
      <w:pPr>
        <w:jc w:val="both"/>
        <w:ind w:left="144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individual managers of NEA 15 LLC and NEA 17 LLC, each of the Dual Managers may be deemed to own beneficially all of the GEO Shares. As managers of NEA 17 LLC, each of Behbahani, Chang, Landsman, Mathers, Walker and Yang may be deemed to own beneficially the GEO 17 Shares.</w:t>
      </w:r>
    </w:p>
    <w:p>
      <w:pPr>
        <w:spacing w:after="0" w:line="189"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Reporting Person disclaims beneficial ownership of the GEO Shares other than those shares which such person owns of record.</w:t>
      </w:r>
    </w:p>
    <w:p>
      <w:pPr>
        <w:spacing w:after="0" w:line="238" w:lineRule="exact"/>
        <w:rPr>
          <w:rFonts w:ascii="Times New Roman" w:cs="Times New Roman" w:eastAsia="Times New Roman" w:hAnsi="Times New Roman"/>
          <w:sz w:val="18"/>
          <w:szCs w:val="18"/>
          <w:color w:val="auto"/>
        </w:rPr>
      </w:pPr>
    </w:p>
    <w:p>
      <w:pPr>
        <w:jc w:val="both"/>
        <w:ind w:left="14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outstanding Ordinary Shares of the Issuer which may be deemed to be beneficially owned by each Reporting Person is set forth on Line 13 of such Reporting Person’s cover sheet. Such percentage was calculated based on 588,603,000 Ordinary Shares deemed to be outstanding, which includes (i) 586,833,374 shares of Ordinary Shares reported to be outstanding on the Prospectus (including any such Ordinary Shares represented by ADSs and assuming the underwriters did not exercise their option to purchase additional ADSs) (the “Outstanding Shares”) and (ii) the GEO 15 Warrant Shares. The percentage set forth on the cover sheet for each of Behbahani, Chang, Landsman, Mathers, Walker and Yang is calculated based on the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902335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3" w:name="page24"/>
    <w:bookmarkEnd w:id="23"/>
    <w:p>
      <w:pPr>
        <w:ind w:left="80"/>
        <w:spacing w:after="0"/>
        <w:tabs>
          <w:tab w:leader="none" w:pos="5460" w:val="left"/>
          <w:tab w:leader="none" w:pos="9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517525</wp:posOffset>
            </wp:positionV>
            <wp:extent cx="2357120"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2366010"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925050106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24 of 33 Pages</w:t>
      </w:r>
    </w:p>
    <w:p>
      <w:pPr>
        <w:sectPr>
          <w:pgSz w:w="11900" w:h="16838" w:orient="portrait"/>
          <w:cols w:equalWidth="0" w:num="1">
            <w:col w:w="11240"/>
          </w:cols>
          <w:pgMar w:left="320" w:top="8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460" w:hanging="642"/>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the number of shares as to which such person has:</w:t>
      </w:r>
    </w:p>
    <w:p>
      <w:pPr>
        <w:spacing w:after="0" w:line="225" w:lineRule="exact"/>
        <w:rPr>
          <w:rFonts w:ascii="Times New Roman" w:cs="Times New Roman" w:eastAsia="Times New Roman" w:hAnsi="Times New Roman"/>
          <w:sz w:val="18"/>
          <w:szCs w:val="18"/>
          <w:color w:val="auto"/>
        </w:rPr>
      </w:pPr>
    </w:p>
    <w:p>
      <w:pPr>
        <w:ind w:left="2080" w:hanging="641"/>
        <w:spacing w:after="0"/>
        <w:tabs>
          <w:tab w:leader="none" w:pos="2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line 7 of cover sheets</w:t>
      </w:r>
    </w:p>
    <w:p>
      <w:pPr>
        <w:spacing w:after="0" w:line="225" w:lineRule="exact"/>
        <w:rPr>
          <w:rFonts w:ascii="Times New Roman" w:cs="Times New Roman" w:eastAsia="Times New Roman" w:hAnsi="Times New Roman"/>
          <w:sz w:val="18"/>
          <w:szCs w:val="18"/>
          <w:color w:val="auto"/>
        </w:rPr>
      </w:pPr>
    </w:p>
    <w:p>
      <w:pPr>
        <w:ind w:left="2080" w:hanging="641"/>
        <w:spacing w:after="0"/>
        <w:tabs>
          <w:tab w:leader="none" w:pos="2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line 8 of cover sheets</w:t>
      </w:r>
    </w:p>
    <w:p>
      <w:pPr>
        <w:spacing w:after="0" w:line="225" w:lineRule="exact"/>
        <w:rPr>
          <w:rFonts w:ascii="Times New Roman" w:cs="Times New Roman" w:eastAsia="Times New Roman" w:hAnsi="Times New Roman"/>
          <w:sz w:val="18"/>
          <w:szCs w:val="18"/>
          <w:color w:val="auto"/>
        </w:rPr>
      </w:pPr>
    </w:p>
    <w:p>
      <w:pPr>
        <w:ind w:left="2080" w:hanging="641"/>
        <w:spacing w:after="0"/>
        <w:tabs>
          <w:tab w:leader="none" w:pos="2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See line 9 of cover sheets</w:t>
      </w:r>
    </w:p>
    <w:p>
      <w:pPr>
        <w:spacing w:after="0" w:line="225" w:lineRule="exact"/>
        <w:rPr>
          <w:rFonts w:ascii="Times New Roman" w:cs="Times New Roman" w:eastAsia="Times New Roman" w:hAnsi="Times New Roman"/>
          <w:sz w:val="18"/>
          <w:szCs w:val="18"/>
          <w:color w:val="auto"/>
        </w:rPr>
      </w:pPr>
    </w:p>
    <w:p>
      <w:pPr>
        <w:ind w:left="2080" w:hanging="641"/>
        <w:spacing w:after="0"/>
        <w:tabs>
          <w:tab w:leader="none" w:pos="2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See line 10 of cover sheets</w:t>
      </w:r>
    </w:p>
    <w:p>
      <w:pPr>
        <w:spacing w:after="0" w:line="225" w:lineRule="exact"/>
        <w:rPr>
          <w:rFonts w:ascii="Times New Roman" w:cs="Times New Roman" w:eastAsia="Times New Roman" w:hAnsi="Times New Roman"/>
          <w:sz w:val="18"/>
          <w:szCs w:val="18"/>
          <w:color w:val="auto"/>
        </w:rPr>
      </w:pPr>
    </w:p>
    <w:p>
      <w:pPr>
        <w:ind w:left="1460" w:right="20" w:hanging="642"/>
        <w:spacing w:after="0" w:line="282" w:lineRule="auto"/>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Item 3 above, none of the Reporting Persons has effected any transaction in the Ordinary Shares during the last 60 days.</w:t>
      </w:r>
    </w:p>
    <w:p>
      <w:pPr>
        <w:spacing w:after="0" w:line="161" w:lineRule="exact"/>
        <w:rPr>
          <w:rFonts w:ascii="Times New Roman" w:cs="Times New Roman" w:eastAsia="Times New Roman" w:hAnsi="Times New Roman"/>
          <w:sz w:val="18"/>
          <w:szCs w:val="18"/>
          <w:color w:val="auto"/>
        </w:rPr>
      </w:pPr>
    </w:p>
    <w:p>
      <w:pPr>
        <w:ind w:left="1460" w:hanging="642"/>
        <w:spacing w:after="0" w:line="282" w:lineRule="auto"/>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person is known to have the right to receive or the power to direct the receipt of dividends from, or any proceeds from the sale of, Shares beneficially owned by any of the Reporting Persons.</w:t>
      </w:r>
    </w:p>
    <w:p>
      <w:pPr>
        <w:spacing w:after="0" w:line="161" w:lineRule="exact"/>
        <w:rPr>
          <w:rFonts w:ascii="Times New Roman" w:cs="Times New Roman" w:eastAsia="Times New Roman" w:hAnsi="Times New Roman"/>
          <w:sz w:val="18"/>
          <w:szCs w:val="18"/>
          <w:color w:val="auto"/>
        </w:rPr>
      </w:pPr>
    </w:p>
    <w:p>
      <w:pPr>
        <w:ind w:left="1460" w:right="20" w:hanging="642"/>
        <w:spacing w:after="0" w:line="282" w:lineRule="auto"/>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Makower has ceased to beneficially own five percent (5%) or more of the Issuer’s Ordinary Shares as a result of ceasing to be a manager of NEA 15 LLC and NEA 17 LLC.</w:t>
      </w:r>
    </w:p>
    <w:p>
      <w:pPr>
        <w:spacing w:after="0" w:line="37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u w:val="single" w:color="auto"/>
          <w:color w:val="auto"/>
        </w:rPr>
        <w:t>Material to be Filed as Exhibits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Exhibit 1 – Agreement regarding filing of joint Schedule 13D.</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Exhibit 2 – Power of Attorney regarding filings under the Securities Exchange Act of 1934, as amended.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3 – Power of Attorney on behalf of Liza Landsman regarding filings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2160270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type w:val="continuous"/>
        </w:sectPr>
      </w:pPr>
    </w:p>
    <w:bookmarkStart w:id="24" w:name="page25"/>
    <w:bookmarkEnd w:id="24"/>
    <w:p>
      <w:pPr>
        <w:ind w:left="80"/>
        <w:spacing w:after="0"/>
        <w:tabs>
          <w:tab w:leader="none" w:pos="5460" w:val="left"/>
          <w:tab w:leader="none" w:pos="9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380365</wp:posOffset>
            </wp:positionV>
            <wp:extent cx="2357120"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925050106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25 of 33 Pages</w:t>
      </w:r>
    </w:p>
    <w:p>
      <w:pPr>
        <w:sectPr>
          <w:pgSz w:w="11900" w:h="16838" w:orient="portrait"/>
          <w:cols w:equalWidth="0" w:num="1">
            <w:col w:w="11240"/>
          </w:cols>
          <w:pgMar w:left="320" w:top="644" w:right="3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43" w:lineRule="exact"/>
        <w:rPr>
          <w:sz w:val="20"/>
          <w:szCs w:val="20"/>
          <w:color w:val="auto"/>
        </w:rPr>
      </w:pPr>
    </w:p>
    <w:p>
      <w:pPr>
        <w:ind w:right="660" w:firstLine="697"/>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this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September, 2022.</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EQUITY OPPORTUNITIES 17, LLC</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NEW ENTERPRISE ASSOCIATES 17, L.P.</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Sole Member</w:t>
      </w:r>
    </w:p>
    <w:p>
      <w:pPr>
        <w:spacing w:after="0" w:line="315" w:lineRule="exact"/>
        <w:rPr>
          <w:sz w:val="20"/>
          <w:szCs w:val="20"/>
          <w:color w:val="auto"/>
        </w:rPr>
      </w:pPr>
    </w:p>
    <w:p>
      <w:pPr>
        <w:ind w:left="720"/>
        <w:spacing w:after="0"/>
        <w:tabs>
          <w:tab w:leader="none" w:pos="1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NEA PARTNERS 17, L.P.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General Partner</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395"/>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916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NEA 17 GP, LLC</w:t>
            </w: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16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500"/>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2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spacing w:after="0"/>
              <w:rPr>
                <w:sz w:val="24"/>
                <w:szCs w:val="24"/>
                <w:color w:val="auto"/>
              </w:rPr>
            </w:pPr>
          </w:p>
        </w:tc>
        <w:tc>
          <w:tcPr>
            <w:tcW w:w="598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Scott D. Sandell</w:t>
            </w: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64"/>
        </w:trPr>
        <w:tc>
          <w:tcPr>
            <w:tcW w:w="11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NEW ENTERPRISE ASSOCIATES 17, L.P.</w:t>
            </w:r>
          </w:p>
        </w:tc>
      </w:tr>
      <w:tr>
        <w:trPr>
          <w:trHeight w:val="41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3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NEA PARTNERS 17, L.P.</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522"/>
        </w:trPr>
        <w:tc>
          <w:tcPr>
            <w:tcW w:w="50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NEA 17 GP, LLC</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General Partner</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391"/>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Scott D. Sandell</w:t>
            </w: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64"/>
        </w:trPr>
        <w:tc>
          <w:tcPr>
            <w:tcW w:w="2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NEA PARTNERS 17, L.P.</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41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NEA 17 GP, LLC</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49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D. Sandell</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8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864"/>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NEA 17 GP, LLC</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39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D. Sandell</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8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999"/>
        </w:trPr>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4" w:right="339" w:bottom="1440" w:gutter="0" w:footer="0" w:header="0"/>
          <w:type w:val="continuous"/>
        </w:sectPr>
      </w:pPr>
    </w:p>
    <w:bookmarkStart w:id="25" w:name="page26"/>
    <w:bookmarkEnd w:id="25"/>
    <w:p>
      <w:pPr>
        <w:ind w:left="80"/>
        <w:spacing w:after="0"/>
        <w:tabs>
          <w:tab w:leader="none" w:pos="5460" w:val="left"/>
          <w:tab w:leader="none" w:pos="9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380365</wp:posOffset>
            </wp:positionV>
            <wp:extent cx="2357120"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925050106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26 of 33 Pages</w:t>
      </w:r>
    </w:p>
    <w:p>
      <w:pPr>
        <w:sectPr>
          <w:pgSz w:w="11900" w:h="16838" w:orient="portrait"/>
          <w:cols w:equalWidth="0" w:num="1">
            <w:col w:w="10980"/>
          </w:cols>
          <w:pgMar w:left="320" w:top="644"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EQUITY OPPORTUNITIES FUND IV,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NEW ENTERPRISE ASSOCIATES 15, L.P.</w:t>
            </w:r>
          </w:p>
        </w:tc>
      </w:tr>
      <w:tr>
        <w:trPr>
          <w:trHeight w:val="234"/>
        </w:trPr>
        <w:tc>
          <w:tcPr>
            <w:tcW w:w="500" w:type="dxa"/>
            <w:vAlign w:val="bottom"/>
          </w:tcPr>
          <w:p>
            <w:pPr>
              <w:spacing w:after="0"/>
              <w:rPr>
                <w:sz w:val="20"/>
                <w:szCs w:val="20"/>
                <w:color w:val="auto"/>
              </w:rPr>
            </w:pPr>
          </w:p>
        </w:tc>
        <w:tc>
          <w:tcPr>
            <w:tcW w:w="1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Sole Member</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22"/>
        </w:trPr>
        <w:tc>
          <w:tcPr>
            <w:tcW w:w="500" w:type="dxa"/>
            <w:vAlign w:val="bottom"/>
          </w:tcPr>
          <w:p>
            <w:pPr>
              <w:spacing w:after="0"/>
              <w:rPr>
                <w:sz w:val="24"/>
                <w:szCs w:val="24"/>
                <w:color w:val="auto"/>
              </w:rPr>
            </w:pP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NEA PARTNERS 15, L.P.</w:t>
            </w: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2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NEA 15 GP, LLC</w:t>
            </w: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99"/>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236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Louis S. Citron</w:t>
            </w: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864"/>
        </w:trPr>
        <w:tc>
          <w:tcPr>
            <w:tcW w:w="4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NEW ENTERPRISE ASSOCIATES 15, L.P.</w:t>
            </w:r>
          </w:p>
        </w:tc>
      </w:tr>
      <w:tr>
        <w:trPr>
          <w:trHeight w:val="41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NEA PARTNERS 15, L.P.</w:t>
            </w:r>
          </w:p>
        </w:tc>
      </w:tr>
      <w:tr>
        <w:trPr>
          <w:trHeight w:val="234"/>
        </w:trPr>
        <w:tc>
          <w:tcPr>
            <w:tcW w:w="500" w:type="dxa"/>
            <w:vAlign w:val="bottom"/>
          </w:tcPr>
          <w:p>
            <w:pPr>
              <w:spacing w:after="0"/>
              <w:rPr>
                <w:sz w:val="20"/>
                <w:szCs w:val="20"/>
                <w:color w:val="auto"/>
              </w:rPr>
            </w:pPr>
          </w:p>
        </w:tc>
        <w:tc>
          <w:tcPr>
            <w:tcW w:w="1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22"/>
        </w:trPr>
        <w:tc>
          <w:tcPr>
            <w:tcW w:w="500" w:type="dxa"/>
            <w:vAlign w:val="bottom"/>
          </w:tcPr>
          <w:p>
            <w:pPr>
              <w:spacing w:after="0"/>
              <w:rPr>
                <w:sz w:val="24"/>
                <w:szCs w:val="24"/>
                <w:color w:val="auto"/>
              </w:rPr>
            </w:pP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NEA 15 GP, LLC</w:t>
            </w: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392"/>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236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Louis S. Citron</w:t>
            </w: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864"/>
        </w:trPr>
        <w:tc>
          <w:tcPr>
            <w:tcW w:w="2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NEA PARTNERS 15, L.P.</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NEA 15 GP, LLC</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1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0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 S. Citron</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Legal Officer</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15 GP, LLC</w:t>
      </w:r>
    </w:p>
    <w:p>
      <w:pPr>
        <w:spacing w:after="0" w:line="225"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-7620</wp:posOffset>
            </wp:positionV>
            <wp:extent cx="14852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85265" cy="8890"/>
                    </a:xfrm>
                    <a:prstGeom prst="rect">
                      <a:avLst/>
                    </a:prstGeom>
                    <a:noFill/>
                  </pic:spPr>
                </pic:pic>
              </a:graphicData>
            </a:graphic>
          </wp:anchor>
        </w:drawing>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Louis S. Citron</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644" w:right="599" w:bottom="1440" w:gutter="0" w:footer="0" w:header="0"/>
          <w:type w:val="continuous"/>
        </w:sectPr>
      </w:pPr>
    </w:p>
    <w:bookmarkStart w:id="26" w:name="page27"/>
    <w:bookmarkEnd w:id="26"/>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27 of 33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Forest Baskett</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 Behbahani</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Carmen Chang</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200" w:lineRule="exact"/>
        <w:rPr>
          <w:sz w:val="20"/>
          <w:szCs w:val="20"/>
          <w:color w:val="auto"/>
        </w:rPr>
      </w:pPr>
    </w:p>
    <w:p>
      <w:pPr>
        <w:spacing w:after="0" w:line="223"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jc w:val="right"/>
        <w:ind w:right="10120"/>
        <w:spacing w:after="0"/>
        <w:rPr>
          <w:sz w:val="20"/>
          <w:szCs w:val="20"/>
          <w:color w:val="auto"/>
        </w:rPr>
      </w:pPr>
      <w:r>
        <w:rPr>
          <w:rFonts w:ascii="Times New Roman" w:cs="Times New Roman" w:eastAsia="Times New Roman" w:hAnsi="Times New Roman"/>
          <w:sz w:val="18"/>
          <w:szCs w:val="18"/>
          <w:color w:val="auto"/>
        </w:rPr>
        <w:t>Liza Landsman</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Mohamad H. Makhzoumi</w:t>
      </w:r>
    </w:p>
    <w:p>
      <w:pPr>
        <w:spacing w:after="0" w:line="200" w:lineRule="exact"/>
        <w:rPr>
          <w:sz w:val="20"/>
          <w:szCs w:val="20"/>
          <w:color w:val="auto"/>
        </w:rPr>
      </w:pPr>
    </w:p>
    <w:p>
      <w:pPr>
        <w:spacing w:after="0" w:line="223"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jc w:val="right"/>
        <w:ind w:right="10000"/>
        <w:spacing w:after="0"/>
        <w:rPr>
          <w:sz w:val="20"/>
          <w:szCs w:val="20"/>
          <w:color w:val="auto"/>
        </w:rPr>
      </w:pPr>
      <w:r>
        <w:rPr>
          <w:rFonts w:ascii="Times New Roman" w:cs="Times New Roman" w:eastAsia="Times New Roman" w:hAnsi="Times New Roman"/>
          <w:sz w:val="18"/>
          <w:szCs w:val="18"/>
          <w:color w:val="auto"/>
        </w:rPr>
        <w:t>Joshua Makower</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T. Mathers</w:t>
      </w:r>
    </w:p>
    <w:p>
      <w:pPr>
        <w:spacing w:after="0" w:line="200" w:lineRule="exact"/>
        <w:rPr>
          <w:sz w:val="20"/>
          <w:szCs w:val="20"/>
          <w:color w:val="auto"/>
        </w:rPr>
      </w:pPr>
    </w:p>
    <w:p>
      <w:pPr>
        <w:spacing w:after="0" w:line="223"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Scott D. Sandell</w:t>
      </w:r>
    </w:p>
    <w:p>
      <w:pPr>
        <w:spacing w:after="0" w:line="200" w:lineRule="exact"/>
        <w:rPr>
          <w:sz w:val="20"/>
          <w:szCs w:val="20"/>
          <w:color w:val="auto"/>
        </w:rPr>
      </w:pPr>
    </w:p>
    <w:p>
      <w:pPr>
        <w:spacing w:after="0" w:line="223"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jc w:val="right"/>
        <w:ind w:right="10040"/>
        <w:spacing w:after="0"/>
        <w:rPr>
          <w:sz w:val="20"/>
          <w:szCs w:val="20"/>
          <w:color w:val="auto"/>
        </w:rPr>
      </w:pPr>
      <w:r>
        <w:rPr>
          <w:rFonts w:ascii="Times New Roman" w:cs="Times New Roman" w:eastAsia="Times New Roman" w:hAnsi="Times New Roman"/>
          <w:sz w:val="17"/>
          <w:szCs w:val="17"/>
          <w:color w:val="auto"/>
        </w:rPr>
        <w:t>Peter W. Sonsini</w:t>
      </w:r>
    </w:p>
    <w:p>
      <w:pPr>
        <w:spacing w:after="0" w:line="200" w:lineRule="exact"/>
        <w:rPr>
          <w:sz w:val="20"/>
          <w:szCs w:val="20"/>
          <w:color w:val="auto"/>
        </w:rPr>
      </w:pPr>
    </w:p>
    <w:p>
      <w:pPr>
        <w:spacing w:after="0" w:line="23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Walker</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Rick Yang</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 Louis S. Citron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-19050</wp:posOffset>
            </wp:positionV>
            <wp:extent cx="15805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80515" cy="8890"/>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18"/>
          <w:szCs w:val="18"/>
          <w:color w:val="auto"/>
        </w:rPr>
        <w:t>Louis S. Citron</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As attorney-in-fact</w:t>
      </w:r>
    </w:p>
    <w:p>
      <w:pPr>
        <w:spacing w:after="0" w:line="200" w:lineRule="exact"/>
        <w:rPr>
          <w:sz w:val="20"/>
          <w:szCs w:val="20"/>
          <w:color w:val="auto"/>
        </w:rPr>
      </w:pPr>
    </w:p>
    <w:p>
      <w:pPr>
        <w:spacing w:after="0" w:line="22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Amendment No. 2 to Schedule 13D was executed by Louis S. Citron on behalf of the individuals listed above pursuant to a Power of Attorney a copy of which is attached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7" w:name="page28"/>
    <w:bookmarkEnd w:id="27"/>
    <w:p>
      <w:pPr>
        <w:ind w:left="80"/>
        <w:spacing w:after="0"/>
        <w:tabs>
          <w:tab w:leader="none" w:pos="5460" w:val="left"/>
          <w:tab w:leader="none" w:pos="9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448945</wp:posOffset>
            </wp:positionV>
            <wp:extent cx="2357120" cy="240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2366010" cy="240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925050106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28 of 33 Pages</w:t>
      </w:r>
    </w:p>
    <w:p>
      <w:pPr>
        <w:sectPr>
          <w:pgSz w:w="11900" w:h="16838" w:orient="portrait"/>
          <w:cols w:equalWidth="0" w:num="1">
            <w:col w:w="11240"/>
          </w:cols>
          <w:pgMar w:left="320" w:top="752" w:right="339" w:bottom="744" w:gutter="0" w:footer="0" w:header="0"/>
        </w:sectPr>
      </w:pPr>
    </w:p>
    <w:p>
      <w:pPr>
        <w:spacing w:after="0" w:line="320"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7"/>
          <w:szCs w:val="17"/>
          <w:b w:val="1"/>
          <w:bCs w:val="1"/>
          <w:u w:val="single" w:color="auto"/>
          <w:color w:val="auto"/>
        </w:rPr>
        <w:t>EXHIBIT 1</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right="340" w:firstLine="693"/>
        <w:spacing w:after="0" w:line="312" w:lineRule="auto"/>
        <w:rPr>
          <w:sz w:val="20"/>
          <w:szCs w:val="20"/>
          <w:color w:val="auto"/>
        </w:rPr>
      </w:pPr>
      <w:r>
        <w:rPr>
          <w:rFonts w:ascii="Times New Roman" w:cs="Times New Roman" w:eastAsia="Times New Roman" w:hAnsi="Times New Roman"/>
          <w:sz w:val="17"/>
          <w:szCs w:val="17"/>
          <w:color w:val="auto"/>
        </w:rPr>
        <w:t>Pursuant to Rule 13d-1(k)(1) under the Securities Exchange Act of 1934, the undersigned hereby agree that only one statement containing the information required by Schedule 13D need be filed with respect to the ownership by each of the undersigned of shares of stock of Verona Pharma plc.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this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September, 2022.</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EQUITY OPPORTUNITIES 17, LLC</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NEW ENTERPRISE ASSOCIATES 17, L.P.</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Sole Member</w:t>
      </w:r>
    </w:p>
    <w:p>
      <w:pPr>
        <w:spacing w:after="0" w:line="315" w:lineRule="exact"/>
        <w:rPr>
          <w:sz w:val="20"/>
          <w:szCs w:val="20"/>
          <w:color w:val="auto"/>
        </w:rPr>
      </w:pPr>
    </w:p>
    <w:p>
      <w:pPr>
        <w:ind w:left="720"/>
        <w:spacing w:after="0"/>
        <w:tabs>
          <w:tab w:leader="none" w:pos="1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NEA PARTNERS 17, L.P.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General Partner</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395"/>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916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NEA 17 GP, LLC</w:t>
            </w: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16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500"/>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2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spacing w:after="0"/>
              <w:rPr>
                <w:sz w:val="24"/>
                <w:szCs w:val="24"/>
                <w:color w:val="auto"/>
              </w:rPr>
            </w:pPr>
          </w:p>
        </w:tc>
        <w:tc>
          <w:tcPr>
            <w:tcW w:w="598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Scott D. Sandell</w:t>
            </w: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64"/>
        </w:trPr>
        <w:tc>
          <w:tcPr>
            <w:tcW w:w="11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NEW ENTERPRISE ASSOCIATES 17, L.P.</w:t>
            </w:r>
          </w:p>
        </w:tc>
      </w:tr>
      <w:tr>
        <w:trPr>
          <w:trHeight w:val="41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3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NEA PARTNERS 17, L.P.</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522"/>
        </w:trPr>
        <w:tc>
          <w:tcPr>
            <w:tcW w:w="50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NEA 17 GP, LLC</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General Partner</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391"/>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Scott D. Sandell</w:t>
            </w: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64"/>
        </w:trPr>
        <w:tc>
          <w:tcPr>
            <w:tcW w:w="2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NEA PARTNERS 17, L.P.</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41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NEA 17 GP, LLC</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50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D. Sandell</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8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864"/>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NEA 17 GP, LLC</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39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D. Sandell</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8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999"/>
        </w:trPr>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2" w:right="339" w:bottom="744" w:gutter="0" w:footer="0" w:header="0"/>
          <w:type w:val="continuous"/>
        </w:sectPr>
      </w:pPr>
    </w:p>
    <w:bookmarkStart w:id="28" w:name="page29"/>
    <w:bookmarkEnd w:id="28"/>
    <w:p>
      <w:pPr>
        <w:ind w:left="80"/>
        <w:spacing w:after="0"/>
        <w:tabs>
          <w:tab w:leader="none" w:pos="5460" w:val="left"/>
          <w:tab w:leader="none" w:pos="9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380365</wp:posOffset>
            </wp:positionV>
            <wp:extent cx="2357120" cy="240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925050106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29 of 33 Pages</w:t>
      </w:r>
    </w:p>
    <w:p>
      <w:pPr>
        <w:sectPr>
          <w:pgSz w:w="11900" w:h="16838" w:orient="portrait"/>
          <w:cols w:equalWidth="0" w:num="1">
            <w:col w:w="10980"/>
          </w:cols>
          <w:pgMar w:left="320" w:top="644"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EQUITY OPPORTUNITIES FUND IV,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NEW ENTERPRISE ASSOCIATES 15, L.P.</w:t>
            </w:r>
          </w:p>
        </w:tc>
      </w:tr>
      <w:tr>
        <w:trPr>
          <w:trHeight w:val="234"/>
        </w:trPr>
        <w:tc>
          <w:tcPr>
            <w:tcW w:w="500" w:type="dxa"/>
            <w:vAlign w:val="bottom"/>
          </w:tcPr>
          <w:p>
            <w:pPr>
              <w:spacing w:after="0"/>
              <w:rPr>
                <w:sz w:val="20"/>
                <w:szCs w:val="20"/>
                <w:color w:val="auto"/>
              </w:rPr>
            </w:pPr>
          </w:p>
        </w:tc>
        <w:tc>
          <w:tcPr>
            <w:tcW w:w="1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Sole Member</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22"/>
        </w:trPr>
        <w:tc>
          <w:tcPr>
            <w:tcW w:w="500" w:type="dxa"/>
            <w:vAlign w:val="bottom"/>
          </w:tcPr>
          <w:p>
            <w:pPr>
              <w:spacing w:after="0"/>
              <w:rPr>
                <w:sz w:val="24"/>
                <w:szCs w:val="24"/>
                <w:color w:val="auto"/>
              </w:rPr>
            </w:pP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NEA PARTNERS 15, L.P.</w:t>
            </w: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2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NEA 15 GP, LLC</w:t>
            </w: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99"/>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236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Louis S. Citron</w:t>
            </w: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864"/>
        </w:trPr>
        <w:tc>
          <w:tcPr>
            <w:tcW w:w="4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NEW ENTERPRISE ASSOCIATES 15, L.P.</w:t>
            </w:r>
          </w:p>
        </w:tc>
      </w:tr>
      <w:tr>
        <w:trPr>
          <w:trHeight w:val="41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NEA PARTNERS 15, L.P.</w:t>
            </w:r>
          </w:p>
        </w:tc>
      </w:tr>
      <w:tr>
        <w:trPr>
          <w:trHeight w:val="234"/>
        </w:trPr>
        <w:tc>
          <w:tcPr>
            <w:tcW w:w="500" w:type="dxa"/>
            <w:vAlign w:val="bottom"/>
          </w:tcPr>
          <w:p>
            <w:pPr>
              <w:spacing w:after="0"/>
              <w:rPr>
                <w:sz w:val="20"/>
                <w:szCs w:val="20"/>
                <w:color w:val="auto"/>
              </w:rPr>
            </w:pPr>
          </w:p>
        </w:tc>
        <w:tc>
          <w:tcPr>
            <w:tcW w:w="1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22"/>
        </w:trPr>
        <w:tc>
          <w:tcPr>
            <w:tcW w:w="500" w:type="dxa"/>
            <w:vAlign w:val="bottom"/>
          </w:tcPr>
          <w:p>
            <w:pPr>
              <w:spacing w:after="0"/>
              <w:rPr>
                <w:sz w:val="24"/>
                <w:szCs w:val="24"/>
                <w:color w:val="auto"/>
              </w:rPr>
            </w:pP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NEA 15 GP, LLC</w:t>
            </w: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391"/>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236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Louis S. Citron</w:t>
            </w: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864"/>
        </w:trPr>
        <w:tc>
          <w:tcPr>
            <w:tcW w:w="2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NEA PARTNERS 15, L.P.</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NEA 15 GP, LLC</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1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9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 S. Citron</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Legal Officer</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15 GP, LLC</w:t>
      </w:r>
    </w:p>
    <w:p>
      <w:pPr>
        <w:spacing w:after="0" w:line="225"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-7620</wp:posOffset>
            </wp:positionV>
            <wp:extent cx="14852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85265" cy="8890"/>
                    </a:xfrm>
                    <a:prstGeom prst="rect">
                      <a:avLst/>
                    </a:prstGeom>
                    <a:noFill/>
                  </pic:spPr>
                </pic:pic>
              </a:graphicData>
            </a:graphic>
          </wp:anchor>
        </w:drawing>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Louis S. Citron</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644" w:right="599" w:bottom="1440" w:gutter="0" w:footer="0" w:header="0"/>
          <w:type w:val="continuous"/>
        </w:sectPr>
      </w:pPr>
    </w:p>
    <w:bookmarkStart w:id="29" w:name="page30"/>
    <w:bookmarkEnd w:id="29"/>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30 of 33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Forest Baskett</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 Behbahani</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Carmen Chang</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200" w:lineRule="exact"/>
        <w:rPr>
          <w:sz w:val="20"/>
          <w:szCs w:val="20"/>
          <w:color w:val="auto"/>
        </w:rPr>
      </w:pPr>
    </w:p>
    <w:p>
      <w:pPr>
        <w:spacing w:after="0" w:line="223"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jc w:val="right"/>
        <w:ind w:right="10120"/>
        <w:spacing w:after="0"/>
        <w:rPr>
          <w:sz w:val="20"/>
          <w:szCs w:val="20"/>
          <w:color w:val="auto"/>
        </w:rPr>
      </w:pPr>
      <w:r>
        <w:rPr>
          <w:rFonts w:ascii="Times New Roman" w:cs="Times New Roman" w:eastAsia="Times New Roman" w:hAnsi="Times New Roman"/>
          <w:sz w:val="18"/>
          <w:szCs w:val="18"/>
          <w:color w:val="auto"/>
        </w:rPr>
        <w:t>Liza Landsman</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Mohamad H. Makhzoumi</w:t>
      </w:r>
    </w:p>
    <w:p>
      <w:pPr>
        <w:spacing w:after="0" w:line="200" w:lineRule="exact"/>
        <w:rPr>
          <w:sz w:val="20"/>
          <w:szCs w:val="20"/>
          <w:color w:val="auto"/>
        </w:rPr>
      </w:pPr>
    </w:p>
    <w:p>
      <w:pPr>
        <w:spacing w:after="0" w:line="223"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jc w:val="right"/>
        <w:ind w:right="10000"/>
        <w:spacing w:after="0"/>
        <w:rPr>
          <w:sz w:val="20"/>
          <w:szCs w:val="20"/>
          <w:color w:val="auto"/>
        </w:rPr>
      </w:pPr>
      <w:r>
        <w:rPr>
          <w:rFonts w:ascii="Times New Roman" w:cs="Times New Roman" w:eastAsia="Times New Roman" w:hAnsi="Times New Roman"/>
          <w:sz w:val="18"/>
          <w:szCs w:val="18"/>
          <w:color w:val="auto"/>
        </w:rPr>
        <w:t>Joshua Makower</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T. Mathers</w:t>
      </w:r>
    </w:p>
    <w:p>
      <w:pPr>
        <w:spacing w:after="0" w:line="200" w:lineRule="exact"/>
        <w:rPr>
          <w:sz w:val="20"/>
          <w:szCs w:val="20"/>
          <w:color w:val="auto"/>
        </w:rPr>
      </w:pPr>
    </w:p>
    <w:p>
      <w:pPr>
        <w:spacing w:after="0" w:line="223"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Scott D. Sandell</w:t>
      </w:r>
    </w:p>
    <w:p>
      <w:pPr>
        <w:spacing w:after="0" w:line="200" w:lineRule="exact"/>
        <w:rPr>
          <w:sz w:val="20"/>
          <w:szCs w:val="20"/>
          <w:color w:val="auto"/>
        </w:rPr>
      </w:pPr>
    </w:p>
    <w:p>
      <w:pPr>
        <w:spacing w:after="0" w:line="223"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jc w:val="right"/>
        <w:ind w:right="10040"/>
        <w:spacing w:after="0"/>
        <w:rPr>
          <w:sz w:val="20"/>
          <w:szCs w:val="20"/>
          <w:color w:val="auto"/>
        </w:rPr>
      </w:pPr>
      <w:r>
        <w:rPr>
          <w:rFonts w:ascii="Times New Roman" w:cs="Times New Roman" w:eastAsia="Times New Roman" w:hAnsi="Times New Roman"/>
          <w:sz w:val="17"/>
          <w:szCs w:val="17"/>
          <w:color w:val="auto"/>
        </w:rPr>
        <w:t>Peter W. Sonsini</w:t>
      </w:r>
    </w:p>
    <w:p>
      <w:pPr>
        <w:spacing w:after="0" w:line="200" w:lineRule="exact"/>
        <w:rPr>
          <w:sz w:val="20"/>
          <w:szCs w:val="20"/>
          <w:color w:val="auto"/>
        </w:rPr>
      </w:pPr>
    </w:p>
    <w:p>
      <w:pPr>
        <w:spacing w:after="0" w:line="23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Walker</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Rick Yang</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 Louis S. Citron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-19050</wp:posOffset>
            </wp:positionV>
            <wp:extent cx="15805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80515" cy="8255"/>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18"/>
          <w:szCs w:val="18"/>
          <w:color w:val="auto"/>
        </w:rPr>
        <w:t>Louis S. Citron</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As attorney-in-fact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Agreement relating to Schedule 13D was executed by Louis S. Citron on behalf of the individuals listed above pursuant to a Power of Attorney a copy of which is attached hereto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0" w:name="page31"/>
    <w:bookmarkEnd w:id="30"/>
    <w:p>
      <w:pPr>
        <w:ind w:left="80"/>
        <w:spacing w:after="0"/>
        <w:tabs>
          <w:tab w:leader="none" w:pos="5460" w:val="left"/>
          <w:tab w:leader="none" w:pos="9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380365</wp:posOffset>
            </wp:positionV>
            <wp:extent cx="2357120"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925050106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31 of 33 Pages</w:t>
      </w:r>
    </w:p>
    <w:p>
      <w:pPr>
        <w:sectPr>
          <w:pgSz w:w="11900" w:h="16838" w:orient="portrait"/>
          <w:cols w:equalWidth="0" w:num="1">
            <w:col w:w="11240"/>
          </w:cols>
          <w:pgMar w:left="320" w:top="644"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7"/>
          <w:szCs w:val="17"/>
          <w:b w:val="1"/>
          <w:bCs w:val="1"/>
          <w:u w:val="single" w:color="auto"/>
          <w:color w:val="auto"/>
        </w:rPr>
        <w:t>EXHIBIT 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the undersigned hereby constitutes and appoints Louis S. Citron, Timothy Schaller, Sasha Keough and Stephanie Brecher, and each of them, with full power to act without the others, his or her true and lawful attorney-in-fact, with full power of substitution, to sign any and all instruments, certificates and documents that may be necessary, desirable or appropriate to be executed on behalf of himself as an individual or in his or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or she might or could do in person, thereby ratifying and confirming all that said attorney-in-fact, or his or her substitutes, may lawfully do or cause to be done by virtue hereof.</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as of the 13th day of March, 2017.</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M. James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-7620</wp:posOffset>
            </wp:positionV>
            <wp:extent cx="1263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M. James Barrett</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Peter J. Barris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-7620</wp:posOffset>
            </wp:positionV>
            <wp:extent cx="12376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3761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Peter J. Barris</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Forest Baskett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-7620</wp:posOffset>
            </wp:positionV>
            <wp:extent cx="12503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Forest Baskett</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Ali Behbahani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-7620</wp:posOffset>
            </wp:positionV>
            <wp:extent cx="127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88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Ali Behbahani</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Colin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-7620</wp:posOffset>
            </wp:positionV>
            <wp:extent cx="12725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Colin Bryant</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Carmen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-7620</wp:posOffset>
            </wp:positionV>
            <wp:extent cx="12534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534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Carmen Chang</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Anthony A. Florence, Jr.</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Carol G.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-7620</wp:posOffset>
            </wp:positionV>
            <wp:extent cx="12947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Carol G. Gallagher</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Dayna Grayson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-7620</wp:posOffset>
            </wp:positionV>
            <wp:extent cx="1278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Dayna Grayson</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Patrick J. Kerins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-7620</wp:posOffset>
            </wp:positionV>
            <wp:extent cx="12661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Patrick J. Kerins</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P. Justin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-7620</wp:posOffset>
            </wp:positionV>
            <wp:extent cx="12503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5031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 Justin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type w:val="continuous"/>
        </w:sectPr>
      </w:pPr>
    </w:p>
    <w:bookmarkStart w:id="31" w:name="page32"/>
    <w:bookmarkEnd w:id="31"/>
    <w:p>
      <w:pPr>
        <w:spacing w:after="0"/>
        <w:tabs>
          <w:tab w:leader="none" w:pos="5380" w:val="left"/>
          <w:tab w:leader="none" w:pos="93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380365</wp:posOffset>
            </wp:positionV>
            <wp:extent cx="2357120" cy="2400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925050106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32 of 33 Pages</w:t>
      </w:r>
    </w:p>
    <w:p>
      <w:pPr>
        <w:sectPr>
          <w:pgSz w:w="11900" w:h="16838" w:orient="portrait"/>
          <w:cols w:equalWidth="0" w:num="1">
            <w:col w:w="10900"/>
          </w:cols>
          <w:pgMar w:left="400" w:top="644"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Vanessa Larco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255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Vanessa Larco</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Joshua Makower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852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Joshua Makower</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u w:val="single" w:color="auto"/>
          <w:color w:val="auto"/>
        </w:rPr>
        <w:t>/s/ Mohamad H. Makhzoumi</w:t>
      </w:r>
    </w:p>
    <w:p>
      <w:pPr>
        <w:spacing w:after="0" w:line="3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Mohamad H. Makhzoumi</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Edward T. 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700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Edward T. Mathers</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David M. 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820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2065" cy="8255"/>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David M. Mott</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Sara M. Nayeem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503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50315" cy="8890"/>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Sara M. Nayeem</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Jason R. Nunn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630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Jason R. Nunn</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Gregory Papadopoulos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3011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01115" cy="8890"/>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Gregory Papadopoulos</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Chetan Puttagunta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630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Chetan Puttagunta</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Jon Sakoda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598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Jon Sakoda</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Scott D. Sandell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820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2065" cy="8890"/>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Scott D. Sandell</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A. Brooke Seawell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820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2065" cy="8890"/>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A. Brooke Seawell</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Peter W. Sonsini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687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Peter W. Sonsini</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Melissa Taunton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642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64285" cy="8890"/>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Melissa Taunton</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Frank M. Torti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680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Frank M. Torti</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Ravi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846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84605" cy="8890"/>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Ravi Viswanathan</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Paul E.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503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50315" cy="8890"/>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Paul E. Walker</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Rick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452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Rick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502920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400" w:top="644" w:right="599" w:bottom="1440" w:gutter="0" w:footer="0" w:header="0"/>
          <w:type w:val="continuous"/>
        </w:sectPr>
      </w:pPr>
    </w:p>
    <w:bookmarkStart w:id="32" w:name="page33"/>
    <w:bookmarkEnd w:id="32"/>
    <w:p>
      <w:pPr>
        <w:ind w:left="80"/>
        <w:spacing w:after="0"/>
        <w:tabs>
          <w:tab w:leader="none" w:pos="5460" w:val="left"/>
          <w:tab w:leader="none" w:pos="9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380365</wp:posOffset>
            </wp:positionV>
            <wp:extent cx="2357120" cy="2400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925050106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33 of 33 Pages</w:t>
      </w:r>
    </w:p>
    <w:p>
      <w:pPr>
        <w:sectPr>
          <w:pgSz w:w="11900" w:h="16838" w:orient="portrait"/>
          <w:cols w:equalWidth="0" w:num="1">
            <w:col w:w="11240"/>
          </w:cols>
          <w:pgMar w:left="320" w:top="644"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7"/>
          <w:szCs w:val="17"/>
          <w:b w:val="1"/>
          <w:bCs w:val="1"/>
          <w:u w:val="single" w:color="auto"/>
          <w:color w:val="auto"/>
        </w:rPr>
        <w:t>EXHIBIT 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the undersigned hereby constitutes and appoints Louis S. Citron, Timothy Schaller, Sasha Keough and Stephanie Brecher, and each of them, with full power to act without the others, her true and lawful attorney-in-fact, with full power of substitution, to sign any and all instruments, certificates and documents that may be necessary, desirable or appropriate to be executed on behalf of herself as an individual or in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she might or could do in person, thereby ratifying and confirming all that said attorney-in-fact, or her substitutes, may lawfully do or cause to be done by virtue hereof.</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as of the 1st day of April, 2020.</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Liza Landsman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-7620</wp:posOffset>
            </wp:positionV>
            <wp:extent cx="11868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Liza Landsman</w:t>
      </w:r>
    </w:p>
    <w:sectPr>
      <w:pgSz w:w="11900" w:h="16838" w:orient="portrait"/>
      <w:cols w:equalWidth="0" w:num="1">
        <w:col w:w="11240"/>
      </w:cols>
      <w:pgMar w:left="320" w:top="64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7"/>
    </w:lvl>
    <w:lvl w:ilvl="1">
      <w:lvlJc w:val="left"/>
      <w:lvlText w:val="0"/>
      <w:numFmt w:val="bullet"/>
      <w:start w:val="1"/>
    </w:lvl>
  </w:abstractNum>
  <w:abstractNum w:abstractNumId="2">
    <w:nsid w:val="DED7263"/>
    <w:multiLevelType w:val="hybridMultilevel"/>
    <w:lvl w:ilvl="0">
      <w:lvlJc w:val="left"/>
      <w:lvlText w:val="%1."/>
      <w:numFmt w:val="decimal"/>
      <w:start w:val="7"/>
    </w:lvl>
    <w:lvl w:ilvl="1">
      <w:lvlJc w:val="left"/>
      <w:lvlText w:val="0"/>
      <w:numFmt w:val="bullet"/>
      <w:start w:val="1"/>
    </w:lvl>
  </w:abstractNum>
  <w:abstractNum w:abstractNumId="3">
    <w:nsid w:val="7FDCC233"/>
    <w:multiLevelType w:val="hybridMultilevel"/>
    <w:lvl w:ilvl="0">
      <w:lvlJc w:val="left"/>
      <w:lvlText w:val="%1."/>
      <w:numFmt w:val="decimal"/>
      <w:start w:val="7"/>
    </w:lvl>
    <w:lvl w:ilvl="1">
      <w:lvlJc w:val="left"/>
      <w:lvlText w:val="0"/>
      <w:numFmt w:val="bullet"/>
      <w:start w:val="1"/>
    </w:lvl>
  </w:abstractNum>
  <w:abstractNum w:abstractNumId="4">
    <w:nsid w:val="1BEFD79F"/>
    <w:multiLevelType w:val="hybridMultilevel"/>
    <w:lvl w:ilvl="0">
      <w:lvlJc w:val="left"/>
      <w:lvlText w:val="%1."/>
      <w:numFmt w:val="decimal"/>
      <w:start w:val="7"/>
    </w:lvl>
    <w:lvl w:ilvl="1">
      <w:lvlJc w:val="left"/>
      <w:lvlText w:val="0"/>
      <w:numFmt w:val="bullet"/>
      <w:start w:val="1"/>
    </w:lvl>
  </w:abstractNum>
  <w:abstractNum w:abstractNumId="5">
    <w:nsid w:val="41A7C4C9"/>
    <w:multiLevelType w:val="hybridMultilevel"/>
    <w:lvl w:ilvl="0">
      <w:lvlJc w:val="left"/>
      <w:lvlText w:val="%1."/>
      <w:numFmt w:val="decimal"/>
      <w:start w:val="7"/>
    </w:lvl>
    <w:lvl w:ilvl="1">
      <w:lvlJc w:val="left"/>
      <w:lvlText w:val="0"/>
      <w:numFmt w:val="bullet"/>
      <w:start w:val="1"/>
    </w:lvl>
  </w:abstractNum>
  <w:abstractNum w:abstractNumId="6">
    <w:nsid w:val="6B68079A"/>
    <w:multiLevelType w:val="hybridMultilevel"/>
    <w:lvl w:ilvl="0">
      <w:lvlJc w:val="left"/>
      <w:lvlText w:val="%1."/>
      <w:numFmt w:val="decimal"/>
      <w:start w:val="7"/>
    </w:lvl>
    <w:lvl w:ilvl="1">
      <w:lvlJc w:val="left"/>
      <w:lvlText w:val="0"/>
      <w:numFmt w:val="bullet"/>
      <w:start w:val="1"/>
    </w:lvl>
  </w:abstractNum>
  <w:abstractNum w:abstractNumId="7">
    <w:nsid w:val="4E6AFB66"/>
    <w:multiLevelType w:val="hybridMultilevel"/>
    <w:lvl w:ilvl="0">
      <w:lvlJc w:val="left"/>
      <w:lvlText w:val="%1."/>
      <w:numFmt w:val="decimal"/>
      <w:start w:val="7"/>
    </w:lvl>
    <w:lvl w:ilvl="1">
      <w:lvlJc w:val="left"/>
      <w:lvlText w:val="0"/>
      <w:numFmt w:val="bullet"/>
      <w:start w:val="1"/>
    </w:lvl>
  </w:abstractNum>
  <w:abstractNum w:abstractNumId="8">
    <w:nsid w:val="25E45D32"/>
    <w:multiLevelType w:val="hybridMultilevel"/>
    <w:lvl w:ilvl="0">
      <w:lvlJc w:val="left"/>
      <w:lvlText w:val="%1."/>
      <w:numFmt w:val="decimal"/>
      <w:start w:val="7"/>
    </w:lvl>
    <w:lvl w:ilvl="1">
      <w:lvlJc w:val="left"/>
      <w:lvlText w:val="0"/>
      <w:numFmt w:val="bullet"/>
      <w:start w:val="1"/>
    </w:lvl>
  </w:abstractNum>
  <w:abstractNum w:abstractNumId="9">
    <w:nsid w:val="519B500D"/>
    <w:multiLevelType w:val="hybridMultilevel"/>
    <w:lvl w:ilvl="0">
      <w:lvlJc w:val="left"/>
      <w:lvlText w:val="%1."/>
      <w:numFmt w:val="decimal"/>
      <w:start w:val="7"/>
    </w:lvl>
    <w:lvl w:ilvl="1">
      <w:lvlJc w:val="left"/>
      <w:lvlText w:val="0"/>
      <w:numFmt w:val="bullet"/>
      <w:start w:val="1"/>
    </w:lvl>
  </w:abstractNum>
  <w:abstractNum w:abstractNumId="10">
    <w:nsid w:val="431BD7B7"/>
    <w:multiLevelType w:val="hybridMultilevel"/>
    <w:lvl w:ilvl="0">
      <w:lvlJc w:val="left"/>
      <w:lvlText w:val="%1."/>
      <w:numFmt w:val="decimal"/>
      <w:start w:val="7"/>
    </w:lvl>
    <w:lvl w:ilvl="1">
      <w:lvlJc w:val="left"/>
      <w:lvlText w:val="0"/>
      <w:numFmt w:val="bullet"/>
      <w:start w:val="1"/>
    </w:lvl>
  </w:abstractNum>
  <w:abstractNum w:abstractNumId="11">
    <w:nsid w:val="3F2DBA31"/>
    <w:multiLevelType w:val="hybridMultilevel"/>
    <w:lvl w:ilvl="0">
      <w:lvlJc w:val="left"/>
      <w:lvlText w:val="%1."/>
      <w:numFmt w:val="decimal"/>
      <w:start w:val="7"/>
    </w:lvl>
    <w:lvl w:ilvl="1">
      <w:lvlJc w:val="left"/>
      <w:lvlText w:val="0"/>
      <w:numFmt w:val="bullet"/>
      <w:start w:val="1"/>
    </w:lvl>
  </w:abstractNum>
  <w:abstractNum w:abstractNumId="12">
    <w:nsid w:val="7C83E458"/>
    <w:multiLevelType w:val="hybridMultilevel"/>
    <w:lvl w:ilvl="0">
      <w:lvlJc w:val="left"/>
      <w:lvlText w:val="%1."/>
      <w:numFmt w:val="decimal"/>
      <w:start w:val="7"/>
    </w:lvl>
    <w:lvl w:ilvl="1">
      <w:lvlJc w:val="left"/>
      <w:lvlText w:val="0"/>
      <w:numFmt w:val="bullet"/>
      <w:start w:val="1"/>
    </w:lvl>
  </w:abstractNum>
  <w:abstractNum w:abstractNumId="13">
    <w:nsid w:val="257130A3"/>
    <w:multiLevelType w:val="hybridMultilevel"/>
    <w:lvl w:ilvl="0">
      <w:lvlJc w:val="left"/>
      <w:lvlText w:val="%1."/>
      <w:numFmt w:val="decimal"/>
      <w:start w:val="7"/>
    </w:lvl>
    <w:lvl w:ilvl="1">
      <w:lvlJc w:val="left"/>
      <w:lvlText w:val="0"/>
      <w:numFmt w:val="bullet"/>
      <w:start w:val="1"/>
    </w:lvl>
  </w:abstractNum>
  <w:abstractNum w:abstractNumId="14">
    <w:nsid w:val="62BBD95A"/>
    <w:multiLevelType w:val="hybridMultilevel"/>
    <w:lvl w:ilvl="0">
      <w:lvlJc w:val="left"/>
      <w:lvlText w:val="%1."/>
      <w:numFmt w:val="decimal"/>
      <w:start w:val="7"/>
    </w:lvl>
    <w:lvl w:ilvl="1">
      <w:lvlJc w:val="left"/>
      <w:lvlText w:val="0"/>
      <w:numFmt w:val="bullet"/>
      <w:start w:val="1"/>
    </w:lvl>
  </w:abstractNum>
  <w:abstractNum w:abstractNumId="15">
    <w:nsid w:val="436C6125"/>
    <w:multiLevelType w:val="hybridMultilevel"/>
    <w:lvl w:ilvl="0">
      <w:lvlJc w:val="left"/>
      <w:lvlText w:val="%1."/>
      <w:numFmt w:val="decimal"/>
      <w:start w:val="7"/>
    </w:lvl>
    <w:lvl w:ilvl="1">
      <w:lvlJc w:val="left"/>
      <w:lvlText w:val="0"/>
      <w:numFmt w:val="bullet"/>
      <w:start w:val="1"/>
    </w:lvl>
  </w:abstractNum>
  <w:abstractNum w:abstractNumId="16">
    <w:nsid w:val="628C895D"/>
    <w:multiLevelType w:val="hybridMultilevel"/>
    <w:lvl w:ilvl="0">
      <w:lvlJc w:val="left"/>
      <w:lvlText w:val="%1."/>
      <w:numFmt w:val="decimal"/>
      <w:start w:val="7"/>
    </w:lvl>
    <w:lvl w:ilvl="1">
      <w:lvlJc w:val="left"/>
      <w:lvlText w:val="0"/>
      <w:numFmt w:val="bullet"/>
      <w:start w:val="1"/>
    </w:lvl>
  </w:abstractNum>
  <w:abstractNum w:abstractNumId="17">
    <w:nsid w:val="333AB105"/>
    <w:multiLevelType w:val="hybridMultilevel"/>
    <w:lvl w:ilvl="0">
      <w:lvlJc w:val="left"/>
      <w:lvlText w:val="%1."/>
      <w:numFmt w:val="decimal"/>
      <w:start w:val="7"/>
    </w:lvl>
    <w:lvl w:ilvl="1">
      <w:lvlJc w:val="left"/>
      <w:lvlText w:val="0"/>
      <w:numFmt w:val="bullet"/>
      <w:start w:val="1"/>
    </w:lvl>
  </w:abstractNum>
  <w:abstractNum w:abstractNumId="18">
    <w:nsid w:val="721DA317"/>
    <w:multiLevelType w:val="hybridMultilevel"/>
    <w:lvl w:ilvl="0">
      <w:lvlJc w:val="left"/>
      <w:lvlText w:val="%1."/>
      <w:numFmt w:val="decimal"/>
      <w:start w:val="7"/>
    </w:lvl>
    <w:lvl w:ilvl="1">
      <w:lvlJc w:val="left"/>
      <w:lvlText w:val="0"/>
      <w:numFmt w:val="bullet"/>
      <w:start w:val="1"/>
    </w:lvl>
  </w:abstractNum>
  <w:abstractNum w:abstractNumId="19">
    <w:nsid w:val="2443A858"/>
    <w:multiLevelType w:val="hybridMultilevel"/>
    <w:lvl w:ilvl="0">
      <w:lvlJc w:val="left"/>
      <w:lvlText w:val="%1."/>
      <w:numFmt w:val="decimal"/>
      <w:start w:val="7"/>
    </w:lvl>
    <w:lvl w:ilvl="1">
      <w:lvlJc w:val="left"/>
      <w:lvlText w:val="0"/>
      <w:numFmt w:val="bullet"/>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lowerLetter"/>
      <w:start w:val="7"/>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2022-09-07T16:33:14Z</dcterms:created>
  <dcterms:modified xsi:type="dcterms:W3CDTF">2022-09-07T16:33:14Z</dcterms:modified>
</cp:coreProperties>
</file>