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Ordinary Shares, nominal value £0.05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John Heard</w:t>
      </w:r>
    </w:p>
    <w:p>
      <w:pPr>
        <w:jc w:val="center"/>
        <w:ind w:right="-19"/>
        <w:spacing w:after="0" w:line="238" w:lineRule="auto"/>
        <w:rPr>
          <w:sz w:val="20"/>
          <w:szCs w:val="20"/>
          <w:color w:val="auto"/>
        </w:rPr>
      </w:pPr>
      <w:r>
        <w:rPr>
          <w:rFonts w:ascii="Arial" w:cs="Arial" w:eastAsia="Arial" w:hAnsi="Arial"/>
          <w:sz w:val="22"/>
          <w:szCs w:val="22"/>
          <w:color w:val="auto"/>
        </w:rPr>
        <w:t>Abingworth LLP</w:t>
      </w:r>
    </w:p>
    <w:p>
      <w:pPr>
        <w:jc w:val="center"/>
        <w:ind w:right="-19"/>
        <w:spacing w:after="0" w:line="230" w:lineRule="auto"/>
        <w:rPr>
          <w:sz w:val="20"/>
          <w:szCs w:val="20"/>
          <w:color w:val="auto"/>
        </w:rPr>
      </w:pPr>
      <w:r>
        <w:rPr>
          <w:rFonts w:ascii="Arial" w:cs="Arial" w:eastAsia="Arial" w:hAnsi="Arial"/>
          <w:sz w:val="22"/>
          <w:szCs w:val="22"/>
          <w:color w:val="auto"/>
        </w:rPr>
        <w:t>Princes House</w:t>
      </w:r>
    </w:p>
    <w:p>
      <w:pPr>
        <w:jc w:val="center"/>
        <w:ind w:right="-19"/>
        <w:spacing w:after="0" w:line="231" w:lineRule="auto"/>
        <w:rPr>
          <w:sz w:val="20"/>
          <w:szCs w:val="20"/>
          <w:color w:val="auto"/>
        </w:rPr>
      </w:pPr>
      <w:r>
        <w:rPr>
          <w:rFonts w:ascii="Arial" w:cs="Arial" w:eastAsia="Arial" w:hAnsi="Arial"/>
          <w:sz w:val="22"/>
          <w:szCs w:val="22"/>
          <w:color w:val="auto"/>
        </w:rPr>
        <w:t>38 Jermyn Street</w:t>
      </w:r>
    </w:p>
    <w:p>
      <w:pPr>
        <w:jc w:val="center"/>
        <w:ind w:right="-19"/>
        <w:spacing w:after="0" w:line="230" w:lineRule="auto"/>
        <w:rPr>
          <w:sz w:val="20"/>
          <w:szCs w:val="20"/>
          <w:color w:val="auto"/>
        </w:rPr>
      </w:pPr>
      <w:r>
        <w:rPr>
          <w:rFonts w:ascii="Arial" w:cs="Arial" w:eastAsia="Arial" w:hAnsi="Arial"/>
          <w:sz w:val="22"/>
          <w:szCs w:val="22"/>
          <w:color w:val="auto"/>
        </w:rPr>
        <w:t>London, England SW1Y 6DN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+44 20 7534 1500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20"/>
        <w:spacing w:after="0" w:line="233"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ind w:left="3320"/>
        <w:spacing w:after="0"/>
        <w:rPr>
          <w:sz w:val="20"/>
          <w:szCs w:val="20"/>
          <w:color w:val="auto"/>
        </w:rPr>
      </w:pPr>
      <w:r>
        <w:rPr>
          <w:rFonts w:ascii="Arial" w:cs="Arial" w:eastAsia="Arial" w:hAnsi="Arial"/>
          <w:sz w:val="22"/>
          <w:szCs w:val="22"/>
          <w:color w:val="auto"/>
        </w:rPr>
        <w:t>Authorized to Receive Notices and Communications)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July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18" w:lineRule="exact"/>
        <w:rPr>
          <w:sz w:val="24"/>
          <w:szCs w:val="24"/>
          <w:color w:val="auto"/>
        </w:rPr>
      </w:pPr>
    </w:p>
    <w:p>
      <w:pPr>
        <w:jc w:val="both"/>
        <w:spacing w:after="0" w:line="29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40" w:lineRule="exact"/>
        <w:rPr>
          <w:sz w:val="24"/>
          <w:szCs w:val="24"/>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 all exhibits. See</w:t>
      </w:r>
      <w:r>
        <w:rPr>
          <w:rFonts w:ascii="Arial" w:cs="Arial" w:eastAsia="Arial" w:hAnsi="Arial"/>
          <w:sz w:val="22"/>
          <w:szCs w:val="22"/>
          <w:b w:val="1"/>
          <w:bCs w:val="1"/>
          <w:color w:val="auto"/>
        </w:rPr>
        <w:t xml:space="preserve"> </w:t>
      </w:r>
      <w:r>
        <w:rPr>
          <w:rFonts w:ascii="Arial" w:cs="Arial" w:eastAsia="Arial" w:hAnsi="Arial"/>
          <w:sz w:val="22"/>
          <w:szCs w:val="22"/>
          <w:color w:val="auto"/>
        </w:rPr>
        <w:t>§240.13d-7 for other parties to whom copies are to be sent.</w:t>
      </w:r>
    </w:p>
    <w:p>
      <w:pPr>
        <w:spacing w:after="0" w:line="195"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jc w:val="both"/>
        <w:ind w:right="20"/>
        <w:spacing w:after="0" w:line="250" w:lineRule="auto"/>
        <w:rPr>
          <w:sz w:val="20"/>
          <w:szCs w:val="20"/>
          <w:color w:val="auto"/>
        </w:rPr>
      </w:pPr>
      <w:r>
        <w:rPr>
          <w:rFonts w:ascii="Arial" w:cs="Arial" w:eastAsia="Arial" w:hAnsi="Arial"/>
          <w:sz w:val="22"/>
          <w:szCs w:val="22"/>
          <w:color w:val="auto"/>
        </w:rPr>
        <w:t>**The CUSIP number is for the American Depositary Shares that trade on the NASDAQ Global Market, each representing eight Ordinary Shares. No CUSIP number has been assigned to the Ordinary Shares.</w:t>
      </w:r>
    </w:p>
    <w:p>
      <w:pPr>
        <w:spacing w:after="0" w:line="202"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25" w:right="339" w:bottom="1440" w:gutter="0" w:footer="0" w:header="0"/>
        </w:sectPr>
      </w:pPr>
    </w:p>
    <w:bookmarkStart w:id="1" w:name="page2"/>
    <w:bookmarkEnd w:id="1"/>
    <w:p>
      <w:pPr>
        <w:ind w:left="120"/>
        <w:spacing w:after="0"/>
        <w:rPr>
          <w:sz w:val="20"/>
          <w:szCs w:val="20"/>
          <w:color w:val="auto"/>
        </w:rPr>
      </w:pPr>
      <w:r>
        <w:rPr>
          <w:rFonts w:ascii="Arial" w:cs="Arial" w:eastAsia="Arial" w:hAnsi="Arial"/>
          <w:sz w:val="22"/>
          <w:szCs w:val="22"/>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880" w:right="2760" w:hanging="872"/>
        <w:spacing w:after="0" w:line="353" w:lineRule="auto"/>
        <w:tabs>
          <w:tab w:leader="none" w:pos="880" w:val="left"/>
        </w:tabs>
        <w:numPr>
          <w:ilvl w:val="0"/>
          <w:numId w:val="1"/>
        </w:numPr>
        <w:rPr>
          <w:rFonts w:ascii="Arial" w:cs="Arial" w:eastAsia="Arial" w:hAnsi="Arial"/>
          <w:sz w:val="22"/>
          <w:szCs w:val="22"/>
          <w:color w:val="auto"/>
        </w:rPr>
      </w:pPr>
      <w:r>
        <w:rPr>
          <w:rFonts w:ascii="Arial" w:cs="Arial" w:eastAsia="Arial" w:hAnsi="Arial"/>
          <w:sz w:val="22"/>
          <w:szCs w:val="22"/>
          <w:color w:val="auto"/>
        </w:rPr>
        <w:t>Names of Reporting Persons. I.R.S. Identification Nos. of above persons (entities only): Abingworth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 w:type="dxa"/>
            <w:vAlign w:val="bottom"/>
          </w:tcPr>
          <w:p>
            <w:pPr>
              <w:jc w:val="right"/>
              <w:ind w:right="232"/>
              <w:spacing w:after="0"/>
              <w:rPr>
                <w:sz w:val="20"/>
                <w:szCs w:val="20"/>
                <w:color w:val="auto"/>
              </w:rPr>
            </w:pPr>
            <w:r>
              <w:rPr>
                <w:rFonts w:ascii="Arial" w:cs="Arial" w:eastAsia="Arial" w:hAnsi="Arial"/>
                <w:sz w:val="22"/>
                <w:szCs w:val="22"/>
                <w:color w:val="auto"/>
                <w:w w:val="86"/>
              </w:rPr>
              <w:t>2.</w:t>
            </w:r>
          </w:p>
        </w:tc>
        <w:tc>
          <w:tcPr>
            <w:tcW w:w="7680" w:type="dxa"/>
            <w:vAlign w:val="bottom"/>
          </w:tcPr>
          <w:p>
            <w:pPr>
              <w:ind w:left="36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520" w:type="dxa"/>
            <w:vAlign w:val="bottom"/>
          </w:tcPr>
          <w:p>
            <w:pPr>
              <w:ind w:left="1200"/>
              <w:spacing w:after="0"/>
              <w:rPr>
                <w:sz w:val="20"/>
                <w:szCs w:val="20"/>
                <w:color w:val="auto"/>
              </w:rPr>
            </w:pPr>
            <w:r>
              <w:rPr>
                <w:rFonts w:ascii="Arial" w:cs="Arial" w:eastAsia="Arial" w:hAnsi="Arial"/>
                <w:sz w:val="22"/>
                <w:szCs w:val="22"/>
                <w:color w:val="auto"/>
              </w:rPr>
              <w:t>(a)</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520" w:type="dxa"/>
            <w:vAlign w:val="bottom"/>
          </w:tcPr>
          <w:p>
            <w:pPr>
              <w:spacing w:after="0"/>
              <w:rPr>
                <w:sz w:val="23"/>
                <w:szCs w:val="23"/>
                <w:color w:val="auto"/>
              </w:rPr>
            </w:pPr>
          </w:p>
        </w:tc>
        <w:tc>
          <w:tcPr>
            <w:tcW w:w="7680" w:type="dxa"/>
            <w:vAlign w:val="bottom"/>
          </w:tcPr>
          <w:p>
            <w:pPr>
              <w:spacing w:after="0"/>
              <w:rPr>
                <w:sz w:val="23"/>
                <w:szCs w:val="23"/>
                <w:color w:val="auto"/>
              </w:rPr>
            </w:pPr>
          </w:p>
        </w:tc>
        <w:tc>
          <w:tcPr>
            <w:tcW w:w="1520" w:type="dxa"/>
            <w:vAlign w:val="bottom"/>
          </w:tcPr>
          <w:p>
            <w:pPr>
              <w:ind w:left="1200"/>
              <w:spacing w:after="0"/>
              <w:rPr>
                <w:sz w:val="20"/>
                <w:szCs w:val="20"/>
                <w:color w:val="auto"/>
              </w:rPr>
            </w:pPr>
            <w:r>
              <w:rPr>
                <w:rFonts w:ascii="Arial" w:cs="Arial" w:eastAsia="Arial" w:hAnsi="Arial"/>
                <w:sz w:val="22"/>
                <w:szCs w:val="22"/>
                <w:color w:val="auto"/>
              </w:rPr>
              <w:t>(b)</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299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178" w:lineRule="exact"/>
        <w:rPr>
          <w:sz w:val="20"/>
          <w:szCs w:val="20"/>
          <w:color w:val="auto"/>
        </w:rPr>
      </w:pPr>
    </w:p>
    <w:p>
      <w:pPr>
        <w:ind w:left="780" w:hanging="772"/>
        <w:spacing w:after="0"/>
        <w:tabs>
          <w:tab w:leader="none" w:pos="78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780" w:hanging="772"/>
        <w:spacing w:after="0"/>
        <w:tabs>
          <w:tab w:leader="none" w:pos="780" w:val="left"/>
        </w:tabs>
        <w:numPr>
          <w:ilvl w:val="0"/>
          <w:numId w:val="2"/>
        </w:numPr>
        <w:rPr>
          <w:rFonts w:ascii="Arial" w:cs="Arial" w:eastAsia="Arial" w:hAnsi="Arial"/>
          <w:sz w:val="22"/>
          <w:szCs w:val="22"/>
          <w:color w:val="auto"/>
        </w:rPr>
      </w:pPr>
      <w:r>
        <w:rPr>
          <w:rFonts w:ascii="Arial" w:cs="Arial" w:eastAsia="Arial" w:hAnsi="Arial"/>
          <w:sz w:val="22"/>
          <w:szCs w:val="22"/>
          <w:color w:val="auto"/>
        </w:rPr>
        <w:t>Source of Funds (See Instructions):  WC (See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760" w:val="left"/>
          <w:tab w:leader="none" w:pos="854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9"/>
          <w:szCs w:val="19"/>
          <w:color w:val="auto"/>
        </w:rPr>
        <w:t>Check if Disclosure of Legal Proceedings is Required Pursuant to Items 2(d) or 2(e):  [</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1" w:lineRule="exact"/>
        <w:rPr>
          <w:sz w:val="20"/>
          <w:szCs w:val="20"/>
          <w:color w:val="auto"/>
        </w:rPr>
      </w:pPr>
    </w:p>
    <w:p>
      <w:pPr>
        <w:ind w:left="780" w:hanging="772"/>
        <w:spacing w:after="0"/>
        <w:tabs>
          <w:tab w:leader="none" w:pos="7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0" w:type="dxa"/>
            <w:vAlign w:val="bottom"/>
          </w:tcPr>
          <w:p>
            <w:pPr>
              <w:spacing w:after="0"/>
              <w:rPr>
                <w:sz w:val="23"/>
                <w:szCs w:val="23"/>
                <w:color w:val="auto"/>
              </w:rPr>
            </w:pPr>
          </w:p>
        </w:tc>
        <w:tc>
          <w:tcPr>
            <w:tcW w:w="3620" w:type="dxa"/>
            <w:vAlign w:val="bottom"/>
          </w:tcPr>
          <w:p>
            <w:pPr>
              <w:ind w:left="140"/>
              <w:spacing w:after="0"/>
              <w:rPr>
                <w:sz w:val="20"/>
                <w:szCs w:val="20"/>
                <w:color w:val="auto"/>
              </w:rPr>
            </w:pPr>
            <w:r>
              <w:rPr>
                <w:rFonts w:ascii="Arial" w:cs="Arial" w:eastAsia="Arial" w:hAnsi="Arial"/>
                <w:sz w:val="22"/>
                <w:szCs w:val="22"/>
                <w:color w:val="auto"/>
              </w:rPr>
              <w:t>Number of</w:t>
            </w:r>
          </w:p>
        </w:tc>
        <w:tc>
          <w:tcPr>
            <w:tcW w:w="280" w:type="dxa"/>
            <w:vAlign w:val="bottom"/>
          </w:tcPr>
          <w:p>
            <w:pPr>
              <w:ind w:left="100"/>
              <w:spacing w:after="0"/>
              <w:rPr>
                <w:sz w:val="20"/>
                <w:szCs w:val="20"/>
                <w:color w:val="auto"/>
              </w:rPr>
            </w:pPr>
            <w:r>
              <w:rPr>
                <w:rFonts w:ascii="Arial" w:cs="Arial" w:eastAsia="Arial" w:hAnsi="Arial"/>
                <w:sz w:val="22"/>
                <w:szCs w:val="22"/>
                <w:color w:val="auto"/>
                <w:w w:val="86"/>
              </w:rPr>
              <w:t>7.</w:t>
            </w:r>
          </w:p>
        </w:tc>
        <w:tc>
          <w:tcPr>
            <w:tcW w:w="4480" w:type="dxa"/>
            <w:vAlign w:val="bottom"/>
          </w:tcPr>
          <w:p>
            <w:pPr>
              <w:ind w:left="40"/>
              <w:spacing w:after="0"/>
              <w:rPr>
                <w:sz w:val="20"/>
                <w:szCs w:val="20"/>
                <w:color w:val="auto"/>
              </w:rPr>
            </w:pPr>
            <w:r>
              <w:rPr>
                <w:rFonts w:ascii="Arial" w:cs="Arial" w:eastAsia="Arial" w:hAnsi="Arial"/>
                <w:sz w:val="22"/>
                <w:szCs w:val="22"/>
                <w:color w:val="auto"/>
              </w:rPr>
              <w:t>Sole Voting Power:</w:t>
            </w:r>
          </w:p>
        </w:tc>
        <w:tc>
          <w:tcPr>
            <w:tcW w:w="216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420" w:type="dxa"/>
            <w:vAlign w:val="bottom"/>
          </w:tcPr>
          <w:p>
            <w:pPr>
              <w:spacing w:after="0"/>
              <w:rPr>
                <w:sz w:val="3"/>
                <w:szCs w:val="3"/>
                <w:color w:val="auto"/>
              </w:rPr>
            </w:pPr>
          </w:p>
        </w:tc>
        <w:tc>
          <w:tcPr>
            <w:tcW w:w="3620" w:type="dxa"/>
            <w:vAlign w:val="bottom"/>
            <w:vMerge w:val="restart"/>
          </w:tcPr>
          <w:p>
            <w:pPr>
              <w:ind w:left="140"/>
              <w:spacing w:after="0"/>
              <w:rPr>
                <w:sz w:val="20"/>
                <w:szCs w:val="20"/>
                <w:color w:val="auto"/>
              </w:rPr>
            </w:pPr>
            <w:r>
              <w:rPr>
                <w:rFonts w:ascii="Arial" w:cs="Arial" w:eastAsia="Arial" w:hAnsi="Arial"/>
                <w:sz w:val="22"/>
                <w:szCs w:val="22"/>
                <w:color w:val="auto"/>
              </w:rPr>
              <w:t>Shares Beneficially</w:t>
            </w:r>
          </w:p>
        </w:tc>
        <w:tc>
          <w:tcPr>
            <w:tcW w:w="28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20" w:type="dxa"/>
            <w:vAlign w:val="bottom"/>
          </w:tcPr>
          <w:p>
            <w:pPr>
              <w:spacing w:after="0"/>
              <w:rPr>
                <w:sz w:val="23"/>
                <w:szCs w:val="23"/>
                <w:color w:val="auto"/>
              </w:rPr>
            </w:pPr>
          </w:p>
        </w:tc>
        <w:tc>
          <w:tcPr>
            <w:tcW w:w="3620" w:type="dxa"/>
            <w:vAlign w:val="bottom"/>
            <w:vMerge w:val="continue"/>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22"/>
                <w:szCs w:val="22"/>
                <w:color w:val="auto"/>
                <w:w w:val="86"/>
              </w:rPr>
              <w:t>8.</w:t>
            </w:r>
          </w:p>
        </w:tc>
        <w:tc>
          <w:tcPr>
            <w:tcW w:w="4480" w:type="dxa"/>
            <w:vAlign w:val="bottom"/>
          </w:tcPr>
          <w:p>
            <w:pPr>
              <w:ind w:left="40"/>
              <w:spacing w:after="0"/>
              <w:rPr>
                <w:sz w:val="20"/>
                <w:szCs w:val="20"/>
                <w:color w:val="auto"/>
              </w:rPr>
            </w:pPr>
            <w:r>
              <w:rPr>
                <w:rFonts w:ascii="Arial" w:cs="Arial" w:eastAsia="Arial" w:hAnsi="Arial"/>
                <w:sz w:val="22"/>
                <w:szCs w:val="22"/>
                <w:color w:val="auto"/>
              </w:rPr>
              <w:t>Shared Voting Power:</w:t>
            </w:r>
          </w:p>
        </w:tc>
        <w:tc>
          <w:tcPr>
            <w:tcW w:w="2160" w:type="dxa"/>
            <w:vAlign w:val="bottom"/>
          </w:tcPr>
          <w:p>
            <w:pPr>
              <w:jc w:val="right"/>
              <w:spacing w:after="0"/>
              <w:rPr>
                <w:sz w:val="20"/>
                <w:szCs w:val="20"/>
                <w:color w:val="auto"/>
              </w:rPr>
            </w:pPr>
            <w:r>
              <w:rPr>
                <w:rFonts w:ascii="Arial" w:cs="Arial" w:eastAsia="Arial" w:hAnsi="Arial"/>
                <w:sz w:val="22"/>
                <w:szCs w:val="22"/>
                <w:color w:val="auto"/>
              </w:rPr>
              <w:t>21,064,222*</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line="20" w:lineRule="exact"/>
              <w:rPr>
                <w:sz w:val="1"/>
                <w:szCs w:val="1"/>
                <w:color w:val="auto"/>
              </w:rPr>
            </w:pPr>
          </w:p>
        </w:tc>
        <w:tc>
          <w:tcPr>
            <w:tcW w:w="3620" w:type="dxa"/>
            <w:vAlign w:val="bottom"/>
            <w:vMerge w:val="restart"/>
          </w:tcPr>
          <w:p>
            <w:pPr>
              <w:ind w:left="140"/>
              <w:spacing w:after="0"/>
              <w:rPr>
                <w:sz w:val="20"/>
                <w:szCs w:val="20"/>
                <w:color w:val="auto"/>
              </w:rPr>
            </w:pPr>
            <w:r>
              <w:rPr>
                <w:rFonts w:ascii="Arial" w:cs="Arial" w:eastAsia="Arial" w:hAnsi="Arial"/>
                <w:sz w:val="22"/>
                <w:szCs w:val="22"/>
                <w:color w:val="auto"/>
              </w:rPr>
              <w:t>Owned by</w:t>
            </w:r>
          </w:p>
        </w:tc>
        <w:tc>
          <w:tcPr>
            <w:tcW w:w="28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3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20" w:type="dxa"/>
            <w:vAlign w:val="bottom"/>
          </w:tcPr>
          <w:p>
            <w:pPr>
              <w:spacing w:after="0"/>
              <w:rPr>
                <w:sz w:val="24"/>
                <w:szCs w:val="24"/>
                <w:color w:val="auto"/>
              </w:rPr>
            </w:pPr>
          </w:p>
        </w:tc>
        <w:tc>
          <w:tcPr>
            <w:tcW w:w="3620" w:type="dxa"/>
            <w:vAlign w:val="bottom"/>
          </w:tcPr>
          <w:p>
            <w:pPr>
              <w:ind w:left="140"/>
              <w:spacing w:after="0"/>
              <w:rPr>
                <w:sz w:val="20"/>
                <w:szCs w:val="20"/>
                <w:color w:val="auto"/>
              </w:rPr>
            </w:pPr>
            <w:r>
              <w:rPr>
                <w:rFonts w:ascii="Arial" w:cs="Arial" w:eastAsia="Arial" w:hAnsi="Arial"/>
                <w:sz w:val="22"/>
                <w:szCs w:val="22"/>
                <w:color w:val="auto"/>
              </w:rPr>
              <w:t>Each Reporting</w:t>
            </w:r>
          </w:p>
        </w:tc>
        <w:tc>
          <w:tcPr>
            <w:tcW w:w="280" w:type="dxa"/>
            <w:vAlign w:val="bottom"/>
          </w:tcPr>
          <w:p>
            <w:pPr>
              <w:ind w:left="100"/>
              <w:spacing w:after="0"/>
              <w:rPr>
                <w:sz w:val="20"/>
                <w:szCs w:val="20"/>
                <w:color w:val="auto"/>
              </w:rPr>
            </w:pPr>
            <w:r>
              <w:rPr>
                <w:rFonts w:ascii="Arial" w:cs="Arial" w:eastAsia="Arial" w:hAnsi="Arial"/>
                <w:sz w:val="22"/>
                <w:szCs w:val="22"/>
                <w:color w:val="auto"/>
                <w:w w:val="86"/>
              </w:rPr>
              <w:t>9.</w:t>
            </w:r>
          </w:p>
        </w:tc>
        <w:tc>
          <w:tcPr>
            <w:tcW w:w="4480" w:type="dxa"/>
            <w:vAlign w:val="bottom"/>
          </w:tcPr>
          <w:p>
            <w:pPr>
              <w:ind w:left="40"/>
              <w:spacing w:after="0"/>
              <w:rPr>
                <w:sz w:val="20"/>
                <w:szCs w:val="20"/>
                <w:color w:val="auto"/>
              </w:rPr>
            </w:pPr>
            <w:r>
              <w:rPr>
                <w:rFonts w:ascii="Arial" w:cs="Arial" w:eastAsia="Arial" w:hAnsi="Arial"/>
                <w:sz w:val="22"/>
                <w:szCs w:val="22"/>
                <w:color w:val="auto"/>
              </w:rPr>
              <w:t>Sole Dispositive Power:</w:t>
            </w:r>
          </w:p>
        </w:tc>
        <w:tc>
          <w:tcPr>
            <w:tcW w:w="216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20" w:type="dxa"/>
            <w:vAlign w:val="bottom"/>
          </w:tcPr>
          <w:p>
            <w:pPr>
              <w:spacing w:after="0"/>
              <w:rPr>
                <w:sz w:val="3"/>
                <w:szCs w:val="3"/>
                <w:color w:val="auto"/>
              </w:rPr>
            </w:pPr>
          </w:p>
        </w:tc>
        <w:tc>
          <w:tcPr>
            <w:tcW w:w="3620" w:type="dxa"/>
            <w:vAlign w:val="bottom"/>
            <w:vMerge w:val="restart"/>
          </w:tcPr>
          <w:p>
            <w:pPr>
              <w:ind w:left="140"/>
              <w:spacing w:after="0"/>
              <w:rPr>
                <w:sz w:val="20"/>
                <w:szCs w:val="20"/>
                <w:color w:val="auto"/>
              </w:rPr>
            </w:pPr>
            <w:r>
              <w:rPr>
                <w:rFonts w:ascii="Arial" w:cs="Arial" w:eastAsia="Arial" w:hAnsi="Arial"/>
                <w:sz w:val="22"/>
                <w:szCs w:val="22"/>
                <w:color w:val="auto"/>
              </w:rPr>
              <w:t>Person with</w:t>
            </w:r>
          </w:p>
        </w:tc>
        <w:tc>
          <w:tcPr>
            <w:tcW w:w="476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20" w:type="dxa"/>
            <w:vAlign w:val="bottom"/>
          </w:tcPr>
          <w:p>
            <w:pPr>
              <w:spacing w:after="0"/>
              <w:rPr>
                <w:sz w:val="23"/>
                <w:szCs w:val="23"/>
                <w:color w:val="auto"/>
              </w:rPr>
            </w:pPr>
          </w:p>
        </w:tc>
        <w:tc>
          <w:tcPr>
            <w:tcW w:w="3620" w:type="dxa"/>
            <w:vAlign w:val="bottom"/>
            <w:vMerge w:val="continue"/>
          </w:tcPr>
          <w:p>
            <w:pPr>
              <w:spacing w:after="0"/>
              <w:rPr>
                <w:sz w:val="23"/>
                <w:szCs w:val="23"/>
                <w:color w:val="auto"/>
              </w:rPr>
            </w:pPr>
          </w:p>
        </w:tc>
        <w:tc>
          <w:tcPr>
            <w:tcW w:w="4760" w:type="dxa"/>
            <w:vAlign w:val="bottom"/>
            <w:gridSpan w:val="2"/>
          </w:tcPr>
          <w:p>
            <w:pPr>
              <w:ind w:left="100"/>
              <w:spacing w:after="0"/>
              <w:rPr>
                <w:sz w:val="20"/>
                <w:szCs w:val="20"/>
                <w:color w:val="auto"/>
              </w:rPr>
            </w:pPr>
            <w:r>
              <w:rPr>
                <w:rFonts w:ascii="Arial" w:cs="Arial" w:eastAsia="Arial" w:hAnsi="Arial"/>
                <w:sz w:val="22"/>
                <w:szCs w:val="22"/>
                <w:color w:val="auto"/>
              </w:rPr>
              <w:t>10. Shared Dispositive Power:</w:t>
            </w:r>
          </w:p>
        </w:tc>
        <w:tc>
          <w:tcPr>
            <w:tcW w:w="2160" w:type="dxa"/>
            <w:vAlign w:val="bottom"/>
          </w:tcPr>
          <w:p>
            <w:pPr>
              <w:jc w:val="right"/>
              <w:spacing w:after="0"/>
              <w:rPr>
                <w:sz w:val="20"/>
                <w:szCs w:val="20"/>
                <w:color w:val="auto"/>
              </w:rPr>
            </w:pPr>
            <w:r>
              <w:rPr>
                <w:rFonts w:ascii="Arial" w:cs="Arial" w:eastAsia="Arial" w:hAnsi="Arial"/>
                <w:sz w:val="22"/>
                <w:szCs w:val="22"/>
                <w:color w:val="auto"/>
              </w:rPr>
              <w:t>21,064,222*</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2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4480" w:type="dxa"/>
            <w:vAlign w:val="bottom"/>
            <w:tcBorders>
              <w:top w:val="single" w:sz="8" w:color="auto"/>
              <w:bottom w:val="single" w:sz="8" w:color="auto"/>
            </w:tcBorders>
          </w:tcPr>
          <w:p>
            <w:pPr>
              <w:spacing w:after="0"/>
              <w:rPr>
                <w:sz w:val="11"/>
                <w:szCs w:val="11"/>
                <w:color w:val="auto"/>
              </w:rPr>
            </w:pPr>
          </w:p>
        </w:tc>
        <w:tc>
          <w:tcPr>
            <w:tcW w:w="2160" w:type="dxa"/>
            <w:vAlign w:val="bottom"/>
            <w:tcBorders>
              <w:top w:val="single" w:sz="8" w:color="auto"/>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5"/>
        </w:trPr>
        <w:tc>
          <w:tcPr>
            <w:tcW w:w="420" w:type="dxa"/>
            <w:vAlign w:val="bottom"/>
          </w:tcPr>
          <w:p>
            <w:pPr>
              <w:spacing w:after="0"/>
              <w:rPr>
                <w:sz w:val="20"/>
                <w:szCs w:val="20"/>
                <w:color w:val="auto"/>
              </w:rPr>
            </w:pPr>
            <w:r>
              <w:rPr>
                <w:rFonts w:ascii="Arial" w:cs="Arial" w:eastAsia="Arial" w:hAnsi="Arial"/>
                <w:sz w:val="22"/>
                <w:szCs w:val="22"/>
                <w:color w:val="auto"/>
              </w:rPr>
              <w:t>11.</w:t>
            </w:r>
          </w:p>
        </w:tc>
        <w:tc>
          <w:tcPr>
            <w:tcW w:w="8380" w:type="dxa"/>
            <w:vAlign w:val="bottom"/>
            <w:gridSpan w:val="3"/>
          </w:tcPr>
          <w:p>
            <w:pPr>
              <w:ind w:left="360"/>
              <w:spacing w:after="0"/>
              <w:rPr>
                <w:sz w:val="20"/>
                <w:szCs w:val="20"/>
                <w:color w:val="auto"/>
              </w:rPr>
            </w:pPr>
            <w:r>
              <w:rPr>
                <w:rFonts w:ascii="Arial" w:cs="Arial" w:eastAsia="Arial" w:hAnsi="Arial"/>
                <w:sz w:val="22"/>
                <w:szCs w:val="22"/>
                <w:color w:val="auto"/>
              </w:rPr>
              <w:t>Aggregate Amount Beneficially Owned by Each Reporting Person:</w:t>
            </w:r>
          </w:p>
        </w:tc>
        <w:tc>
          <w:tcPr>
            <w:tcW w:w="2160" w:type="dxa"/>
            <w:vAlign w:val="bottom"/>
          </w:tcPr>
          <w:p>
            <w:pPr>
              <w:jc w:val="right"/>
              <w:spacing w:after="0"/>
              <w:rPr>
                <w:sz w:val="20"/>
                <w:szCs w:val="20"/>
                <w:color w:val="auto"/>
              </w:rPr>
            </w:pPr>
            <w:r>
              <w:rPr>
                <w:rFonts w:ascii="Arial" w:cs="Arial" w:eastAsia="Arial" w:hAnsi="Arial"/>
                <w:sz w:val="22"/>
                <w:szCs w:val="22"/>
                <w:color w:val="auto"/>
              </w:rPr>
              <w:t>21,064,222*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20" w:type="dxa"/>
            <w:vAlign w:val="bottom"/>
            <w:tcBorders>
              <w:bottom w:val="single" w:sz="8" w:color="auto"/>
            </w:tcBorders>
          </w:tcPr>
          <w:p>
            <w:pPr>
              <w:spacing w:after="0"/>
              <w:rPr>
                <w:sz w:val="8"/>
                <w:szCs w:val="8"/>
                <w:color w:val="auto"/>
              </w:rPr>
            </w:pPr>
          </w:p>
        </w:tc>
        <w:tc>
          <w:tcPr>
            <w:tcW w:w="8380" w:type="dxa"/>
            <w:vAlign w:val="bottom"/>
            <w:tcBorders>
              <w:bottom w:val="single" w:sz="8" w:color="auto"/>
            </w:tcBorders>
            <w:gridSpan w:val="3"/>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20" w:type="dxa"/>
            <w:vAlign w:val="bottom"/>
          </w:tcPr>
          <w:p>
            <w:pPr>
              <w:spacing w:after="0"/>
              <w:rPr>
                <w:sz w:val="20"/>
                <w:szCs w:val="20"/>
                <w:color w:val="auto"/>
              </w:rPr>
            </w:pPr>
            <w:r>
              <w:rPr>
                <w:rFonts w:ascii="Arial" w:cs="Arial" w:eastAsia="Arial" w:hAnsi="Arial"/>
                <w:sz w:val="22"/>
                <w:szCs w:val="22"/>
                <w:color w:val="auto"/>
              </w:rPr>
              <w:t>12.</w:t>
            </w:r>
          </w:p>
        </w:tc>
        <w:tc>
          <w:tcPr>
            <w:tcW w:w="8380" w:type="dxa"/>
            <w:vAlign w:val="bottom"/>
            <w:gridSpan w:val="3"/>
          </w:tcPr>
          <w:p>
            <w:pPr>
              <w:ind w:left="360"/>
              <w:spacing w:after="0"/>
              <w:rPr>
                <w:sz w:val="20"/>
                <w:szCs w:val="20"/>
                <w:color w:val="auto"/>
              </w:rPr>
            </w:pPr>
            <w:r>
              <w:rPr>
                <w:rFonts w:ascii="Arial" w:cs="Arial" w:eastAsia="Arial" w:hAnsi="Arial"/>
                <w:sz w:val="22"/>
                <w:szCs w:val="22"/>
                <w:color w:val="auto"/>
                <w:w w:val="91"/>
              </w:rPr>
              <w:t>Check if the Aggregate Amount in Row (11) Excludes Certain Shares (See Instructions):  [</w:t>
            </w:r>
          </w:p>
        </w:tc>
        <w:tc>
          <w:tcPr>
            <w:tcW w:w="2160" w:type="dxa"/>
            <w:vAlign w:val="bottom"/>
          </w:tcPr>
          <w:p>
            <w:pPr>
              <w:jc w:val="right"/>
              <w:ind w:right="1892"/>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ind w:left="780" w:hanging="772"/>
        <w:spacing w:after="0"/>
        <w:tabs>
          <w:tab w:leader="none" w:pos="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(11):   5.1%*</w:t>
      </w:r>
    </w:p>
    <w:p>
      <w:pPr>
        <w:spacing w:after="0" w:line="219" w:lineRule="exact"/>
        <w:rPr>
          <w:rFonts w:ascii="Arial" w:cs="Arial" w:eastAsia="Arial" w:hAnsi="Arial"/>
          <w:sz w:val="22"/>
          <w:szCs w:val="22"/>
          <w:color w:val="auto"/>
        </w:rPr>
      </w:pPr>
    </w:p>
    <w:p>
      <w:pPr>
        <w:ind w:left="780" w:hanging="772"/>
        <w:spacing w:after="0"/>
        <w:tabs>
          <w:tab w:leader="none" w:pos="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the filing date of this Schedule 13D (the “</w:t>
      </w:r>
      <w:r>
        <w:rPr>
          <w:rFonts w:ascii="Arial" w:cs="Arial" w:eastAsia="Arial" w:hAnsi="Arial"/>
          <w:sz w:val="16"/>
          <w:szCs w:val="16"/>
          <w:u w:val="single" w:color="auto"/>
          <w:color w:val="auto"/>
        </w:rPr>
        <w:t>Filing Date</w:t>
      </w:r>
      <w:r>
        <w:rPr>
          <w:rFonts w:ascii="Arial" w:cs="Arial" w:eastAsia="Arial" w:hAnsi="Arial"/>
          <w:sz w:val="16"/>
          <w:szCs w:val="16"/>
          <w:color w:val="auto"/>
        </w:rPr>
        <w:t>”), Abingworth LLP (“</w:t>
      </w:r>
      <w:r>
        <w:rPr>
          <w:rFonts w:ascii="Arial" w:cs="Arial" w:eastAsia="Arial" w:hAnsi="Arial"/>
          <w:sz w:val="16"/>
          <w:szCs w:val="16"/>
          <w:u w:val="single" w:color="auto"/>
          <w:color w:val="auto"/>
        </w:rPr>
        <w:t>Abingworth</w:t>
      </w:r>
      <w:r>
        <w:rPr>
          <w:rFonts w:ascii="Arial" w:cs="Arial" w:eastAsia="Arial" w:hAnsi="Arial"/>
          <w:sz w:val="16"/>
          <w:szCs w:val="16"/>
          <w:color w:val="auto"/>
        </w:rPr>
        <w:t>”) may be deemed to beneficially own an aggregate of 21,064,222 Ordinary Shares, nominal value £0.05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Verona Pharma plc (the “</w:t>
      </w:r>
      <w:r>
        <w:rPr>
          <w:rFonts w:ascii="Arial" w:cs="Arial" w:eastAsia="Arial" w:hAnsi="Arial"/>
          <w:sz w:val="16"/>
          <w:szCs w:val="16"/>
          <w:u w:val="single" w:color="auto"/>
          <w:color w:val="auto"/>
        </w:rPr>
        <w:t>Issuer</w:t>
      </w:r>
      <w:r>
        <w:rPr>
          <w:rFonts w:ascii="Arial" w:cs="Arial" w:eastAsia="Arial" w:hAnsi="Arial"/>
          <w:sz w:val="16"/>
          <w:szCs w:val="16"/>
          <w:color w:val="auto"/>
        </w:rPr>
        <w:t>”), including (i) 1 Ordinary Share,</w:t>
      </w:r>
    </w:p>
    <w:p>
      <w:pPr>
        <w:jc w:val="both"/>
        <w:ind w:firstLine="8"/>
        <w:spacing w:after="0" w:line="292" w:lineRule="auto"/>
        <w:tabs>
          <w:tab w:leader="none" w:pos="305" w:val="left"/>
        </w:tabs>
        <w:numPr>
          <w:ilvl w:val="0"/>
          <w:numId w:val="5"/>
        </w:numPr>
        <w:rPr>
          <w:rFonts w:ascii="Arial" w:cs="Arial" w:eastAsia="Arial" w:hAnsi="Arial"/>
          <w:sz w:val="16"/>
          <w:szCs w:val="16"/>
          <w:color w:val="auto"/>
        </w:rPr>
      </w:pPr>
      <w:r>
        <w:rPr>
          <w:rFonts w:ascii="Arial" w:cs="Arial" w:eastAsia="Arial" w:hAnsi="Arial"/>
          <w:sz w:val="16"/>
          <w:szCs w:val="16"/>
          <w:color w:val="auto"/>
        </w:rPr>
        <w:t>19,660,000 Ordinary Shares underlying 2,457,500 American Depositary Shares (the “</w:t>
      </w:r>
      <w:r>
        <w:rPr>
          <w:rFonts w:ascii="Arial" w:cs="Arial" w:eastAsia="Arial" w:hAnsi="Arial"/>
          <w:sz w:val="16"/>
          <w:szCs w:val="16"/>
          <w:u w:val="single" w:color="auto"/>
          <w:color w:val="auto"/>
        </w:rPr>
        <w:t>ADS</w:t>
      </w:r>
      <w:r>
        <w:rPr>
          <w:rFonts w:ascii="Arial" w:cs="Arial" w:eastAsia="Arial" w:hAnsi="Arial"/>
          <w:sz w:val="16"/>
          <w:szCs w:val="16"/>
          <w:color w:val="auto"/>
        </w:rPr>
        <w:t>”) of the Issuer and (iii) 1,404,221 Ordinary Shares underlying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Ordinary Shares at a current exercise price of £1.7238 per share. The securities reported above are held by Abingworth Bioventures VI, LP (“</w:t>
      </w:r>
      <w:r>
        <w:rPr>
          <w:rFonts w:ascii="Arial" w:cs="Arial" w:eastAsia="Arial" w:hAnsi="Arial"/>
          <w:sz w:val="16"/>
          <w:szCs w:val="16"/>
          <w:u w:val="single" w:color="auto"/>
          <w:color w:val="auto"/>
        </w:rPr>
        <w:t>ABV VI</w:t>
      </w:r>
      <w:r>
        <w:rPr>
          <w:rFonts w:ascii="Arial" w:cs="Arial" w:eastAsia="Arial" w:hAnsi="Arial"/>
          <w:sz w:val="16"/>
          <w:szCs w:val="16"/>
          <w:color w:val="auto"/>
        </w:rPr>
        <w:t>”). Abingworth, as the investment manager of ABV VI, may be deemed to beneficially own the aggregate of 21,064,222 Ordinary Shares reported above. Thus, as of the Filing Date, for purposes of Rule 13d-3 under the Securities Exchange Act of 1934, as amended, Abingworth may be deemed to beneficially own approximately 5.1% of the Ordinary Shares of the Issuer deemed issued and outstanding.</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beneficial ownership percentage is based upon 414,278,294 Ordinary Shares issued and outstanding immediately after the consummation of the Issuer’s private placement transaction, based on information from the Issuer and other public information.</w:t>
      </w:r>
    </w:p>
    <w:p>
      <w:pPr>
        <w:sectPr>
          <w:pgSz w:w="11900" w:h="16838" w:orient="portrait"/>
          <w:cols w:equalWidth="0" w:num="1">
            <w:col w:w="11240"/>
          </w:cols>
          <w:pgMar w:left="320" w:top="955" w:right="339" w:bottom="1440" w:gutter="0" w:footer="0" w:header="0"/>
        </w:sectPr>
      </w:pPr>
    </w:p>
    <w:bookmarkStart w:id="2" w:name="page3"/>
    <w:bookmarkEnd w:id="2"/>
    <w:p>
      <w:pPr>
        <w:ind w:left="120"/>
        <w:spacing w:after="0"/>
        <w:rPr>
          <w:sz w:val="20"/>
          <w:szCs w:val="20"/>
          <w:color w:val="auto"/>
        </w:rPr>
      </w:pPr>
      <w:r>
        <w:rPr>
          <w:rFonts w:ascii="Arial" w:cs="Arial" w:eastAsia="Arial" w:hAnsi="Arial"/>
          <w:sz w:val="22"/>
          <w:szCs w:val="22"/>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ind w:left="880" w:right="2760" w:hanging="872"/>
        <w:spacing w:after="0" w:line="353" w:lineRule="auto"/>
        <w:tabs>
          <w:tab w:leader="none" w:pos="8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Names of Reporting Persons. I.R.S. Identification Nos. of above persons (entities only): Abingworth Bioventures VI,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 w:type="dxa"/>
            <w:vAlign w:val="bottom"/>
          </w:tcPr>
          <w:p>
            <w:pPr>
              <w:jc w:val="right"/>
              <w:ind w:right="232"/>
              <w:spacing w:after="0"/>
              <w:rPr>
                <w:sz w:val="20"/>
                <w:szCs w:val="20"/>
                <w:color w:val="auto"/>
              </w:rPr>
            </w:pPr>
            <w:r>
              <w:rPr>
                <w:rFonts w:ascii="Arial" w:cs="Arial" w:eastAsia="Arial" w:hAnsi="Arial"/>
                <w:sz w:val="22"/>
                <w:szCs w:val="22"/>
                <w:color w:val="auto"/>
                <w:w w:val="86"/>
              </w:rPr>
              <w:t>2.</w:t>
            </w:r>
          </w:p>
        </w:tc>
        <w:tc>
          <w:tcPr>
            <w:tcW w:w="7680" w:type="dxa"/>
            <w:vAlign w:val="bottom"/>
          </w:tcPr>
          <w:p>
            <w:pPr>
              <w:ind w:left="36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520" w:type="dxa"/>
            <w:vAlign w:val="bottom"/>
          </w:tcPr>
          <w:p>
            <w:pPr>
              <w:ind w:left="1200"/>
              <w:spacing w:after="0"/>
              <w:rPr>
                <w:sz w:val="20"/>
                <w:szCs w:val="20"/>
                <w:color w:val="auto"/>
              </w:rPr>
            </w:pPr>
            <w:r>
              <w:rPr>
                <w:rFonts w:ascii="Arial" w:cs="Arial" w:eastAsia="Arial" w:hAnsi="Arial"/>
                <w:sz w:val="22"/>
                <w:szCs w:val="22"/>
                <w:color w:val="auto"/>
              </w:rPr>
              <w:t>(a)</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520" w:type="dxa"/>
            <w:vAlign w:val="bottom"/>
          </w:tcPr>
          <w:p>
            <w:pPr>
              <w:spacing w:after="0"/>
              <w:rPr>
                <w:sz w:val="23"/>
                <w:szCs w:val="23"/>
                <w:color w:val="auto"/>
              </w:rPr>
            </w:pPr>
          </w:p>
        </w:tc>
        <w:tc>
          <w:tcPr>
            <w:tcW w:w="7680" w:type="dxa"/>
            <w:vAlign w:val="bottom"/>
          </w:tcPr>
          <w:p>
            <w:pPr>
              <w:spacing w:after="0"/>
              <w:rPr>
                <w:sz w:val="23"/>
                <w:szCs w:val="23"/>
                <w:color w:val="auto"/>
              </w:rPr>
            </w:pPr>
          </w:p>
        </w:tc>
        <w:tc>
          <w:tcPr>
            <w:tcW w:w="1520" w:type="dxa"/>
            <w:vAlign w:val="bottom"/>
          </w:tcPr>
          <w:p>
            <w:pPr>
              <w:ind w:left="1200"/>
              <w:spacing w:after="0"/>
              <w:rPr>
                <w:sz w:val="20"/>
                <w:szCs w:val="20"/>
                <w:color w:val="auto"/>
              </w:rPr>
            </w:pPr>
            <w:r>
              <w:rPr>
                <w:rFonts w:ascii="Arial" w:cs="Arial" w:eastAsia="Arial" w:hAnsi="Arial"/>
                <w:sz w:val="22"/>
                <w:szCs w:val="22"/>
                <w:color w:val="auto"/>
              </w:rPr>
              <w:t>(b)</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78" w:lineRule="exact"/>
        <w:rPr>
          <w:sz w:val="20"/>
          <w:szCs w:val="20"/>
          <w:color w:val="auto"/>
        </w:rPr>
      </w:pPr>
    </w:p>
    <w:p>
      <w:pPr>
        <w:ind w:left="780" w:hanging="772"/>
        <w:spacing w:after="0"/>
        <w:tabs>
          <w:tab w:leader="none" w:pos="78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780" w:hanging="772"/>
        <w:spacing w:after="0"/>
        <w:tabs>
          <w:tab w:leader="none" w:pos="780" w:val="left"/>
        </w:tabs>
        <w:numPr>
          <w:ilvl w:val="0"/>
          <w:numId w:val="7"/>
        </w:numPr>
        <w:rPr>
          <w:rFonts w:ascii="Arial" w:cs="Arial" w:eastAsia="Arial" w:hAnsi="Arial"/>
          <w:sz w:val="22"/>
          <w:szCs w:val="22"/>
          <w:color w:val="auto"/>
        </w:rPr>
      </w:pPr>
      <w:r>
        <w:rPr>
          <w:rFonts w:ascii="Arial" w:cs="Arial" w:eastAsia="Arial" w:hAnsi="Arial"/>
          <w:sz w:val="22"/>
          <w:szCs w:val="22"/>
          <w:color w:val="auto"/>
        </w:rPr>
        <w:t>Source of Funds (See Instructions):  WC (See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760" w:val="left"/>
          <w:tab w:leader="none" w:pos="854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9"/>
          <w:szCs w:val="19"/>
          <w:color w:val="auto"/>
        </w:rPr>
        <w:t>Check if Disclosure of Legal Proceedings is Required Pursuant to Items 2(d) or 2(e):  [</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ind w:left="780" w:hanging="772"/>
        <w:spacing w:after="0"/>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 or Place of Organization: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0" w:type="dxa"/>
            <w:vAlign w:val="bottom"/>
          </w:tcPr>
          <w:p>
            <w:pPr>
              <w:spacing w:after="0"/>
              <w:rPr>
                <w:sz w:val="23"/>
                <w:szCs w:val="23"/>
                <w:color w:val="auto"/>
              </w:rPr>
            </w:pPr>
          </w:p>
        </w:tc>
        <w:tc>
          <w:tcPr>
            <w:tcW w:w="3620" w:type="dxa"/>
            <w:vAlign w:val="bottom"/>
          </w:tcPr>
          <w:p>
            <w:pPr>
              <w:ind w:left="140"/>
              <w:spacing w:after="0"/>
              <w:rPr>
                <w:sz w:val="20"/>
                <w:szCs w:val="20"/>
                <w:color w:val="auto"/>
              </w:rPr>
            </w:pPr>
            <w:r>
              <w:rPr>
                <w:rFonts w:ascii="Arial" w:cs="Arial" w:eastAsia="Arial" w:hAnsi="Arial"/>
                <w:sz w:val="22"/>
                <w:szCs w:val="22"/>
                <w:color w:val="auto"/>
              </w:rPr>
              <w:t>Number of</w:t>
            </w:r>
          </w:p>
        </w:tc>
        <w:tc>
          <w:tcPr>
            <w:tcW w:w="280" w:type="dxa"/>
            <w:vAlign w:val="bottom"/>
          </w:tcPr>
          <w:p>
            <w:pPr>
              <w:ind w:left="100"/>
              <w:spacing w:after="0"/>
              <w:rPr>
                <w:sz w:val="20"/>
                <w:szCs w:val="20"/>
                <w:color w:val="auto"/>
              </w:rPr>
            </w:pPr>
            <w:r>
              <w:rPr>
                <w:rFonts w:ascii="Arial" w:cs="Arial" w:eastAsia="Arial" w:hAnsi="Arial"/>
                <w:sz w:val="22"/>
                <w:szCs w:val="22"/>
                <w:color w:val="auto"/>
                <w:w w:val="86"/>
              </w:rPr>
              <w:t>7.</w:t>
            </w:r>
          </w:p>
        </w:tc>
        <w:tc>
          <w:tcPr>
            <w:tcW w:w="4480" w:type="dxa"/>
            <w:vAlign w:val="bottom"/>
          </w:tcPr>
          <w:p>
            <w:pPr>
              <w:ind w:left="40"/>
              <w:spacing w:after="0"/>
              <w:rPr>
                <w:sz w:val="20"/>
                <w:szCs w:val="20"/>
                <w:color w:val="auto"/>
              </w:rPr>
            </w:pPr>
            <w:r>
              <w:rPr>
                <w:rFonts w:ascii="Arial" w:cs="Arial" w:eastAsia="Arial" w:hAnsi="Arial"/>
                <w:sz w:val="22"/>
                <w:szCs w:val="22"/>
                <w:color w:val="auto"/>
              </w:rPr>
              <w:t>Sole Voting Power:</w:t>
            </w:r>
          </w:p>
        </w:tc>
        <w:tc>
          <w:tcPr>
            <w:tcW w:w="216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420" w:type="dxa"/>
            <w:vAlign w:val="bottom"/>
          </w:tcPr>
          <w:p>
            <w:pPr>
              <w:spacing w:after="0"/>
              <w:rPr>
                <w:sz w:val="3"/>
                <w:szCs w:val="3"/>
                <w:color w:val="auto"/>
              </w:rPr>
            </w:pPr>
          </w:p>
        </w:tc>
        <w:tc>
          <w:tcPr>
            <w:tcW w:w="3620" w:type="dxa"/>
            <w:vAlign w:val="bottom"/>
            <w:vMerge w:val="restart"/>
          </w:tcPr>
          <w:p>
            <w:pPr>
              <w:ind w:left="140"/>
              <w:spacing w:after="0"/>
              <w:rPr>
                <w:sz w:val="20"/>
                <w:szCs w:val="20"/>
                <w:color w:val="auto"/>
              </w:rPr>
            </w:pPr>
            <w:r>
              <w:rPr>
                <w:rFonts w:ascii="Arial" w:cs="Arial" w:eastAsia="Arial" w:hAnsi="Arial"/>
                <w:sz w:val="22"/>
                <w:szCs w:val="22"/>
                <w:color w:val="auto"/>
              </w:rPr>
              <w:t>Shares Beneficially</w:t>
            </w:r>
          </w:p>
        </w:tc>
        <w:tc>
          <w:tcPr>
            <w:tcW w:w="28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20" w:type="dxa"/>
            <w:vAlign w:val="bottom"/>
          </w:tcPr>
          <w:p>
            <w:pPr>
              <w:spacing w:after="0"/>
              <w:rPr>
                <w:sz w:val="23"/>
                <w:szCs w:val="23"/>
                <w:color w:val="auto"/>
              </w:rPr>
            </w:pPr>
          </w:p>
        </w:tc>
        <w:tc>
          <w:tcPr>
            <w:tcW w:w="3620" w:type="dxa"/>
            <w:vAlign w:val="bottom"/>
            <w:vMerge w:val="continue"/>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22"/>
                <w:szCs w:val="22"/>
                <w:color w:val="auto"/>
                <w:w w:val="86"/>
              </w:rPr>
              <w:t>8.</w:t>
            </w:r>
          </w:p>
        </w:tc>
        <w:tc>
          <w:tcPr>
            <w:tcW w:w="4480" w:type="dxa"/>
            <w:vAlign w:val="bottom"/>
          </w:tcPr>
          <w:p>
            <w:pPr>
              <w:ind w:left="40"/>
              <w:spacing w:after="0"/>
              <w:rPr>
                <w:sz w:val="20"/>
                <w:szCs w:val="20"/>
                <w:color w:val="auto"/>
              </w:rPr>
            </w:pPr>
            <w:r>
              <w:rPr>
                <w:rFonts w:ascii="Arial" w:cs="Arial" w:eastAsia="Arial" w:hAnsi="Arial"/>
                <w:sz w:val="22"/>
                <w:szCs w:val="22"/>
                <w:color w:val="auto"/>
              </w:rPr>
              <w:t>Shared Voting Power:</w:t>
            </w:r>
          </w:p>
        </w:tc>
        <w:tc>
          <w:tcPr>
            <w:tcW w:w="2160" w:type="dxa"/>
            <w:vAlign w:val="bottom"/>
          </w:tcPr>
          <w:p>
            <w:pPr>
              <w:jc w:val="right"/>
              <w:spacing w:after="0"/>
              <w:rPr>
                <w:sz w:val="20"/>
                <w:szCs w:val="20"/>
                <w:color w:val="auto"/>
              </w:rPr>
            </w:pPr>
            <w:r>
              <w:rPr>
                <w:rFonts w:ascii="Arial" w:cs="Arial" w:eastAsia="Arial" w:hAnsi="Arial"/>
                <w:sz w:val="22"/>
                <w:szCs w:val="22"/>
                <w:color w:val="auto"/>
              </w:rPr>
              <w:t>21,064,222*</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line="20" w:lineRule="exact"/>
              <w:rPr>
                <w:sz w:val="1"/>
                <w:szCs w:val="1"/>
                <w:color w:val="auto"/>
              </w:rPr>
            </w:pPr>
          </w:p>
        </w:tc>
        <w:tc>
          <w:tcPr>
            <w:tcW w:w="3620" w:type="dxa"/>
            <w:vAlign w:val="bottom"/>
            <w:vMerge w:val="restart"/>
          </w:tcPr>
          <w:p>
            <w:pPr>
              <w:ind w:left="140"/>
              <w:spacing w:after="0"/>
              <w:rPr>
                <w:sz w:val="20"/>
                <w:szCs w:val="20"/>
                <w:color w:val="auto"/>
              </w:rPr>
            </w:pPr>
            <w:r>
              <w:rPr>
                <w:rFonts w:ascii="Arial" w:cs="Arial" w:eastAsia="Arial" w:hAnsi="Arial"/>
                <w:sz w:val="22"/>
                <w:szCs w:val="22"/>
                <w:color w:val="auto"/>
              </w:rPr>
              <w:t>Owned by</w:t>
            </w:r>
          </w:p>
        </w:tc>
        <w:tc>
          <w:tcPr>
            <w:tcW w:w="28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3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0" w:type="dxa"/>
            <w:vAlign w:val="bottom"/>
          </w:tcPr>
          <w:p>
            <w:pPr>
              <w:spacing w:after="0"/>
              <w:rPr>
                <w:sz w:val="24"/>
                <w:szCs w:val="24"/>
                <w:color w:val="auto"/>
              </w:rPr>
            </w:pPr>
          </w:p>
        </w:tc>
        <w:tc>
          <w:tcPr>
            <w:tcW w:w="3620" w:type="dxa"/>
            <w:vAlign w:val="bottom"/>
          </w:tcPr>
          <w:p>
            <w:pPr>
              <w:ind w:left="140"/>
              <w:spacing w:after="0"/>
              <w:rPr>
                <w:sz w:val="20"/>
                <w:szCs w:val="20"/>
                <w:color w:val="auto"/>
              </w:rPr>
            </w:pPr>
            <w:r>
              <w:rPr>
                <w:rFonts w:ascii="Arial" w:cs="Arial" w:eastAsia="Arial" w:hAnsi="Arial"/>
                <w:sz w:val="22"/>
                <w:szCs w:val="22"/>
                <w:color w:val="auto"/>
              </w:rPr>
              <w:t>Each Reporting</w:t>
            </w:r>
          </w:p>
        </w:tc>
        <w:tc>
          <w:tcPr>
            <w:tcW w:w="280" w:type="dxa"/>
            <w:vAlign w:val="bottom"/>
          </w:tcPr>
          <w:p>
            <w:pPr>
              <w:ind w:left="100"/>
              <w:spacing w:after="0"/>
              <w:rPr>
                <w:sz w:val="20"/>
                <w:szCs w:val="20"/>
                <w:color w:val="auto"/>
              </w:rPr>
            </w:pPr>
            <w:r>
              <w:rPr>
                <w:rFonts w:ascii="Arial" w:cs="Arial" w:eastAsia="Arial" w:hAnsi="Arial"/>
                <w:sz w:val="22"/>
                <w:szCs w:val="22"/>
                <w:color w:val="auto"/>
                <w:w w:val="86"/>
              </w:rPr>
              <w:t>9.</w:t>
            </w:r>
          </w:p>
        </w:tc>
        <w:tc>
          <w:tcPr>
            <w:tcW w:w="4480" w:type="dxa"/>
            <w:vAlign w:val="bottom"/>
          </w:tcPr>
          <w:p>
            <w:pPr>
              <w:ind w:left="40"/>
              <w:spacing w:after="0"/>
              <w:rPr>
                <w:sz w:val="20"/>
                <w:szCs w:val="20"/>
                <w:color w:val="auto"/>
              </w:rPr>
            </w:pPr>
            <w:r>
              <w:rPr>
                <w:rFonts w:ascii="Arial" w:cs="Arial" w:eastAsia="Arial" w:hAnsi="Arial"/>
                <w:sz w:val="22"/>
                <w:szCs w:val="22"/>
                <w:color w:val="auto"/>
              </w:rPr>
              <w:t>Sole Dispositive Power:</w:t>
            </w:r>
          </w:p>
        </w:tc>
        <w:tc>
          <w:tcPr>
            <w:tcW w:w="216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20" w:type="dxa"/>
            <w:vAlign w:val="bottom"/>
          </w:tcPr>
          <w:p>
            <w:pPr>
              <w:spacing w:after="0"/>
              <w:rPr>
                <w:sz w:val="3"/>
                <w:szCs w:val="3"/>
                <w:color w:val="auto"/>
              </w:rPr>
            </w:pPr>
          </w:p>
        </w:tc>
        <w:tc>
          <w:tcPr>
            <w:tcW w:w="3620" w:type="dxa"/>
            <w:vAlign w:val="bottom"/>
            <w:vMerge w:val="restart"/>
          </w:tcPr>
          <w:p>
            <w:pPr>
              <w:ind w:left="140"/>
              <w:spacing w:after="0"/>
              <w:rPr>
                <w:sz w:val="20"/>
                <w:szCs w:val="20"/>
                <w:color w:val="auto"/>
              </w:rPr>
            </w:pPr>
            <w:r>
              <w:rPr>
                <w:rFonts w:ascii="Arial" w:cs="Arial" w:eastAsia="Arial" w:hAnsi="Arial"/>
                <w:sz w:val="22"/>
                <w:szCs w:val="22"/>
                <w:color w:val="auto"/>
              </w:rPr>
              <w:t>Person with</w:t>
            </w:r>
          </w:p>
        </w:tc>
        <w:tc>
          <w:tcPr>
            <w:tcW w:w="476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20" w:type="dxa"/>
            <w:vAlign w:val="bottom"/>
          </w:tcPr>
          <w:p>
            <w:pPr>
              <w:spacing w:after="0"/>
              <w:rPr>
                <w:sz w:val="23"/>
                <w:szCs w:val="23"/>
                <w:color w:val="auto"/>
              </w:rPr>
            </w:pPr>
          </w:p>
        </w:tc>
        <w:tc>
          <w:tcPr>
            <w:tcW w:w="3620" w:type="dxa"/>
            <w:vAlign w:val="bottom"/>
            <w:vMerge w:val="continue"/>
          </w:tcPr>
          <w:p>
            <w:pPr>
              <w:spacing w:after="0"/>
              <w:rPr>
                <w:sz w:val="23"/>
                <w:szCs w:val="23"/>
                <w:color w:val="auto"/>
              </w:rPr>
            </w:pPr>
          </w:p>
        </w:tc>
        <w:tc>
          <w:tcPr>
            <w:tcW w:w="4760" w:type="dxa"/>
            <w:vAlign w:val="bottom"/>
            <w:gridSpan w:val="2"/>
          </w:tcPr>
          <w:p>
            <w:pPr>
              <w:ind w:left="100"/>
              <w:spacing w:after="0"/>
              <w:rPr>
                <w:sz w:val="20"/>
                <w:szCs w:val="20"/>
                <w:color w:val="auto"/>
              </w:rPr>
            </w:pPr>
            <w:r>
              <w:rPr>
                <w:rFonts w:ascii="Arial" w:cs="Arial" w:eastAsia="Arial" w:hAnsi="Arial"/>
                <w:sz w:val="22"/>
                <w:szCs w:val="22"/>
                <w:color w:val="auto"/>
              </w:rPr>
              <w:t>10. Shared Dispositive Power:</w:t>
            </w:r>
          </w:p>
        </w:tc>
        <w:tc>
          <w:tcPr>
            <w:tcW w:w="2160" w:type="dxa"/>
            <w:vAlign w:val="bottom"/>
          </w:tcPr>
          <w:p>
            <w:pPr>
              <w:jc w:val="right"/>
              <w:spacing w:after="0"/>
              <w:rPr>
                <w:sz w:val="20"/>
                <w:szCs w:val="20"/>
                <w:color w:val="auto"/>
              </w:rPr>
            </w:pPr>
            <w:r>
              <w:rPr>
                <w:rFonts w:ascii="Arial" w:cs="Arial" w:eastAsia="Arial" w:hAnsi="Arial"/>
                <w:sz w:val="22"/>
                <w:szCs w:val="22"/>
                <w:color w:val="auto"/>
              </w:rPr>
              <w:t>21,064,222*</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20" w:type="dxa"/>
            <w:vAlign w:val="bottom"/>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4480" w:type="dxa"/>
            <w:vAlign w:val="bottom"/>
            <w:tcBorders>
              <w:top w:val="single" w:sz="8" w:color="auto"/>
              <w:bottom w:val="single" w:sz="8" w:color="auto"/>
            </w:tcBorders>
          </w:tcPr>
          <w:p>
            <w:pPr>
              <w:spacing w:after="0"/>
              <w:rPr>
                <w:sz w:val="11"/>
                <w:szCs w:val="11"/>
                <w:color w:val="auto"/>
              </w:rPr>
            </w:pPr>
          </w:p>
        </w:tc>
        <w:tc>
          <w:tcPr>
            <w:tcW w:w="2160" w:type="dxa"/>
            <w:vAlign w:val="bottom"/>
            <w:tcBorders>
              <w:top w:val="single" w:sz="8" w:color="auto"/>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5"/>
        </w:trPr>
        <w:tc>
          <w:tcPr>
            <w:tcW w:w="420" w:type="dxa"/>
            <w:vAlign w:val="bottom"/>
          </w:tcPr>
          <w:p>
            <w:pPr>
              <w:spacing w:after="0"/>
              <w:rPr>
                <w:sz w:val="20"/>
                <w:szCs w:val="20"/>
                <w:color w:val="auto"/>
              </w:rPr>
            </w:pPr>
            <w:r>
              <w:rPr>
                <w:rFonts w:ascii="Arial" w:cs="Arial" w:eastAsia="Arial" w:hAnsi="Arial"/>
                <w:sz w:val="22"/>
                <w:szCs w:val="22"/>
                <w:color w:val="auto"/>
              </w:rPr>
              <w:t>11.</w:t>
            </w:r>
          </w:p>
        </w:tc>
        <w:tc>
          <w:tcPr>
            <w:tcW w:w="8380" w:type="dxa"/>
            <w:vAlign w:val="bottom"/>
            <w:gridSpan w:val="3"/>
          </w:tcPr>
          <w:p>
            <w:pPr>
              <w:ind w:left="360"/>
              <w:spacing w:after="0"/>
              <w:rPr>
                <w:sz w:val="20"/>
                <w:szCs w:val="20"/>
                <w:color w:val="auto"/>
              </w:rPr>
            </w:pPr>
            <w:r>
              <w:rPr>
                <w:rFonts w:ascii="Arial" w:cs="Arial" w:eastAsia="Arial" w:hAnsi="Arial"/>
                <w:sz w:val="22"/>
                <w:szCs w:val="22"/>
                <w:color w:val="auto"/>
              </w:rPr>
              <w:t>Aggregate Amount Beneficially Owned by Each Reporting Person:</w:t>
            </w:r>
          </w:p>
        </w:tc>
        <w:tc>
          <w:tcPr>
            <w:tcW w:w="2160" w:type="dxa"/>
            <w:vAlign w:val="bottom"/>
          </w:tcPr>
          <w:p>
            <w:pPr>
              <w:jc w:val="right"/>
              <w:spacing w:after="0"/>
              <w:rPr>
                <w:sz w:val="20"/>
                <w:szCs w:val="20"/>
                <w:color w:val="auto"/>
              </w:rPr>
            </w:pPr>
            <w:r>
              <w:rPr>
                <w:rFonts w:ascii="Arial" w:cs="Arial" w:eastAsia="Arial" w:hAnsi="Arial"/>
                <w:sz w:val="22"/>
                <w:szCs w:val="22"/>
                <w:color w:val="auto"/>
              </w:rPr>
              <w:t>21,064,222*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20" w:type="dxa"/>
            <w:vAlign w:val="bottom"/>
            <w:tcBorders>
              <w:bottom w:val="single" w:sz="8" w:color="auto"/>
            </w:tcBorders>
          </w:tcPr>
          <w:p>
            <w:pPr>
              <w:spacing w:after="0"/>
              <w:rPr>
                <w:sz w:val="8"/>
                <w:szCs w:val="8"/>
                <w:color w:val="auto"/>
              </w:rPr>
            </w:pPr>
          </w:p>
        </w:tc>
        <w:tc>
          <w:tcPr>
            <w:tcW w:w="8380" w:type="dxa"/>
            <w:vAlign w:val="bottom"/>
            <w:tcBorders>
              <w:bottom w:val="single" w:sz="8" w:color="auto"/>
            </w:tcBorders>
            <w:gridSpan w:val="3"/>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20" w:type="dxa"/>
            <w:vAlign w:val="bottom"/>
          </w:tcPr>
          <w:p>
            <w:pPr>
              <w:spacing w:after="0"/>
              <w:rPr>
                <w:sz w:val="20"/>
                <w:szCs w:val="20"/>
                <w:color w:val="auto"/>
              </w:rPr>
            </w:pPr>
            <w:r>
              <w:rPr>
                <w:rFonts w:ascii="Arial" w:cs="Arial" w:eastAsia="Arial" w:hAnsi="Arial"/>
                <w:sz w:val="22"/>
                <w:szCs w:val="22"/>
                <w:color w:val="auto"/>
              </w:rPr>
              <w:t>12.</w:t>
            </w:r>
          </w:p>
        </w:tc>
        <w:tc>
          <w:tcPr>
            <w:tcW w:w="8380" w:type="dxa"/>
            <w:vAlign w:val="bottom"/>
            <w:gridSpan w:val="3"/>
          </w:tcPr>
          <w:p>
            <w:pPr>
              <w:ind w:left="360"/>
              <w:spacing w:after="0"/>
              <w:rPr>
                <w:sz w:val="20"/>
                <w:szCs w:val="20"/>
                <w:color w:val="auto"/>
              </w:rPr>
            </w:pPr>
            <w:r>
              <w:rPr>
                <w:rFonts w:ascii="Arial" w:cs="Arial" w:eastAsia="Arial" w:hAnsi="Arial"/>
                <w:sz w:val="22"/>
                <w:szCs w:val="22"/>
                <w:color w:val="auto"/>
                <w:w w:val="91"/>
              </w:rPr>
              <w:t>Check if the Aggregate Amount in Row (11) Excludes Certain Shares (See Instructions):  [</w:t>
            </w:r>
          </w:p>
        </w:tc>
        <w:tc>
          <w:tcPr>
            <w:tcW w:w="2160" w:type="dxa"/>
            <w:vAlign w:val="bottom"/>
          </w:tcPr>
          <w:p>
            <w:pPr>
              <w:jc w:val="right"/>
              <w:ind w:right="1892"/>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780" w:hanging="772"/>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Percent of Class Represented by Amount in Row (11):   5.1%*</w:t>
      </w:r>
    </w:p>
    <w:p>
      <w:pPr>
        <w:spacing w:after="0" w:line="219" w:lineRule="exact"/>
        <w:rPr>
          <w:rFonts w:ascii="Arial" w:cs="Arial" w:eastAsia="Arial" w:hAnsi="Arial"/>
          <w:sz w:val="22"/>
          <w:szCs w:val="22"/>
          <w:color w:val="auto"/>
        </w:rPr>
      </w:pPr>
    </w:p>
    <w:p>
      <w:pPr>
        <w:ind w:left="780" w:hanging="772"/>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Filing Date, ABV VI owns an aggregate of 21,064,222 Ordinary Shares of the Issuer, including (i) 1 Ordinary Share, (ii) 19,660,000 Ordinary Shares underlying 2,457,500 ADS and (iii) 1,404,221 Ordinary Shares underlying Warrants. Thus, as of the Filing Date, for purposes of Rule 13d-3 under the Securities Exchange Act of 1934, as amended, ABV VI may be deemed to beneficially own approximately 5.1% of the Ordinary Shares of the Issuer deemed issued and outstanding.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beneficial ownership percentage is based upon 414,278,294 Ordinary Shares issued and outstanding immediately after the consummation of the Issuer’s private placement transaction, based on information from the Issuer and other public information.</w:t>
      </w:r>
    </w:p>
    <w:p>
      <w:pPr>
        <w:sectPr>
          <w:pgSz w:w="11900" w:h="16838" w:orient="portrait"/>
          <w:cols w:equalWidth="0" w:num="1">
            <w:col w:w="11240"/>
          </w:cols>
          <w:pgMar w:left="320" w:top="847" w:right="339" w:bottom="1440" w:gutter="0" w:footer="0" w:header="0"/>
        </w:sectPr>
      </w:pPr>
    </w:p>
    <w:bookmarkStart w:id="3" w:name="page4"/>
    <w:bookmarkEnd w:id="3"/>
    <w:p>
      <w:pPr>
        <w:ind w:left="60"/>
        <w:spacing w:after="0"/>
        <w:tabs>
          <w:tab w:leader="none" w:pos="86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u w:val="single" w:color="auto"/>
          <w:color w:val="auto"/>
        </w:rPr>
        <w:t>Security and Issuer</w:t>
      </w:r>
    </w:p>
    <w:p>
      <w:pPr>
        <w:spacing w:after="0" w:line="233"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This Amendment No. 1 (the “</w:t>
      </w:r>
      <w:r>
        <w:rPr>
          <w:rFonts w:ascii="Arial" w:cs="Arial" w:eastAsia="Arial" w:hAnsi="Arial"/>
          <w:sz w:val="19"/>
          <w:szCs w:val="19"/>
          <w:u w:val="single" w:color="auto"/>
          <w:color w:val="auto"/>
        </w:rPr>
        <w:t>Amendmen</w:t>
      </w:r>
      <w:r>
        <w:rPr>
          <w:rFonts w:ascii="Arial" w:cs="Arial" w:eastAsia="Arial" w:hAnsi="Arial"/>
          <w:sz w:val="19"/>
          <w:szCs w:val="19"/>
          <w:color w:val="auto"/>
        </w:rPr>
        <w:t>t”) amends and supplements the Schedule 13D filed by the Reporting Person with the Securities and Exchange Commission on May 8, 2017 (the “</w:t>
      </w:r>
      <w:r>
        <w:rPr>
          <w:rFonts w:ascii="Arial" w:cs="Arial" w:eastAsia="Arial" w:hAnsi="Arial"/>
          <w:sz w:val="19"/>
          <w:szCs w:val="19"/>
          <w:u w:val="single" w:color="auto"/>
          <w:color w:val="auto"/>
        </w:rPr>
        <w:t>Schedule 13D</w:t>
      </w:r>
      <w:r>
        <w:rPr>
          <w:rFonts w:ascii="Arial" w:cs="Arial" w:eastAsia="Arial" w:hAnsi="Arial"/>
          <w:sz w:val="19"/>
          <w:szCs w:val="19"/>
          <w:color w:val="auto"/>
        </w:rPr>
        <w:t>”). This Schedule 13D, as amended by this Amendment, relates to the Ordinary Shares, nominal value £0.05 per share (“</w:t>
      </w:r>
      <w:r>
        <w:rPr>
          <w:rFonts w:ascii="Arial" w:cs="Arial" w:eastAsia="Arial" w:hAnsi="Arial"/>
          <w:sz w:val="19"/>
          <w:szCs w:val="19"/>
          <w:u w:val="single" w:color="auto"/>
          <w:color w:val="auto"/>
        </w:rPr>
        <w:t>Ordinary Shares</w:t>
      </w:r>
      <w:r>
        <w:rPr>
          <w:rFonts w:ascii="Arial" w:cs="Arial" w:eastAsia="Arial" w:hAnsi="Arial"/>
          <w:sz w:val="19"/>
          <w:szCs w:val="19"/>
          <w:color w:val="auto"/>
        </w:rPr>
        <w:t>”), of Verona Pharma plc, a corporation organized under the laws of England and Wales (the “</w:t>
      </w:r>
      <w:r>
        <w:rPr>
          <w:rFonts w:ascii="Arial" w:cs="Arial" w:eastAsia="Arial" w:hAnsi="Arial"/>
          <w:sz w:val="19"/>
          <w:szCs w:val="19"/>
          <w:u w:val="single" w:color="auto"/>
          <w:color w:val="auto"/>
        </w:rPr>
        <w:t>Issuer</w:t>
      </w:r>
      <w:r>
        <w:rPr>
          <w:rFonts w:ascii="Arial" w:cs="Arial" w:eastAsia="Arial" w:hAnsi="Arial"/>
          <w:sz w:val="19"/>
          <w:szCs w:val="19"/>
          <w:color w:val="auto"/>
        </w:rPr>
        <w:t>”), including Ordinary Shares underlying American Depositary Shares (the “</w:t>
      </w:r>
      <w:r>
        <w:rPr>
          <w:rFonts w:ascii="Arial" w:cs="Arial" w:eastAsia="Arial" w:hAnsi="Arial"/>
          <w:sz w:val="19"/>
          <w:szCs w:val="19"/>
          <w:u w:val="single" w:color="auto"/>
          <w:color w:val="auto"/>
        </w:rPr>
        <w:t>ADS</w:t>
      </w:r>
      <w:r>
        <w:rPr>
          <w:rFonts w:ascii="Arial" w:cs="Arial" w:eastAsia="Arial" w:hAnsi="Arial"/>
          <w:sz w:val="19"/>
          <w:szCs w:val="19"/>
          <w:color w:val="auto"/>
        </w:rPr>
        <w:t>”) of the Issuer, with each ADS representing eight Ordinary Shares. The CUSIP number of the ADS is 925050106. No CUSIP number has been assigned to the Ordinary Shares.</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The principal executive offices of the Issuer are located at 3 More London Riverside, London SE1 2RE, United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Kingdom.</w:t>
      </w:r>
    </w:p>
    <w:p>
      <w:pPr>
        <w:spacing w:after="0" w:line="18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Except as specifically provided herein, this Amendment does not modify or amend any of the information previously reported in the Schedule 13D. Capitalized terms used and not otherwise defined herein shall have the meanings ascribed to such terms in the Schedule 13D. Information given in response to each item shall be deemed incorporated by reference in all other items, as applicable.</w:t>
      </w: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u w:val="single" w:color="auto"/>
          <w:color w:val="auto"/>
        </w:rPr>
        <w:t>Source and Amount of Funds or Other Consideration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Item 3 of the Schedule 13D is supplemented as follows:</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On July 17, 2020, pursuant to that certain Securities Purchase Agreement, dated as of July 17, 2020 (the “</w:t>
      </w:r>
      <w:r>
        <w:rPr>
          <w:rFonts w:ascii="Arial" w:cs="Arial" w:eastAsia="Arial" w:hAnsi="Arial"/>
          <w:sz w:val="19"/>
          <w:szCs w:val="19"/>
          <w:u w:val="single" w:color="auto"/>
          <w:color w:val="auto"/>
        </w:rPr>
        <w:t>July</w:t>
      </w:r>
      <w:r>
        <w:rPr>
          <w:rFonts w:ascii="Arial" w:cs="Arial" w:eastAsia="Arial" w:hAnsi="Arial"/>
          <w:sz w:val="19"/>
          <w:szCs w:val="19"/>
          <w:color w:val="auto"/>
        </w:rPr>
        <w:t xml:space="preserve"> </w:t>
      </w:r>
      <w:r>
        <w:rPr>
          <w:rFonts w:ascii="Arial" w:cs="Arial" w:eastAsia="Arial" w:hAnsi="Arial"/>
          <w:sz w:val="19"/>
          <w:szCs w:val="19"/>
          <w:u w:val="single" w:color="auto"/>
          <w:color w:val="auto"/>
        </w:rPr>
        <w:t>2020 Purchase Agreement</w:t>
      </w:r>
      <w:r>
        <w:rPr>
          <w:rFonts w:ascii="Arial" w:cs="Arial" w:eastAsia="Arial" w:hAnsi="Arial"/>
          <w:sz w:val="19"/>
          <w:szCs w:val="19"/>
          <w:color w:val="auto"/>
        </w:rPr>
        <w:t>”), by and among the Issuer, ABV VI and the other investors party thereto, ABV VI purchased 1,555,556 of the Issuer’s American Depositary Shares (the “ADS”), each representing eight Ordinary Shares of the Company, nominal value £0.05 per share (the “Ordinary Shares”), at a purchase price equal to $4.50 per ADS (the “</w:t>
      </w:r>
      <w:r>
        <w:rPr>
          <w:rFonts w:ascii="Arial" w:cs="Arial" w:eastAsia="Arial" w:hAnsi="Arial"/>
          <w:sz w:val="19"/>
          <w:szCs w:val="19"/>
          <w:u w:val="single" w:color="auto"/>
          <w:color w:val="auto"/>
        </w:rPr>
        <w:t>July 2020 Placement</w:t>
      </w:r>
      <w:r>
        <w:rPr>
          <w:rFonts w:ascii="Arial" w:cs="Arial" w:eastAsia="Arial" w:hAnsi="Arial"/>
          <w:sz w:val="19"/>
          <w:szCs w:val="19"/>
          <w:color w:val="auto"/>
        </w:rPr>
        <w:t>”). The July 2020 Purchase Agreement contained customary representations and warranties from the Issuer and ABV VI and customary closing conditions. The closing of the July 2020 Placement occurred on July 22, 2020 (the “</w:t>
      </w:r>
      <w:r>
        <w:rPr>
          <w:rFonts w:ascii="Arial" w:cs="Arial" w:eastAsia="Arial" w:hAnsi="Arial"/>
          <w:sz w:val="19"/>
          <w:szCs w:val="19"/>
          <w:u w:val="single" w:color="auto"/>
          <w:color w:val="auto"/>
        </w:rPr>
        <w:t>Closing Date</w:t>
      </w:r>
      <w:r>
        <w:rPr>
          <w:rFonts w:ascii="Arial" w:cs="Arial" w:eastAsia="Arial" w:hAnsi="Arial"/>
          <w:sz w:val="19"/>
          <w:szCs w:val="19"/>
          <w:color w:val="auto"/>
        </w:rPr>
        <w:t>”). ABV VI purchased these Ordinary Shares with its investment capital for an aggregate purchase price of approximately $7,000,000. Abingworth does not directly own any of the Ordinary Shares underlying the ADS.</w:t>
      </w:r>
    </w:p>
    <w:p>
      <w:pPr>
        <w:spacing w:after="0" w:line="15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On July 17, 2020, in connection with the July 2020 Purchase Agreement, the Issuer entered into a Registration Rights Agreement (the “</w:t>
      </w:r>
      <w:r>
        <w:rPr>
          <w:rFonts w:ascii="Arial" w:cs="Arial" w:eastAsia="Arial" w:hAnsi="Arial"/>
          <w:sz w:val="19"/>
          <w:szCs w:val="19"/>
          <w:u w:val="single" w:color="auto"/>
          <w:color w:val="auto"/>
        </w:rPr>
        <w:t>July 2020 Registration Rights Agreement</w:t>
      </w:r>
      <w:r>
        <w:rPr>
          <w:rFonts w:ascii="Arial" w:cs="Arial" w:eastAsia="Arial" w:hAnsi="Arial"/>
          <w:sz w:val="19"/>
          <w:szCs w:val="19"/>
          <w:color w:val="auto"/>
        </w:rPr>
        <w:t>”) with ABV VI. Pursuant to the July 2020 Registration Rights Agreement, the Issuer agreed to prepare and file a registration statement with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not later than 30 days following the Closing Date for purposes of registering the Ordinary Shares underlying the ADS.</w:t>
      </w:r>
    </w:p>
    <w:p>
      <w:pPr>
        <w:sectPr>
          <w:pgSz w:w="11900" w:h="16838" w:orient="portrait"/>
          <w:cols w:equalWidth="0" w:num="1">
            <w:col w:w="11240"/>
          </w:cols>
          <w:pgMar w:left="320" w:top="847" w:right="339" w:bottom="1440" w:gutter="0" w:footer="0" w:header="0"/>
        </w:sectPr>
      </w:pPr>
    </w:p>
    <w:bookmarkStart w:id="4" w:name="page5"/>
    <w:bookmarkEnd w:id="4"/>
    <w:p>
      <w:pPr>
        <w:jc w:val="both"/>
        <w:ind w:firstLine="1296"/>
        <w:spacing w:after="0" w:line="236" w:lineRule="auto"/>
        <w:rPr>
          <w:sz w:val="20"/>
          <w:szCs w:val="20"/>
          <w:color w:val="auto"/>
        </w:rPr>
      </w:pPr>
      <w:r>
        <w:rPr>
          <w:rFonts w:ascii="Arial" w:cs="Arial" w:eastAsia="Arial" w:hAnsi="Arial"/>
          <w:sz w:val="22"/>
          <w:szCs w:val="22"/>
          <w:color w:val="auto"/>
        </w:rPr>
        <w:t>As a result of the foregoing, as of the Filing Date of this Schedule 13D, ABV VI directly owns and Abingworth may be deemed to beneficially own an aggregate of 21,064,222 Ordinary Shares of the Issuer, including (i) 1 Ordinary Share, (ii) 19,660,000 Ordinary Shares underlying 2,457,500 ADS and (iii) 1,404,221 Ordinary Shares underlying Warrants. Abingworth, as the investment manager of ABV VI, may be deemed to beneficially own such Ordinary Shares. Abingworth does not directly own any of these securities.</w:t>
      </w:r>
    </w:p>
    <w:p>
      <w:pPr>
        <w:spacing w:after="0" w:line="200" w:lineRule="exact"/>
        <w:rPr>
          <w:sz w:val="20"/>
          <w:szCs w:val="20"/>
          <w:color w:val="auto"/>
        </w:rPr>
      </w:pP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u w:val="single" w:color="auto"/>
          <w:color w:val="auto"/>
        </w:rPr>
        <w:t>Purpose of Transaction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Item 4 of the Schedule 13D is is supplemented as follows:</w:t>
      </w:r>
    </w:p>
    <w:p>
      <w:pPr>
        <w:spacing w:after="0" w:line="20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Dr. Sinclair was appointed to the board of directors of the Issuer (the “</w:t>
      </w:r>
      <w:r>
        <w:rPr>
          <w:rFonts w:ascii="Arial" w:cs="Arial" w:eastAsia="Arial" w:hAnsi="Arial"/>
          <w:sz w:val="21"/>
          <w:szCs w:val="21"/>
          <w:u w:val="single" w:color="auto"/>
          <w:color w:val="auto"/>
        </w:rPr>
        <w:t>Board</w:t>
      </w:r>
      <w:r>
        <w:rPr>
          <w:rFonts w:ascii="Arial" w:cs="Arial" w:eastAsia="Arial" w:hAnsi="Arial"/>
          <w:sz w:val="21"/>
          <w:szCs w:val="21"/>
          <w:color w:val="auto"/>
        </w:rPr>
        <w:t>”) in July 2016, as a designee of Abingworth. Abingworth’s right to designate a director terminated effective July 22, 2020. The Relationship Agreement, whereby, among other things, ABV VI agreed to certain standstill provisions restricting its ability to acquire additional share capital in the Issuer without the prior consent of a majority of independent members of the Board also terminated effective July 22, 2020. The Board has agreed that Dr. Sinclair will continue as a director.</w:t>
      </w:r>
    </w:p>
    <w:p>
      <w:pPr>
        <w:spacing w:after="0" w:line="17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In connection with the July 2020 Placement, ABV VI entered into the July 2020 Registration Rights Agreement, a copy of which is incorporated by reference as an exhibit to this Schedule 13D. Pursuant to the July 2020 Registration Rights Agreement the Issuer has agreed to file with the SEC within 30 days following the July 2020 Placement a registration statement covering the resale of the securities purchased in the July 2020 Placement.</w:t>
      </w:r>
    </w:p>
    <w:p>
      <w:pPr>
        <w:spacing w:after="0" w:line="174"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The foregoing descriptions of the Registration Rights Agreement is qualified in its entirety by the terms of such document, which are incorporated by reference as exhibits to this Schedule 13D.</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Except as set forth herein, the Reporting Persons do not have any plan or proposal that would relate to, or result in, any of the matters set forth under subsections (a) through (j) of Item 4 of Schedule 13D.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5. </w:t>
      </w:r>
      <w:r>
        <w:rPr>
          <w:rFonts w:ascii="Arial" w:cs="Arial" w:eastAsia="Arial" w:hAnsi="Arial"/>
          <w:sz w:val="22"/>
          <w:szCs w:val="22"/>
          <w:u w:val="single" w:color="auto"/>
          <w:color w:val="auto"/>
        </w:rPr>
        <w:t>Interest in Securities of the Issuer</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Item 5 of the Schedule 13D is hereby amended by deleting it in its entirety and substituting the following in lieu</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188"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As of the Filing Date, ABV VI beneficially owns an aggregate of 21,064,222 Ordinary Shares, including (i) 1 Ordinary Share, (ii) 19,660,000 Ordinary Shares underlying 2,457,500 ADS and (iii) 1,404,221 Ordinary Shares underlying Warrants. Abingworth, as the investment manager of ABV VI, may be deemed to beneficially own such Ordinary Shares.</w:t>
      </w:r>
    </w:p>
    <w:p>
      <w:pPr>
        <w:sectPr>
          <w:pgSz w:w="11900" w:h="16838" w:orient="portrait"/>
          <w:cols w:equalWidth="0" w:num="1">
            <w:col w:w="11240"/>
          </w:cols>
          <w:pgMar w:left="320" w:top="928" w:right="339" w:bottom="1440" w:gutter="0" w:footer="0" w:header="0"/>
        </w:sectPr>
      </w:pPr>
    </w:p>
    <w:bookmarkStart w:id="5" w:name="page6"/>
    <w:bookmarkEnd w:id="5"/>
    <w:p>
      <w:pPr>
        <w:jc w:val="both"/>
        <w:ind w:firstLine="1296"/>
        <w:spacing w:after="0" w:line="238" w:lineRule="auto"/>
        <w:rPr>
          <w:sz w:val="20"/>
          <w:szCs w:val="20"/>
          <w:color w:val="auto"/>
        </w:rPr>
      </w:pPr>
      <w:r>
        <w:rPr>
          <w:rFonts w:ascii="Arial" w:cs="Arial" w:eastAsia="Arial" w:hAnsi="Arial"/>
          <w:sz w:val="22"/>
          <w:szCs w:val="22"/>
          <w:color w:val="auto"/>
        </w:rPr>
        <w:t>ABV VI has the right to receive dividends from, or proceeds from the sale of, the Ordinary Shares, the ADS and the Warrants (including the Ordinary Shares issuable upon exercise of the Warrants) owned by it. The limited partners or shareholders of ABV VI have the right to participate indirectly in the receipt of dividends from, or proceeds from the sale of, such securities in accordance with their respective ownership interests in ABV VI.</w:t>
      </w:r>
    </w:p>
    <w:p>
      <w:pPr>
        <w:spacing w:after="0" w:line="18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Except as described herein, during the past sixty days on or prior to July 20, 2020 (the “</w:t>
      </w:r>
      <w:r>
        <w:rPr>
          <w:rFonts w:ascii="Arial" w:cs="Arial" w:eastAsia="Arial" w:hAnsi="Arial"/>
          <w:sz w:val="22"/>
          <w:szCs w:val="22"/>
          <w:u w:val="single" w:color="auto"/>
          <w:color w:val="auto"/>
        </w:rPr>
        <w:t>Event Date</w:t>
      </w:r>
      <w:r>
        <w:rPr>
          <w:rFonts w:ascii="Arial" w:cs="Arial" w:eastAsia="Arial" w:hAnsi="Arial"/>
          <w:sz w:val="22"/>
          <w:szCs w:val="22"/>
          <w:color w:val="auto"/>
        </w:rPr>
        <w:t>”), and from the Event Date to the Filing Date, there were no other purchases or sales of Ordinary Shares, or securities convertible into or exchangeable for Ordinary Shares, by the Reporting Persons or any person or entity for which the Reporting Persons possess voting or dispositive control over the securities thereof.</w:t>
      </w: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19"/>
          <w:szCs w:val="19"/>
          <w:u w:val="single" w:color="auto"/>
          <w:color w:val="auto"/>
        </w:rPr>
        <w:t>Material to be Filed as Exhibits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exhibits are incorporated into this Schedule 13D:</w:t>
      </w:r>
    </w:p>
    <w:p>
      <w:pPr>
        <w:sectPr>
          <w:pgSz w:w="11900" w:h="16838" w:orient="portrait"/>
          <w:cols w:equalWidth="0" w:num="1">
            <w:col w:w="11240"/>
          </w:cols>
          <w:pgMar w:left="320" w:top="1387" w:right="339" w:bottom="1440" w:gutter="0" w:footer="0" w:header="0"/>
        </w:sectPr>
      </w:pPr>
    </w:p>
    <w:p>
      <w:pPr>
        <w:spacing w:after="0" w:line="206"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Exhibit 1</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Joint Filing Agreement, dated May 8, 2017, signed by each of the Reporting Persons (incorporated by reference to Exhibit 1 to the Schedule 13D filed by the Issuer with the Securities and Exchange Commission on May 8, 2017).</w:t>
      </w:r>
    </w:p>
    <w:p>
      <w:pPr>
        <w:spacing w:after="0" w:line="200" w:lineRule="exact"/>
        <w:rPr>
          <w:sz w:val="20"/>
          <w:szCs w:val="20"/>
          <w:color w:val="auto"/>
        </w:rPr>
      </w:pPr>
    </w:p>
    <w:p>
      <w:pPr>
        <w:sectPr>
          <w:pgSz w:w="11900" w:h="16838" w:orient="portrait"/>
          <w:cols w:equalWidth="0" w:num="2">
            <w:col w:w="2760" w:space="720"/>
            <w:col w:w="7760"/>
          </w:cols>
          <w:pgMar w:left="320" w:top="1387" w:right="339" w:bottom="1440" w:gutter="0" w:footer="0" w:header="0"/>
          <w:type w:val="continuous"/>
        </w:sectPr>
      </w:pPr>
    </w:p>
    <w:p>
      <w:pPr>
        <w:spacing w:after="0" w:line="13"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Exhibit 2</w:t>
      </w:r>
    </w:p>
    <w:p>
      <w:pPr>
        <w:spacing w:after="0" w:line="20" w:lineRule="exact"/>
        <w:rPr>
          <w:sz w:val="20"/>
          <w:szCs w:val="20"/>
          <w:color w:val="auto"/>
        </w:rPr>
      </w:pPr>
      <w:r>
        <w:rPr>
          <w:sz w:val="20"/>
          <w:szCs w:val="20"/>
          <w:color w:val="auto"/>
        </w:rPr>
        <w:br w:type="column"/>
      </w:r>
    </w:p>
    <w:p>
      <w:pPr>
        <w:jc w:val="both"/>
        <w:ind w:right="100"/>
        <w:spacing w:after="0" w:line="238" w:lineRule="auto"/>
        <w:rPr>
          <w:sz w:val="20"/>
          <w:szCs w:val="20"/>
          <w:color w:val="auto"/>
        </w:rPr>
      </w:pPr>
      <w:r>
        <w:rPr>
          <w:rFonts w:ascii="Arial" w:cs="Arial" w:eastAsia="Arial" w:hAnsi="Arial"/>
          <w:sz w:val="22"/>
          <w:szCs w:val="22"/>
          <w:color w:val="auto"/>
        </w:rPr>
        <w:t>Securities Purchase Agreement, dated as of July 17, 2020, by and among Verona Pharma plc, Abingworth Bioventures VI, LP and the investors thereto (incorporated by reference to Exhibit 1 to the Form 6-K filed by the Issuer with the Securities and Exchange Commission on July 22, 2020).</w:t>
      </w:r>
    </w:p>
    <w:p>
      <w:pPr>
        <w:spacing w:after="0" w:line="200" w:lineRule="exact"/>
        <w:rPr>
          <w:sz w:val="20"/>
          <w:szCs w:val="20"/>
          <w:color w:val="auto"/>
        </w:rPr>
      </w:pPr>
    </w:p>
    <w:p>
      <w:pPr>
        <w:sectPr>
          <w:pgSz w:w="11900" w:h="16838" w:orient="portrait"/>
          <w:cols w:equalWidth="0" w:num="2">
            <w:col w:w="2760" w:space="720"/>
            <w:col w:w="7760"/>
          </w:cols>
          <w:pgMar w:left="320" w:top="1387" w:right="339" w:bottom="1440" w:gutter="0" w:footer="0" w:header="0"/>
          <w:type w:val="continuous"/>
        </w:sectPr>
      </w:pPr>
    </w:p>
    <w:p>
      <w:pPr>
        <w:spacing w:after="0" w:line="12"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Exhibit 3</w:t>
      </w:r>
    </w:p>
    <w:p>
      <w:pPr>
        <w:spacing w:after="0" w:line="20" w:lineRule="exact"/>
        <w:rPr>
          <w:sz w:val="20"/>
          <w:szCs w:val="20"/>
          <w:color w:val="auto"/>
        </w:rPr>
      </w:pPr>
      <w:r>
        <w:rPr>
          <w:sz w:val="20"/>
          <w:szCs w:val="20"/>
          <w:color w:val="auto"/>
        </w:rPr>
        <w:br w:type="column"/>
      </w:r>
    </w:p>
    <w:p>
      <w:pPr>
        <w:jc w:val="both"/>
        <w:ind w:right="100"/>
        <w:spacing w:after="0" w:line="238" w:lineRule="auto"/>
        <w:rPr>
          <w:sz w:val="20"/>
          <w:szCs w:val="20"/>
          <w:color w:val="auto"/>
        </w:rPr>
      </w:pPr>
      <w:r>
        <w:rPr>
          <w:rFonts w:ascii="Arial" w:cs="Arial" w:eastAsia="Arial" w:hAnsi="Arial"/>
          <w:sz w:val="22"/>
          <w:szCs w:val="22"/>
          <w:color w:val="auto"/>
        </w:rPr>
        <w:t>Registration Rights Agreement, dated as of July 17, 2020, among Verona Pharma plc, Abingworth Bioventures VI, LP and the other investors party thereto (incorporated by reference to Exhibit 2 to the Form 6-K filed by the Issuer with the Securities and Exchange Commission on July 22, 2020).</w:t>
      </w:r>
    </w:p>
    <w:p>
      <w:pPr>
        <w:sectPr>
          <w:pgSz w:w="11900" w:h="16838" w:orient="portrait"/>
          <w:cols w:equalWidth="0" w:num="2">
            <w:col w:w="2760" w:space="720"/>
            <w:col w:w="7760"/>
          </w:cols>
          <w:pgMar w:left="320" w:top="1387"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u w:val="single" w:color="auto"/>
          <w:color w:val="auto"/>
        </w:rPr>
        <w:t>Signature</w:t>
      </w:r>
    </w:p>
    <w:p>
      <w:pPr>
        <w:spacing w:after="0" w:line="200" w:lineRule="exact"/>
        <w:rPr>
          <w:sz w:val="20"/>
          <w:szCs w:val="20"/>
          <w:color w:val="auto"/>
        </w:rPr>
      </w:pPr>
    </w:p>
    <w:p>
      <w:pPr>
        <w:spacing w:after="0" w:line="21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Dated: July 31, 2020</w:t>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ABINGWORTH BIOVENTURES VI, LP</w:t>
      </w:r>
    </w:p>
    <w:p>
      <w:pPr>
        <w:spacing w:after="0" w:line="239" w:lineRule="exact"/>
        <w:rPr>
          <w:sz w:val="20"/>
          <w:szCs w:val="20"/>
          <w:color w:val="auto"/>
        </w:rPr>
      </w:pPr>
    </w:p>
    <w:p>
      <w:pPr>
        <w:ind w:left="5040"/>
        <w:spacing w:after="0"/>
        <w:tabs>
          <w:tab w:leader="none" w:pos="5560" w:val="left"/>
        </w:tabs>
        <w:rPr>
          <w:sz w:val="20"/>
          <w:szCs w:val="20"/>
          <w:color w:val="auto"/>
        </w:rPr>
      </w:pPr>
      <w:r>
        <w:rPr>
          <w:rFonts w:ascii="Arial" w:cs="Arial" w:eastAsia="Arial" w:hAnsi="Arial"/>
          <w:sz w:val="22"/>
          <w:szCs w:val="22"/>
          <w:color w:val="auto"/>
        </w:rPr>
        <w:t>By:</w:t>
        <w:tab/>
        <w:t>Abingworth LLP, its Manager</w:t>
      </w:r>
    </w:p>
    <w:p>
      <w:pPr>
        <w:spacing w:after="0" w:line="200" w:lineRule="exact"/>
        <w:rPr>
          <w:sz w:val="20"/>
          <w:szCs w:val="20"/>
          <w:color w:val="auto"/>
        </w:rPr>
      </w:pPr>
    </w:p>
    <w:p>
      <w:pPr>
        <w:spacing w:after="0" w:line="276" w:lineRule="exact"/>
        <w:rPr>
          <w:sz w:val="20"/>
          <w:szCs w:val="20"/>
          <w:color w:val="auto"/>
        </w:rPr>
      </w:pPr>
    </w:p>
    <w:p>
      <w:pPr>
        <w:ind w:left="5040"/>
        <w:spacing w:after="0"/>
        <w:tabs>
          <w:tab w:leader="none" w:pos="5560" w:val="left"/>
        </w:tabs>
        <w:rPr>
          <w:sz w:val="20"/>
          <w:szCs w:val="20"/>
          <w:color w:val="auto"/>
        </w:rPr>
      </w:pPr>
      <w:r>
        <w:rPr>
          <w:rFonts w:ascii="Arial" w:cs="Arial" w:eastAsia="Arial" w:hAnsi="Arial"/>
          <w:sz w:val="22"/>
          <w:szCs w:val="22"/>
          <w:color w:val="auto"/>
        </w:rPr>
        <w:t>By:</w:t>
        <w:tab/>
        <w:t>/s/ John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6985</wp:posOffset>
            </wp:positionV>
            <wp:extent cx="34886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22"/>
          <w:szCs w:val="22"/>
          <w:color w:val="auto"/>
        </w:rPr>
        <w:t>Name: John Heard</w:t>
      </w:r>
    </w:p>
    <w:p>
      <w:pPr>
        <w:ind w:left="55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52"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ABINGWORTH LLP</w:t>
      </w:r>
    </w:p>
    <w:p>
      <w:pPr>
        <w:spacing w:after="0" w:line="200" w:lineRule="exact"/>
        <w:rPr>
          <w:sz w:val="20"/>
          <w:szCs w:val="20"/>
          <w:color w:val="auto"/>
        </w:rPr>
      </w:pPr>
    </w:p>
    <w:p>
      <w:pPr>
        <w:spacing w:after="0" w:line="282" w:lineRule="exact"/>
        <w:rPr>
          <w:sz w:val="20"/>
          <w:szCs w:val="20"/>
          <w:color w:val="auto"/>
        </w:rPr>
      </w:pPr>
    </w:p>
    <w:p>
      <w:pPr>
        <w:ind w:left="5040"/>
        <w:spacing w:after="0"/>
        <w:tabs>
          <w:tab w:leader="none" w:pos="5560" w:val="left"/>
        </w:tabs>
        <w:rPr>
          <w:sz w:val="20"/>
          <w:szCs w:val="20"/>
          <w:color w:val="auto"/>
        </w:rPr>
      </w:pPr>
      <w:r>
        <w:rPr>
          <w:rFonts w:ascii="Arial" w:cs="Arial" w:eastAsia="Arial" w:hAnsi="Arial"/>
          <w:sz w:val="22"/>
          <w:szCs w:val="22"/>
          <w:color w:val="auto"/>
        </w:rPr>
        <w:t>By:</w:t>
        <w:tab/>
        <w:t>/s/ John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6985</wp:posOffset>
            </wp:positionV>
            <wp:extent cx="3488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22"/>
          <w:szCs w:val="22"/>
          <w:color w:val="auto"/>
        </w:rPr>
        <w:t>Name: John Heard</w:t>
      </w:r>
    </w:p>
    <w:p>
      <w:pPr>
        <w:ind w:left="55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Attention: Intentional misstatements or omissions of fact constitute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Federal criminal violations (See 18 U.S.C. 1001).</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6"/>
    </w:lvl>
  </w:abstractNum>
  <w:abstractNum w:abstractNumId="3">
    <w:nsid w:val="2EB141F2"/>
    <w:multiLevelType w:val="hybridMultilevel"/>
    <w:lvl w:ilvl="0">
      <w:lvlJc w:val="left"/>
      <w:lvlText w:val="%1."/>
      <w:numFmt w:val="decimal"/>
      <w:start w:val="13"/>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2020-07-31T15:07:36Z</dcterms:created>
  <dcterms:modified xsi:type="dcterms:W3CDTF">2020-07-31T15:07:36Z</dcterms:modified>
</cp:coreProperties>
</file>