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1271905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4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39"/>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286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N/A</w:t>
            </w: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60" w:type="dxa"/>
            <w:vAlign w:val="bottom"/>
          </w:tcPr>
          <w:p>
            <w:pPr>
              <w:spacing w:after="0"/>
              <w:rPr>
                <w:sz w:val="20"/>
                <w:szCs w:val="20"/>
                <w:color w:val="auto"/>
              </w:rPr>
            </w:pPr>
          </w:p>
        </w:tc>
      </w:tr>
      <w:tr>
        <w:trPr>
          <w:trHeight w:val="243"/>
        </w:trPr>
        <w:tc>
          <w:tcPr>
            <w:tcW w:w="308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6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rFonts w:ascii="MS PGothic" w:cs="MS PGothic" w:eastAsia="MS PGothic" w:hAnsi="MS PGothic"/>
          <w:sz w:val="18"/>
          <w:szCs w:val="18"/>
          <w:color w:val="auto"/>
        </w:rPr>
      </w:pPr>
    </w:p>
    <w:p>
      <w:pPr>
        <w:spacing w:after="0" w:line="250"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1440" w:right="339" w:bottom="73" w:gutter="0" w:footer="0" w:header="0"/>
        </w:sectPr>
      </w:pPr>
    </w:p>
    <w:bookmarkStart w:id="1" w:name="page2"/>
    <w:bookmarkEnd w:id="1"/>
    <w:tbl>
      <w:tblPr>
        <w:tblLayout w:type="fixed"/>
        <w:tblInd w:w="130" w:type="dxa"/>
        <w:tblCellMar>
          <w:top w:w="0" w:type="dxa"/>
          <w:left w:w="0" w:type="dxa"/>
          <w:bottom w:w="0" w:type="dxa"/>
          <w:right w:w="0" w:type="dxa"/>
        </w:tblCellMar>
      </w:tblPr>
      <w:tr>
        <w:trPr>
          <w:trHeight w:val="238"/>
        </w:trPr>
        <w:tc>
          <w:tcPr>
            <w:tcW w:w="3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18"/>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nominal value £0.05</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VRNA</w:t>
            </w: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 share*</w:t>
            </w: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398" w:lineRule="exact"/>
        <w:rPr>
          <w:sz w:val="20"/>
          <w:szCs w:val="20"/>
          <w:color w:val="auto"/>
        </w:rPr>
      </w:pPr>
    </w:p>
    <w:p>
      <w:pPr>
        <w:ind w:right="480" w:firstLine="8"/>
        <w:spacing w:after="0" w:line="284" w:lineRule="auto"/>
        <w:tabs>
          <w:tab w:leader="none" w:pos="13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6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8"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75" w:lineRule="exact"/>
        <w:rPr>
          <w:sz w:val="20"/>
          <w:szCs w:val="20"/>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2" w:name="page3"/>
    <w:bookmarkEnd w:id="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29, 2024, Verona Pharma plc announced its financial results for the year ended December 31, 2023. The full text of the press release issued in connection with the announcement is furnished as Exhibit 99.1 to this Current Report on Form 8-K.</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shall be deemed to be furnished, and not filed:</w:t>
      </w: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5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08" w:lineRule="exact"/>
        <w:rPr>
          <w:sz w:val="20"/>
          <w:szCs w:val="20"/>
          <w:color w:val="auto"/>
        </w:rPr>
      </w:pPr>
    </w:p>
    <w:p>
      <w:pPr>
        <w:ind w:left="32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issued on February 29, 2024</w:t>
      </w:r>
    </w:p>
    <w:p>
      <w:pPr>
        <w:spacing w:after="0" w:line="63"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0" w:type="dxa"/>
            <w:vAlign w:val="bottom"/>
          </w:tcPr>
          <w:p>
            <w:pPr>
              <w:spacing w:after="0"/>
              <w:rPr>
                <w:sz w:val="1"/>
                <w:szCs w:val="1"/>
                <w:color w:val="auto"/>
              </w:rPr>
            </w:pPr>
          </w:p>
        </w:tc>
      </w:tr>
      <w:tr>
        <w:trPr>
          <w:trHeight w:val="54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David Zaccardelli, Pharm. D.</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62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David Zaccardelli, Pharm. D.</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5531485</wp:posOffset>
            </wp:positionH>
            <wp:positionV relativeFrom="page">
              <wp:posOffset>243205</wp:posOffset>
            </wp:positionV>
            <wp:extent cx="1808480" cy="874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0848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line="253" w:lineRule="auto"/>
        <w:rPr>
          <w:sz w:val="20"/>
          <w:szCs w:val="20"/>
          <w:color w:val="auto"/>
        </w:rPr>
      </w:pPr>
      <w:r>
        <w:rPr>
          <w:rFonts w:ascii="Arial" w:cs="Arial" w:eastAsia="Arial" w:hAnsi="Arial"/>
          <w:sz w:val="25"/>
          <w:szCs w:val="25"/>
          <w:b w:val="1"/>
          <w:bCs w:val="1"/>
          <w:color w:val="auto"/>
        </w:rPr>
        <w:t>Verona Pharma Reports Fourth Quarter and Full Year 2023 Financial Results and Provides Corporate Update</w:t>
      </w:r>
    </w:p>
    <w:p>
      <w:pPr>
        <w:spacing w:after="0" w:line="107" w:lineRule="exact"/>
        <w:rPr>
          <w:sz w:val="20"/>
          <w:szCs w:val="20"/>
          <w:color w:val="auto"/>
        </w:rPr>
      </w:pPr>
    </w:p>
    <w:p>
      <w:pPr>
        <w:jc w:val="center"/>
        <w:ind w:left="340" w:right="2120"/>
        <w:spacing w:after="0" w:line="317" w:lineRule="auto"/>
        <w:rPr>
          <w:sz w:val="20"/>
          <w:szCs w:val="20"/>
          <w:color w:val="auto"/>
        </w:rPr>
      </w:pPr>
      <w:r>
        <w:rPr>
          <w:rFonts w:ascii="Arial" w:cs="Arial" w:eastAsia="Arial" w:hAnsi="Arial"/>
          <w:sz w:val="22"/>
          <w:szCs w:val="22"/>
          <w:i w:val="1"/>
          <w:iCs w:val="1"/>
          <w:color w:val="auto"/>
        </w:rPr>
        <w:t>PDUFA Target Action Date for ensifentrine of June 26, 2024 Commercialization preparations advance Strong balance sheet supports commercialization and Company's growth Conference call today at 9:00 a.m. EST / 2:00 p.m. GMT</w:t>
      </w:r>
    </w:p>
    <w:p>
      <w:pPr>
        <w:spacing w:after="0" w:line="313" w:lineRule="exact"/>
        <w:rPr>
          <w:sz w:val="20"/>
          <w:szCs w:val="20"/>
          <w:color w:val="auto"/>
        </w:rPr>
      </w:pPr>
    </w:p>
    <w:p>
      <w:pPr>
        <w:jc w:val="both"/>
        <w:spacing w:after="0" w:line="226" w:lineRule="auto"/>
        <w:rPr>
          <w:sz w:val="20"/>
          <w:szCs w:val="20"/>
          <w:color w:val="auto"/>
        </w:rPr>
      </w:pPr>
      <w:r>
        <w:rPr>
          <w:rFonts w:ascii="Arial" w:cs="Arial" w:eastAsia="Arial" w:hAnsi="Arial"/>
          <w:sz w:val="19"/>
          <w:szCs w:val="19"/>
          <w:b w:val="1"/>
          <w:bCs w:val="1"/>
          <w:color w:val="auto"/>
        </w:rPr>
        <w:t xml:space="preserve">LONDON and RALEIGH, N.C., February 29, 2024 </w:t>
      </w:r>
      <w:r>
        <w:rPr>
          <w:rFonts w:ascii="Arial" w:cs="Arial" w:eastAsia="Arial" w:hAnsi="Arial"/>
          <w:sz w:val="19"/>
          <w:szCs w:val="19"/>
          <w:color w:val="auto"/>
        </w:rPr>
        <w:t>– Verona Pharma plc (Nasdaq: VRNA) (“Verona Pharma” 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 clinical-stage biopharmaceutical company focused on respiratory diseases, announces its financial results for the</w:t>
      </w:r>
    </w:p>
    <w:p>
      <w:pPr>
        <w:spacing w:after="0"/>
        <w:rPr>
          <w:sz w:val="20"/>
          <w:szCs w:val="20"/>
          <w:color w:val="auto"/>
        </w:rPr>
      </w:pPr>
      <w:r>
        <w:rPr>
          <w:rFonts w:ascii="Arial" w:cs="Arial" w:eastAsia="Arial" w:hAnsi="Arial"/>
          <w:sz w:val="20"/>
          <w:szCs w:val="20"/>
          <w:color w:val="auto"/>
        </w:rPr>
        <w:t>fourth quarter and full year ended December 31, 2023, and provides a corporate update.</w:t>
      </w:r>
    </w:p>
    <w:p>
      <w:pPr>
        <w:spacing w:after="0" w:line="63"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“2023 was a pivotal year for Verona Pharma with the acceptance of our New Drug Application ("NDA") for review by the US Food and Drug Administration ("FDA") and continued advancement of our commercialization strategy in preparation for the US</w:t>
      </w:r>
    </w:p>
    <w:p>
      <w:pPr>
        <w:spacing w:after="0" w:line="212" w:lineRule="auto"/>
        <w:rPr>
          <w:sz w:val="20"/>
          <w:szCs w:val="20"/>
          <w:color w:val="auto"/>
        </w:rPr>
      </w:pPr>
      <w:r>
        <w:rPr>
          <w:rFonts w:ascii="Arial" w:cs="Arial" w:eastAsia="Arial" w:hAnsi="Arial"/>
          <w:sz w:val="20"/>
          <w:szCs w:val="20"/>
          <w:color w:val="auto"/>
        </w:rPr>
        <w:t>launch of ensifentrine, if approved,” said David Zaccardelli, Pharm. D., President and Chief Executive Officer. "In August, the</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FDA accepted for review our NDA seeking approval of ensifentrine for the maintenance treatment of patients with chronic obstructive pulmonary disease ("COPD") and assigned a Prescription Drug User Fee Act ("PDUFA") target action date of June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26, 2024.</w:t>
      </w:r>
    </w:p>
    <w:p>
      <w:pPr>
        <w:spacing w:after="0" w:line="63"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“The NDA acceptance brings us closer to our goal of delivering ensifentrine to the millions of patients suffering from COPD. If approved, ensifentrine is expected to be the first novel inhaled mechanism available for the treatment of COPD in more than 20</w:t>
      </w:r>
    </w:p>
    <w:p>
      <w:pPr>
        <w:spacing w:after="0" w:line="212" w:lineRule="auto"/>
        <w:rPr>
          <w:sz w:val="20"/>
          <w:szCs w:val="20"/>
          <w:color w:val="auto"/>
        </w:rPr>
      </w:pPr>
      <w:r>
        <w:rPr>
          <w:rFonts w:ascii="Arial" w:cs="Arial" w:eastAsia="Arial" w:hAnsi="Arial"/>
          <w:sz w:val="20"/>
          <w:szCs w:val="20"/>
          <w:color w:val="auto"/>
        </w:rPr>
        <w:t>years. Supported by the results from our ENHANCE (“Ensifentrine as a Novel inHAled Nebulized COPD thErapy”) trials, we</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believe ensifentrine's bronchodilator and non-steroidal anti-inflammatory activity has the potential to change the treatment paradigm for COPD.</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“While we remain focused on the US commercialization efforts for ensifentrine, we progressed development of two new</w:t>
      </w:r>
    </w:p>
    <w:p>
      <w:pPr>
        <w:jc w:val="both"/>
        <w:spacing w:after="0" w:line="204" w:lineRule="auto"/>
        <w:rPr>
          <w:sz w:val="20"/>
          <w:szCs w:val="20"/>
          <w:color w:val="auto"/>
        </w:rPr>
      </w:pPr>
      <w:r>
        <w:rPr>
          <w:rFonts w:ascii="Arial" w:cs="Arial" w:eastAsia="Arial" w:hAnsi="Arial"/>
          <w:sz w:val="20"/>
          <w:szCs w:val="20"/>
          <w:color w:val="auto"/>
        </w:rPr>
        <w:t>programs: a fixed-dose combination formulation with ensifentrine and glycopyrrolate, a long-acting muscarinic antagonist (“LAMA”), for the maintenance treatment of patients with COPD via a nebulizer and a potential second indication for nebulized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ensifentrine for the treatment of non-cystic fibrosis bronchiectasis (“NCFBE”).</w:t>
      </w:r>
    </w:p>
    <w:p>
      <w:pPr>
        <w:spacing w:after="0" w:line="63"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“To support our commercialization activities and continued pipeline expansion, we enhanced our financial flexibility through a $400 million debt financing facility in December. We expect this facility, along with our existing cash, to support Verona Pharma's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growth including the commercialization of ensifentrine, if approved, through at least 2026.</w:t>
      </w:r>
    </w:p>
    <w:p>
      <w:pPr>
        <w:spacing w:after="0" w:line="63" w:lineRule="exact"/>
        <w:rPr>
          <w:sz w:val="20"/>
          <w:szCs w:val="20"/>
          <w:color w:val="auto"/>
        </w:rPr>
      </w:pPr>
    </w:p>
    <w:p>
      <w:pPr>
        <w:jc w:val="both"/>
        <w:ind w:right="20"/>
        <w:spacing w:after="0" w:line="213" w:lineRule="auto"/>
        <w:rPr>
          <w:sz w:val="20"/>
          <w:szCs w:val="20"/>
          <w:color w:val="auto"/>
        </w:rPr>
      </w:pPr>
      <w:r>
        <w:rPr>
          <w:rFonts w:ascii="Arial" w:cs="Arial" w:eastAsia="Arial" w:hAnsi="Arial"/>
          <w:sz w:val="20"/>
          <w:szCs w:val="20"/>
          <w:color w:val="auto"/>
        </w:rPr>
        <w:t>“Alongside our progress in 2023, our development partner Nuance Pharma continued to enroll patients into a pivotal Phase 3 trial evaluating ensifentrine for the maintenance treatment of COPD in China. Nuance Pharma are developing and, if approved,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will commercialize ensifentrine in Greater China and we look forward to providing future updates.</w:t>
      </w:r>
    </w:p>
    <w:p>
      <w:pPr>
        <w:spacing w:after="0" w:line="4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“We expect 2024 to be a transformational year for Verona Pharma. We are finalizing our US launch preparations and look forward to commercializing ensifentrine in the second half of 2024, if approved. We also look forward to continued progress on our development programs as we work to build-out our pipeline.”</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Updates and Key Milestones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The Company’s near-term milestones include:</w:t>
      </w:r>
    </w:p>
    <w:p>
      <w:pPr>
        <w:sectPr>
          <w:pgSz w:w="11900" w:h="16838" w:orient="portrait"/>
          <w:cols w:equalWidth="0" w:num="1">
            <w:col w:w="11240"/>
          </w:cols>
          <w:pgMar w:left="320" w:top="1440" w:right="339" w:bottom="1440" w:gutter="0" w:footer="0" w:header="0"/>
        </w:sectPr>
      </w:pPr>
    </w:p>
    <w:bookmarkStart w:id="5" w:name="page6"/>
    <w:bookmarkEnd w:id="5"/>
    <w:p>
      <w:pPr>
        <w:jc w:val="both"/>
        <w:ind w:left="660" w:hanging="328"/>
        <w:spacing w:after="0" w:line="22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FDA has assigned a PDUFA target action date of June 26, 2024 and notified the Company that it is not currently planning to hold an advisory committee meeting to discuss the application. If approved, the Company intends to launch ensifentrine in the US market in the second half of 2024.</w:t>
      </w:r>
    </w:p>
    <w:p>
      <w:pPr>
        <w:spacing w:after="0" w:line="49" w:lineRule="exact"/>
        <w:rPr>
          <w:rFonts w:ascii="Arial" w:cs="Arial" w:eastAsia="Arial" w:hAnsi="Arial"/>
          <w:sz w:val="20"/>
          <w:szCs w:val="20"/>
          <w:color w:val="auto"/>
        </w:rPr>
      </w:pPr>
    </w:p>
    <w:p>
      <w:pPr>
        <w:jc w:val="both"/>
        <w:ind w:left="660" w:hanging="328"/>
        <w:spacing w:after="0" w:line="22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the first half of 2024, the Company will work to finalize key launch activities including pricing, distribution and patient services, healthcare professional and patient engagement plans. Additionally, Verona's disease awareness campaign, titled "Unspoken COPD," will continue to highlight to key healthcare providers the burden of COPD for patients.</w:t>
      </w:r>
    </w:p>
    <w:p>
      <w:pPr>
        <w:spacing w:after="0" w:line="62" w:lineRule="exact"/>
        <w:rPr>
          <w:rFonts w:ascii="Arial" w:cs="Arial" w:eastAsia="Arial" w:hAnsi="Arial"/>
          <w:sz w:val="20"/>
          <w:szCs w:val="20"/>
          <w:color w:val="auto"/>
        </w:rPr>
      </w:pPr>
    </w:p>
    <w:p>
      <w:pPr>
        <w:jc w:val="both"/>
        <w:ind w:left="660" w:hanging="328"/>
        <w:spacing w:after="0"/>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 is developing a fixed-dose combination formulation with ensifentrine and glycopyrrolate, a LAMA, for the maintenance treatment of patients with COPD via delivery in a nebulizer. Following development activities to confirm a feasible formulation, in the second half of 2024, the Company plans to submit an investigational new drug application (“IND”) to the FDA and, subject to clearance, initiate a Phase 2 clinical trial assessing the safety and efficacy of the fixed-dose combination formulation in COPD patients.</w:t>
      </w:r>
    </w:p>
    <w:p>
      <w:pPr>
        <w:spacing w:after="0" w:line="51" w:lineRule="exact"/>
        <w:rPr>
          <w:rFonts w:ascii="Arial" w:cs="Arial" w:eastAsia="Arial" w:hAnsi="Arial"/>
          <w:sz w:val="20"/>
          <w:szCs w:val="20"/>
          <w:color w:val="auto"/>
        </w:rPr>
      </w:pPr>
    </w:p>
    <w:p>
      <w:pPr>
        <w:ind w:left="660" w:hanging="328"/>
        <w:spacing w:after="0" w:line="243"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the second half of 2024, the Company plans to commence a Phase 2 clinical trial to assess the efficacy and safety of nebulized ensifentrine in patients with NCFBE, subject to clearance by the FDA.</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232323"/>
        </w:rPr>
        <w:t>Fourth Quarter and Recent Highlights</w:t>
      </w:r>
    </w:p>
    <w:p>
      <w:pPr>
        <w:spacing w:after="0" w:line="83" w:lineRule="exact"/>
        <w:rPr>
          <w:sz w:val="20"/>
          <w:szCs w:val="20"/>
          <w:color w:val="auto"/>
        </w:rPr>
      </w:pPr>
    </w:p>
    <w:p>
      <w:pPr>
        <w:jc w:val="both"/>
        <w:ind w:left="660" w:hanging="328"/>
        <w:spacing w:after="0" w:line="217"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October 2023, the Company gave four presentations on pooled and subgroup post hoc analyses from the ENHANCE trials evaluating ensifentrine in COPD covering data related to exacerbations, lung function, symptoms and quality of life endpoints, and use of daily rescue medication, at CHEST Annual Meeting 2023. Also at CHEST, the Company launched the “Unspoken COPD” disease awareness campaign, highlighting how many COPD patients struggle to talk about their condition.</w:t>
      </w:r>
    </w:p>
    <w:p>
      <w:pPr>
        <w:spacing w:after="0" w:line="53" w:lineRule="exact"/>
        <w:rPr>
          <w:rFonts w:ascii="Arial" w:cs="Arial" w:eastAsia="Arial" w:hAnsi="Arial"/>
          <w:sz w:val="20"/>
          <w:szCs w:val="20"/>
          <w:color w:val="auto"/>
        </w:rPr>
      </w:pPr>
    </w:p>
    <w:p>
      <w:pPr>
        <w:jc w:val="both"/>
        <w:ind w:left="660" w:hanging="328"/>
        <w:spacing w:after="0" w:line="227"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Also in October 2023, the Company presented an update on key launch preparations including the overall market opportunity for ensifentrine, if approved, the finalization of sales force deployment strategy, Hub services and distribution pathway, as well as internal infrastructure needed to support the commercialization of ensifentrine.</w:t>
      </w:r>
    </w:p>
    <w:p>
      <w:pPr>
        <w:spacing w:after="0" w:line="49" w:lineRule="exact"/>
        <w:rPr>
          <w:rFonts w:ascii="Arial" w:cs="Arial" w:eastAsia="Arial" w:hAnsi="Arial"/>
          <w:sz w:val="20"/>
          <w:szCs w:val="20"/>
          <w:color w:val="auto"/>
        </w:rPr>
      </w:pPr>
    </w:p>
    <w:p>
      <w:pPr>
        <w:jc w:val="both"/>
        <w:ind w:left="660" w:hanging="328"/>
        <w:spacing w:after="0" w:line="21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December 2023, the Company completed a debt facility providing access to up to $400 million from funds managed by Oxford Finance and Hercules Capital. The debt facility provides non-dilutive capital and further financial flexibility to support Verona Pharma’s continued growth, including the commercialization of ensifentrine. The Company drew $50 million at closing, a portion of which was used to repay amounts outstanding under the previous $150 million debt facility with Oxford, and the remainder is available upon achievement of certain regulatory and commercial milestones and other conditions.</w:t>
      </w:r>
    </w:p>
    <w:p>
      <w:pPr>
        <w:spacing w:after="0" w:line="54" w:lineRule="exact"/>
        <w:rPr>
          <w:rFonts w:ascii="Arial" w:cs="Arial" w:eastAsia="Arial" w:hAnsi="Arial"/>
          <w:sz w:val="20"/>
          <w:szCs w:val="20"/>
          <w:color w:val="auto"/>
        </w:rPr>
      </w:pPr>
    </w:p>
    <w:p>
      <w:pPr>
        <w:jc w:val="both"/>
        <w:ind w:left="660" w:hanging="328"/>
        <w:spacing w:after="0" w:line="228" w:lineRule="auto"/>
        <w:tabs>
          <w:tab w:leader="none" w:pos="648" w:val="left"/>
        </w:tabs>
        <w:numPr>
          <w:ilvl w:val="0"/>
          <w:numId w:val="4"/>
        </w:numPr>
        <w:rPr>
          <w:rFonts w:ascii="Arial" w:cs="Arial" w:eastAsia="Arial" w:hAnsi="Arial"/>
          <w:sz w:val="19"/>
          <w:szCs w:val="19"/>
          <w:color w:val="auto"/>
        </w:rPr>
      </w:pPr>
      <w:r>
        <w:rPr>
          <w:rFonts w:ascii="Arial" w:cs="Arial" w:eastAsia="Arial" w:hAnsi="Arial"/>
          <w:sz w:val="19"/>
          <w:szCs w:val="19"/>
          <w:color w:val="auto"/>
        </w:rPr>
        <w:t>In February 2024, Michael Austwick joined the board as a Non-Executive Director and Rishi Gupta stepped down from the board after 7 years of service. Mr. Austwick brings a wealth of strategic and operational experience in the biopharmaceutical industry including more than 15 years of respiratory expertise in leadership roles across the US, China, Europe and Japan. Most recently, he served as CEO at Vectura, and previously as Nordic General Manager and Head of the Global Respiratory Franchise at Novartis and as Head of US Respiratory and Vice President Global Inhaled Respiratory at AstraZeneca. Mr. Austwick has led the development and commercialization of more than 10 brands.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2023 Financial Results</w:t>
      </w:r>
    </w:p>
    <w:p>
      <w:pPr>
        <w:spacing w:after="0" w:line="81" w:lineRule="exact"/>
        <w:rPr>
          <w:sz w:val="20"/>
          <w:szCs w:val="20"/>
          <w:color w:val="auto"/>
        </w:rPr>
      </w:pPr>
    </w:p>
    <w:p>
      <w:pPr>
        <w:jc w:val="both"/>
        <w:ind w:left="660" w:hanging="328"/>
        <w:spacing w:after="0" w:line="221" w:lineRule="auto"/>
        <w:tabs>
          <w:tab w:leader="none" w:pos="655"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at December 31, 2023, were $271.8 million (December 31, 2022: $227.8</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The Company believes cash and cash equivalents at December 31, 2023, and funding expected to become available under the $400 million debt facility, will enable Verona Pharma to fund planned operating expenses and capital expenditure requirements through at least the end of 2026 including the commercial launch of ensifentrine in the US, if approved.</w:t>
      </w:r>
    </w:p>
    <w:p>
      <w:pPr>
        <w:spacing w:after="0" w:line="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9"/>
          <w:szCs w:val="19"/>
          <w:b w:val="1"/>
          <w:bCs w:val="1"/>
          <w:color w:val="auto"/>
        </w:rPr>
        <w:t xml:space="preserve">R&amp;D Expenses: </w:t>
      </w:r>
      <w:r>
        <w:rPr>
          <w:rFonts w:ascii="Arial" w:cs="Arial" w:eastAsia="Arial" w:hAnsi="Arial"/>
          <w:sz w:val="19"/>
          <w:szCs w:val="19"/>
          <w:color w:val="auto"/>
        </w:rPr>
        <w:t>Research and development (“R&amp;D”) expenses were $4.1 million for the fourth quarter ended December</w:t>
      </w:r>
    </w:p>
    <w:p>
      <w:pPr>
        <w:spacing w:after="0" w:line="4"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Arial" w:cs="Arial" w:eastAsia="Arial" w:hAnsi="Arial"/>
          <w:sz w:val="20"/>
          <w:szCs w:val="20"/>
          <w:color w:val="auto"/>
        </w:rPr>
        <w:t>31, 2023 (Q4 2022: $6.8 million). This decrease</w:t>
      </w:r>
    </w:p>
    <w:p>
      <w:pPr>
        <w:sectPr>
          <w:pgSz w:w="11900" w:h="16838" w:orient="portrait"/>
          <w:cols w:equalWidth="0" w:num="1">
            <w:col w:w="11240"/>
          </w:cols>
          <w:pgMar w:left="320" w:top="1400" w:right="339" w:bottom="1440" w:gutter="0" w:footer="0" w:header="0"/>
        </w:sectPr>
      </w:pPr>
    </w:p>
    <w:bookmarkStart w:id="6" w:name="page7"/>
    <w:bookmarkEnd w:id="6"/>
    <w:p>
      <w:pPr>
        <w:ind w:left="660" w:right="20"/>
        <w:spacing w:after="0" w:line="243" w:lineRule="auto"/>
        <w:rPr>
          <w:sz w:val="20"/>
          <w:szCs w:val="20"/>
          <w:color w:val="auto"/>
        </w:rPr>
      </w:pPr>
      <w:r>
        <w:rPr>
          <w:rFonts w:ascii="Arial" w:cs="Arial" w:eastAsia="Arial" w:hAnsi="Arial"/>
          <w:sz w:val="20"/>
          <w:szCs w:val="20"/>
          <w:color w:val="auto"/>
        </w:rPr>
        <w:t>of $2.7 million was primarily due to a $2.1 million decrease in clinical trial and other development costs as, in the prior year, the Company was incurring costs with the then ongoing Phase 3 ENHANCE program.</w:t>
      </w:r>
    </w:p>
    <w:p>
      <w:pPr>
        <w:spacing w:after="0" w:line="3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9"/>
          <w:szCs w:val="19"/>
          <w:b w:val="1"/>
          <w:bCs w:val="1"/>
          <w:color w:val="auto"/>
        </w:rPr>
        <w:t xml:space="preserve">SG&amp;A Expenses: </w:t>
      </w:r>
      <w:r>
        <w:rPr>
          <w:rFonts w:ascii="Arial" w:cs="Arial" w:eastAsia="Arial" w:hAnsi="Arial"/>
          <w:sz w:val="19"/>
          <w:szCs w:val="19"/>
          <w:color w:val="auto"/>
        </w:rPr>
        <w:t>Selling general and administrative expenses (“SG&amp;A”) were $15.0 million for the fourth quarter ended</w:t>
      </w:r>
    </w:p>
    <w:p>
      <w:pPr>
        <w:spacing w:after="0" w:line="4" w:lineRule="exact"/>
        <w:rPr>
          <w:rFonts w:ascii="Arial" w:cs="Arial" w:eastAsia="Arial" w:hAnsi="Arial"/>
          <w:sz w:val="17"/>
          <w:szCs w:val="17"/>
          <w:color w:val="auto"/>
        </w:rPr>
      </w:pPr>
    </w:p>
    <w:p>
      <w:pPr>
        <w:jc w:val="both"/>
        <w:ind w:left="660"/>
        <w:spacing w:after="0" w:line="218" w:lineRule="auto"/>
        <w:rPr>
          <w:rFonts w:ascii="Arial" w:cs="Arial" w:eastAsia="Arial" w:hAnsi="Arial"/>
          <w:sz w:val="17"/>
          <w:szCs w:val="17"/>
          <w:color w:val="auto"/>
        </w:rPr>
      </w:pPr>
      <w:r>
        <w:rPr>
          <w:rFonts w:ascii="Arial" w:cs="Arial" w:eastAsia="Arial" w:hAnsi="Arial"/>
          <w:sz w:val="20"/>
          <w:szCs w:val="20"/>
          <w:color w:val="auto"/>
        </w:rPr>
        <w:t>December 31, 2023 (Q4 2022: $8.3 million). The increase of $6.7 million was primarily due to a $3.2 million increase in people related costs, inclusive of share-based compensation, and an increase of $3.5 million related to the build-out of the commercial and information technology infrastructures in preparation for a potential commercial launch, marketing and market development expenses, travel and other corporate costs.</w:t>
      </w:r>
    </w:p>
    <w:p>
      <w:pPr>
        <w:spacing w:after="0" w:line="4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$14.1 million for the fourth quarter ended December 31, 2023 (Q4 2022: net loss $10.5 million).</w:t>
      </w:r>
    </w:p>
    <w:p>
      <w:pPr>
        <w:spacing w:after="0" w:line="10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Full Year 2023 Financial Results</w:t>
      </w:r>
    </w:p>
    <w:p>
      <w:pPr>
        <w:spacing w:after="0" w:line="80" w:lineRule="exact"/>
        <w:rPr>
          <w:rFonts w:ascii="Times New Roman" w:cs="Times New Roman" w:eastAsia="Times New Roman" w:hAnsi="Times New Roman"/>
          <w:sz w:val="18"/>
          <w:szCs w:val="18"/>
          <w:color w:val="auto"/>
        </w:rPr>
      </w:pPr>
    </w:p>
    <w:p>
      <w:pPr>
        <w:ind w:left="660" w:right="360" w:hanging="328"/>
        <w:spacing w:after="0" w:line="21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R&amp;D expenses were $17.2 million for the year ended December 31, 2023 (full year 2022: $49.3</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a decrease of $32.1 million. This decrease was primarily due to a $32.7 million decrease in clinical trial and other development costs as we incurred less costs under the Phase 3 ENHANCE program which completed study conduct and analysis in 2023 whereas in 2022 significant costs were incurred associated with the then ongoing study conduct.</w:t>
      </w:r>
    </w:p>
    <w:p>
      <w:pPr>
        <w:spacing w:after="0" w:line="49" w:lineRule="exact"/>
        <w:rPr>
          <w:rFonts w:ascii="Arial" w:cs="Arial" w:eastAsia="Arial" w:hAnsi="Arial"/>
          <w:sz w:val="18"/>
          <w:szCs w:val="18"/>
          <w:color w:val="auto"/>
        </w:rPr>
      </w:pPr>
    </w:p>
    <w:p>
      <w:pPr>
        <w:jc w:val="both"/>
        <w:ind w:left="660" w:hanging="328"/>
        <w:spacing w:after="0" w:line="21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SG&amp;A Expenses</w:t>
      </w:r>
      <w:r>
        <w:rPr>
          <w:rFonts w:ascii="Arial" w:cs="Arial" w:eastAsia="Arial" w:hAnsi="Arial"/>
          <w:sz w:val="20"/>
          <w:szCs w:val="20"/>
          <w:color w:val="auto"/>
        </w:rPr>
        <w:t>: SG&amp;A expenses were $50.4 million for the year ended December 31, 2023 (full year 2022: $26.6</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an increase of $23.8 million. This increase was driven primarily by a $15.6 million increase in people related costs, inclusive of share-based compensation, an increase of $9.7 million related to the build-out of the commercial and information technology infrastructures in preparation for a potential commercial launch, marketing and market development expenses, travel and other corporate costs.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$54.4 million for the year ended December 31, 2023 (full year 2022: $68.7 million).</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232" w:lineRule="auto"/>
        <w:rPr>
          <w:sz w:val="20"/>
          <w:szCs w:val="20"/>
          <w:color w:val="auto"/>
        </w:rPr>
      </w:pPr>
      <w:r>
        <w:rPr>
          <w:rFonts w:ascii="Arial" w:cs="Arial" w:eastAsia="Arial" w:hAnsi="Arial"/>
          <w:sz w:val="20"/>
          <w:szCs w:val="20"/>
          <w:color w:val="auto"/>
        </w:rPr>
        <w:t>Verona Pharma will host an investment community webcast and conference call at 9:00 a.m. EST / 2:00 p.m. GMT on Thursday, February 29, 2024, to discuss the fourth quarter and full year 2023 financial results and the corporate update.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To participate, please dial one of the following numbers and ask to join the Verona Pharma call:</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+1-833-816-1396 for callers in the United States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+1-412-317-0489 for international callers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A live webcast will be available on the Events and Presentations link on the Investors page of the Company's website,</w:t>
      </w:r>
    </w:p>
    <w:p>
      <w:pPr>
        <w:ind w:right="20"/>
        <w:spacing w:after="0" w:line="225" w:lineRule="auto"/>
        <w:rPr>
          <w:sz w:val="20"/>
          <w:szCs w:val="20"/>
          <w:color w:val="auto"/>
        </w:rPr>
      </w:pPr>
      <w:r>
        <w:rPr>
          <w:rFonts w:ascii="Arial" w:cs="Arial" w:eastAsia="Arial" w:hAnsi="Arial"/>
          <w:sz w:val="20"/>
          <w:szCs w:val="20"/>
          <w:color w:val="auto"/>
        </w:rPr>
        <w:t>www.veronapharma.com, and the audio replay will be available for 90 days. An electronic copy of the fourth quarter and full year 2023 results press release will also be made available today on the Company’s website.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6260" w:type="dxa"/>
            <w:vAlign w:val="bottom"/>
            <w:tcBorders>
              <w:top w:val="single" w:sz="8" w:color="CFCFCF"/>
              <w:left w:val="single" w:sz="8" w:color="CFCFCF"/>
              <w:right w:val="single" w:sz="8" w:color="CFCFCF"/>
            </w:tcBorders>
          </w:tcPr>
          <w:p>
            <w:pPr>
              <w:ind w:left="40"/>
              <w:spacing w:after="0"/>
              <w:rPr>
                <w:sz w:val="20"/>
                <w:szCs w:val="20"/>
                <w:color w:val="auto"/>
              </w:rPr>
            </w:pPr>
            <w:r>
              <w:rPr>
                <w:rFonts w:ascii="Arial" w:cs="Arial" w:eastAsia="Arial" w:hAnsi="Arial"/>
                <w:sz w:val="20"/>
                <w:szCs w:val="20"/>
                <w:b w:val="1"/>
                <w:bCs w:val="1"/>
                <w:color w:val="auto"/>
              </w:rPr>
              <w:t>Verona Pharma plc</w:t>
            </w:r>
          </w:p>
        </w:tc>
        <w:tc>
          <w:tcPr>
            <w:tcW w:w="4980" w:type="dxa"/>
            <w:vAlign w:val="bottom"/>
            <w:tcBorders>
              <w:top w:val="single" w:sz="8" w:color="CFCFCF"/>
              <w:right w:val="single" w:sz="8" w:color="CFCFCF"/>
            </w:tcBorders>
          </w:tcPr>
          <w:p>
            <w:pPr>
              <w:ind w:left="20"/>
              <w:spacing w:after="0"/>
              <w:rPr>
                <w:sz w:val="20"/>
                <w:szCs w:val="20"/>
                <w:color w:val="auto"/>
              </w:rPr>
            </w:pPr>
            <w:r>
              <w:rPr>
                <w:rFonts w:ascii="Arial" w:cs="Arial" w:eastAsia="Arial" w:hAnsi="Arial"/>
                <w:sz w:val="20"/>
                <w:szCs w:val="20"/>
                <w:color w:val="auto"/>
              </w:rPr>
              <w:t>US Tel: +1-833-417-0262</w:t>
            </w:r>
          </w:p>
        </w:tc>
      </w:tr>
      <w:tr>
        <w:trPr>
          <w:trHeight w:val="263"/>
        </w:trPr>
        <w:tc>
          <w:tcPr>
            <w:tcW w:w="6260" w:type="dxa"/>
            <w:vAlign w:val="bottom"/>
            <w:tcBorders>
              <w:left w:val="single" w:sz="8" w:color="CFCFCF"/>
              <w:bottom w:val="single" w:sz="8" w:color="CFCFCF"/>
              <w:right w:val="single" w:sz="8" w:color="CFCFCF"/>
            </w:tcBorders>
          </w:tcPr>
          <w:p>
            <w:pPr>
              <w:spacing w:after="0"/>
              <w:rPr>
                <w:sz w:val="22"/>
                <w:szCs w:val="22"/>
                <w:color w:val="auto"/>
              </w:rPr>
            </w:pPr>
          </w:p>
        </w:tc>
        <w:tc>
          <w:tcPr>
            <w:tcW w:w="4980" w:type="dxa"/>
            <w:vAlign w:val="bottom"/>
            <w:tcBorders>
              <w:bottom w:val="single" w:sz="8" w:color="CFCFCF"/>
              <w:right w:val="single" w:sz="8" w:color="CFCFCF"/>
            </w:tcBorders>
          </w:tcPr>
          <w:p>
            <w:pPr>
              <w:ind w:left="20"/>
              <w:spacing w:after="0"/>
              <w:rPr>
                <w:sz w:val="20"/>
                <w:szCs w:val="20"/>
                <w:color w:val="auto"/>
              </w:rPr>
            </w:pPr>
            <w:r>
              <w:rPr>
                <w:rFonts w:ascii="Arial" w:cs="Arial" w:eastAsia="Arial" w:hAnsi="Arial"/>
                <w:sz w:val="20"/>
                <w:szCs w:val="20"/>
                <w:color w:val="auto"/>
              </w:rPr>
              <w:t>UK Tel: +44 (0)203 283 4200</w:t>
            </w:r>
          </w:p>
        </w:tc>
      </w:tr>
      <w:tr>
        <w:trPr>
          <w:trHeight w:val="230"/>
        </w:trPr>
        <w:tc>
          <w:tcPr>
            <w:tcW w:w="6260" w:type="dxa"/>
            <w:vAlign w:val="bottom"/>
            <w:tcBorders>
              <w:left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Victoria Stewart, Senior Director of Investor Relations and</w:t>
            </w:r>
          </w:p>
        </w:tc>
        <w:tc>
          <w:tcPr>
            <w:tcW w:w="4980" w:type="dxa"/>
            <w:vAlign w:val="bottom"/>
            <w:tcBorders>
              <w:right w:val="single" w:sz="8" w:color="CFCFCF"/>
            </w:tcBorders>
          </w:tcPr>
          <w:p>
            <w:pPr>
              <w:ind w:left="20"/>
              <w:spacing w:after="0"/>
              <w:rPr>
                <w:sz w:val="20"/>
                <w:szCs w:val="20"/>
                <w:color w:val="auto"/>
              </w:rPr>
            </w:pPr>
            <w:r>
              <w:rPr>
                <w:rFonts w:ascii="Arial" w:cs="Arial" w:eastAsia="Arial" w:hAnsi="Arial"/>
                <w:sz w:val="20"/>
                <w:szCs w:val="20"/>
                <w:color w:val="0000FF"/>
              </w:rPr>
              <w:t>IR@veronapharma.com</w:t>
            </w:r>
          </w:p>
        </w:tc>
      </w:tr>
      <w:tr>
        <w:trPr>
          <w:trHeight w:val="263"/>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Communications</w:t>
            </w:r>
          </w:p>
        </w:tc>
        <w:tc>
          <w:tcPr>
            <w:tcW w:w="4980" w:type="dxa"/>
            <w:vAlign w:val="bottom"/>
            <w:tcBorders>
              <w:bottom w:val="single" w:sz="8" w:color="CFCFCF"/>
              <w:right w:val="single" w:sz="8" w:color="CFCFCF"/>
            </w:tcBorders>
          </w:tcPr>
          <w:p>
            <w:pPr>
              <w:spacing w:after="0"/>
              <w:rPr>
                <w:sz w:val="22"/>
                <w:szCs w:val="22"/>
                <w:color w:val="auto"/>
              </w:rPr>
            </w:pPr>
          </w:p>
        </w:tc>
      </w:tr>
      <w:tr>
        <w:trPr>
          <w:trHeight w:val="275"/>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b w:val="1"/>
                <w:bCs w:val="1"/>
                <w:color w:val="auto"/>
              </w:rPr>
              <w:t xml:space="preserve">Argot Partners </w:t>
            </w:r>
            <w:r>
              <w:rPr>
                <w:rFonts w:ascii="Arial" w:cs="Arial" w:eastAsia="Arial" w:hAnsi="Arial"/>
                <w:sz w:val="20"/>
                <w:szCs w:val="20"/>
                <w:color w:val="auto"/>
              </w:rPr>
              <w:t>US Investor Enquiries</w:t>
            </w:r>
          </w:p>
        </w:tc>
        <w:tc>
          <w:tcPr>
            <w:tcW w:w="4980" w:type="dxa"/>
            <w:vAlign w:val="bottom"/>
            <w:tcBorders>
              <w:bottom w:val="single" w:sz="8" w:color="CFCFCF"/>
              <w:right w:val="single" w:sz="8" w:color="CFCFCF"/>
            </w:tcBorders>
          </w:tcPr>
          <w:p>
            <w:pPr>
              <w:ind w:left="20"/>
              <w:spacing w:after="0"/>
              <w:rPr>
                <w:sz w:val="20"/>
                <w:szCs w:val="20"/>
                <w:color w:val="auto"/>
              </w:rPr>
            </w:pPr>
            <w:r>
              <w:rPr>
                <w:rFonts w:ascii="Arial" w:cs="Arial" w:eastAsia="Arial" w:hAnsi="Arial"/>
                <w:sz w:val="20"/>
                <w:szCs w:val="20"/>
                <w:color w:val="auto"/>
              </w:rPr>
              <w:t xml:space="preserve">Tel: +1-212-600-1902 </w:t>
            </w:r>
            <w:r>
              <w:rPr>
                <w:rFonts w:ascii="Arial" w:cs="Arial" w:eastAsia="Arial" w:hAnsi="Arial"/>
                <w:sz w:val="20"/>
                <w:szCs w:val="20"/>
                <w:color w:val="0000FF"/>
              </w:rPr>
              <w:t>verona@argotpartners.com</w:t>
            </w:r>
          </w:p>
        </w:tc>
      </w:tr>
      <w:tr>
        <w:trPr>
          <w:trHeight w:val="232"/>
        </w:trPr>
        <w:tc>
          <w:tcPr>
            <w:tcW w:w="6260" w:type="dxa"/>
            <w:vAlign w:val="bottom"/>
            <w:tcBorders>
              <w:left w:val="single" w:sz="8" w:color="CFCFCF"/>
              <w:right w:val="single" w:sz="8" w:color="CFCFCF"/>
            </w:tcBorders>
          </w:tcPr>
          <w:p>
            <w:pPr>
              <w:ind w:left="40"/>
              <w:spacing w:after="0"/>
              <w:rPr>
                <w:sz w:val="20"/>
                <w:szCs w:val="20"/>
                <w:color w:val="auto"/>
              </w:rPr>
            </w:pPr>
            <w:r>
              <w:rPr>
                <w:rFonts w:ascii="Arial" w:cs="Arial" w:eastAsia="Arial" w:hAnsi="Arial"/>
                <w:sz w:val="20"/>
                <w:szCs w:val="20"/>
                <w:b w:val="1"/>
                <w:bCs w:val="1"/>
                <w:color w:val="auto"/>
              </w:rPr>
              <w:t xml:space="preserve">Ten Bridge Communications </w:t>
            </w:r>
            <w:r>
              <w:rPr>
                <w:rFonts w:ascii="Arial" w:cs="Arial" w:eastAsia="Arial" w:hAnsi="Arial"/>
                <w:sz w:val="20"/>
                <w:szCs w:val="20"/>
                <w:color w:val="auto"/>
              </w:rPr>
              <w:t>International / US Media Enquiries</w:t>
            </w:r>
          </w:p>
        </w:tc>
        <w:tc>
          <w:tcPr>
            <w:tcW w:w="4980" w:type="dxa"/>
            <w:vAlign w:val="bottom"/>
            <w:tcBorders>
              <w:right w:val="single" w:sz="8" w:color="CFCFCF"/>
            </w:tcBorders>
          </w:tcPr>
          <w:p>
            <w:pPr>
              <w:ind w:left="20"/>
              <w:spacing w:after="0"/>
              <w:rPr>
                <w:sz w:val="20"/>
                <w:szCs w:val="20"/>
                <w:color w:val="auto"/>
              </w:rPr>
            </w:pPr>
            <w:r>
              <w:rPr>
                <w:rFonts w:ascii="Arial" w:cs="Arial" w:eastAsia="Arial" w:hAnsi="Arial"/>
                <w:sz w:val="20"/>
                <w:szCs w:val="20"/>
                <w:color w:val="auto"/>
              </w:rPr>
              <w:t>Tel: +1-312-523-5016</w:t>
            </w:r>
          </w:p>
        </w:tc>
      </w:tr>
      <w:tr>
        <w:trPr>
          <w:trHeight w:val="263"/>
        </w:trPr>
        <w:tc>
          <w:tcPr>
            <w:tcW w:w="6260" w:type="dxa"/>
            <w:vAlign w:val="bottom"/>
            <w:tcBorders>
              <w:left w:val="single" w:sz="8" w:color="CFCFCF"/>
              <w:bottom w:val="single" w:sz="8" w:color="CFCFCF"/>
              <w:right w:val="single" w:sz="8" w:color="CFCFCF"/>
            </w:tcBorders>
          </w:tcPr>
          <w:p>
            <w:pPr>
              <w:spacing w:after="0"/>
              <w:rPr>
                <w:sz w:val="22"/>
                <w:szCs w:val="22"/>
                <w:color w:val="auto"/>
              </w:rPr>
            </w:pPr>
          </w:p>
        </w:tc>
        <w:tc>
          <w:tcPr>
            <w:tcW w:w="4980" w:type="dxa"/>
            <w:vAlign w:val="bottom"/>
            <w:tcBorders>
              <w:bottom w:val="single" w:sz="8" w:color="CFCFCF"/>
              <w:right w:val="single" w:sz="8" w:color="CFCFCF"/>
            </w:tcBorders>
          </w:tcPr>
          <w:p>
            <w:pPr>
              <w:ind w:left="20"/>
              <w:spacing w:after="0"/>
              <w:rPr>
                <w:sz w:val="20"/>
                <w:szCs w:val="20"/>
                <w:color w:val="auto"/>
              </w:rPr>
            </w:pPr>
            <w:r>
              <w:rPr>
                <w:rFonts w:ascii="Arial" w:cs="Arial" w:eastAsia="Arial" w:hAnsi="Arial"/>
                <w:sz w:val="20"/>
                <w:szCs w:val="20"/>
                <w:color w:val="0000FF"/>
              </w:rPr>
              <w:t>tbcverona@tenbridgecommunications.com</w:t>
            </w:r>
          </w:p>
        </w:tc>
      </w:tr>
      <w:tr>
        <w:trPr>
          <w:trHeight w:val="261"/>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Leslie Humbel</w:t>
            </w:r>
          </w:p>
        </w:tc>
        <w:tc>
          <w:tcPr>
            <w:tcW w:w="4980" w:type="dxa"/>
            <w:vAlign w:val="bottom"/>
            <w:tcBorders>
              <w:bottom w:val="single" w:sz="8" w:color="CFCFCF"/>
              <w:right w:val="single" w:sz="8" w:color="CFCFCF"/>
            </w:tcBorders>
          </w:tcPr>
          <w:p>
            <w:pPr>
              <w:spacing w:after="0"/>
              <w:rPr>
                <w:sz w:val="22"/>
                <w:szCs w:val="22"/>
                <w:color w:val="auto"/>
              </w:rPr>
            </w:pPr>
          </w:p>
        </w:tc>
      </w:tr>
    </w:tbl>
    <w:p>
      <w:pPr>
        <w:sectPr>
          <w:pgSz w:w="11900" w:h="16838" w:orient="portrait"/>
          <w:cols w:equalWidth="0" w:num="1">
            <w:col w:w="11240"/>
          </w:cols>
          <w:pgMar w:left="320" w:top="1400" w:right="339" w:bottom="1440" w:gutter="0" w:footer="0" w:header="0"/>
        </w:sectPr>
      </w:pPr>
    </w:p>
    <w:bookmarkStart w:id="7" w:name="page8"/>
    <w:bookmarkEnd w:id="7"/>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83"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Verona Pharma is a clinical-stage biopharmaceutical company focused on developing and commercializing innovative therapies for the treatment of chronic respiratory diseases with significant unmet medical needs. In the third quarter of 2023, the US Food</w:t>
      </w:r>
    </w:p>
    <w:p>
      <w:pPr>
        <w:spacing w:after="0" w:line="224" w:lineRule="auto"/>
        <w:rPr>
          <w:sz w:val="20"/>
          <w:szCs w:val="20"/>
          <w:color w:val="auto"/>
        </w:rPr>
      </w:pPr>
      <w:r>
        <w:rPr>
          <w:rFonts w:ascii="Arial" w:cs="Arial" w:eastAsia="Arial" w:hAnsi="Arial"/>
          <w:sz w:val="19"/>
          <w:szCs w:val="19"/>
          <w:color w:val="auto"/>
        </w:rPr>
        <w:t>and Drug Administration accepted for review the Company’s NDA for ensifentrine for the maintenance treatment of patients with</w:t>
      </w:r>
    </w:p>
    <w:p>
      <w:pPr>
        <w:jc w:val="both"/>
        <w:spacing w:after="0" w:line="204" w:lineRule="auto"/>
        <w:rPr>
          <w:sz w:val="20"/>
          <w:szCs w:val="20"/>
          <w:color w:val="auto"/>
        </w:rPr>
      </w:pPr>
      <w:r>
        <w:rPr>
          <w:rFonts w:ascii="Arial" w:cs="Arial" w:eastAsia="Arial" w:hAnsi="Arial"/>
          <w:sz w:val="20"/>
          <w:szCs w:val="20"/>
          <w:color w:val="auto"/>
        </w:rPr>
        <w:t>COPD and assigned a PDUFA target action date of June 26, 2024. If approved, ensifentrine has the potential to become the first inhaled non-steroidal therapy for the treatment of respiratory diseases that combines bronchodilator and anti-inflammatory</w:t>
      </w:r>
    </w:p>
    <w:p>
      <w:pPr>
        <w:spacing w:after="0" w:line="211" w:lineRule="auto"/>
        <w:rPr>
          <w:sz w:val="20"/>
          <w:szCs w:val="20"/>
          <w:color w:val="auto"/>
        </w:rPr>
      </w:pPr>
      <w:r>
        <w:rPr>
          <w:rFonts w:ascii="Arial" w:cs="Arial" w:eastAsia="Arial" w:hAnsi="Arial"/>
          <w:sz w:val="20"/>
          <w:szCs w:val="20"/>
          <w:color w:val="auto"/>
        </w:rPr>
        <w:t>activities in one molecule. The Company has evaluated nebulized ensifentrine in its Phase 3 clinical program ENHANCE</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(“Ensifentrine as a Novel inHAled Nebulized COPD thErapy”) for COPD maintenance treatment. Ensifentrine met the primary endpoint in both ENHANCE-1 and ENHANCE-2 trials demonstrating statistically significant and clinically meaningful</w:t>
      </w:r>
    </w:p>
    <w:p>
      <w:pPr>
        <w:spacing w:after="0" w:line="223" w:lineRule="auto"/>
        <w:rPr>
          <w:sz w:val="20"/>
          <w:szCs w:val="20"/>
          <w:color w:val="auto"/>
        </w:rPr>
      </w:pPr>
      <w:r>
        <w:rPr>
          <w:rFonts w:ascii="Arial" w:cs="Arial" w:eastAsia="Arial" w:hAnsi="Arial"/>
          <w:sz w:val="19"/>
          <w:szCs w:val="19"/>
          <w:color w:val="auto"/>
        </w:rPr>
        <w:t>improvements in lung function. In addition, ensifentrine substantially reduced the rate and risk of COPD exacerbations in pooled</w:t>
      </w:r>
    </w:p>
    <w:p>
      <w:pPr>
        <w:jc w:val="both"/>
        <w:spacing w:after="0" w:line="204" w:lineRule="auto"/>
        <w:rPr>
          <w:sz w:val="20"/>
          <w:szCs w:val="20"/>
          <w:color w:val="auto"/>
        </w:rPr>
      </w:pPr>
      <w:r>
        <w:rPr>
          <w:rFonts w:ascii="Arial" w:cs="Arial" w:eastAsia="Arial" w:hAnsi="Arial"/>
          <w:sz w:val="20"/>
          <w:szCs w:val="20"/>
          <w:color w:val="auto"/>
        </w:rPr>
        <w:t>analysis from ENHANCE-1 and ENHANCE-2. Two additional formulations of ensifentrine have been evaluated in Phase 2 trials for the treatment of COPD: dry powder inhaler (“DPI”) and pressurized metered-dose inhaler (“pMDI”). Ensifentrine also has</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potential applications in cystic fibrosis, non-cystic fibrosis bronchiectasis, asthma and other respiratory diseases. For more information, please visit www.veronapharma.com</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83"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All statements contained in this press release that do not relate to matters of historical fact should be considered forward-</w:t>
      </w:r>
    </w:p>
    <w:p>
      <w:pPr>
        <w:spacing w:after="0" w:line="2"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looking statements, including, but not limited to, statements regarding our operational review, financial review, program updates and key milestones, the timing of the approval of the NDA for ensifentrine for the maintenance treatment of COPD, the</w:t>
      </w:r>
    </w:p>
    <w:p>
      <w:pPr>
        <w:spacing w:after="0" w:line="211" w:lineRule="auto"/>
        <w:rPr>
          <w:sz w:val="20"/>
          <w:szCs w:val="20"/>
          <w:color w:val="auto"/>
        </w:rPr>
      </w:pPr>
      <w:r>
        <w:rPr>
          <w:rFonts w:ascii="Arial" w:cs="Arial" w:eastAsia="Arial" w:hAnsi="Arial"/>
          <w:sz w:val="20"/>
          <w:szCs w:val="20"/>
          <w:color w:val="auto"/>
        </w:rPr>
        <w:t>development of ensifentrine in other formulations and for other indications and planned regulatory submissions and timing</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thereof, including the timing of submission of an IND for a fixed-dose combination formulation with ensifentrine and glycopyrrolate, a LAMA, for the maintenance treatment of patients with COPD and the timing of clinical studies to assess</w:t>
      </w:r>
    </w:p>
    <w:p>
      <w:pPr>
        <w:spacing w:after="0" w:line="211" w:lineRule="auto"/>
        <w:rPr>
          <w:sz w:val="20"/>
          <w:szCs w:val="20"/>
          <w:color w:val="auto"/>
        </w:rPr>
      </w:pPr>
      <w:r>
        <w:rPr>
          <w:rFonts w:ascii="Arial" w:cs="Arial" w:eastAsia="Arial" w:hAnsi="Arial"/>
          <w:sz w:val="20"/>
          <w:szCs w:val="20"/>
          <w:color w:val="auto"/>
        </w:rPr>
        <w:t>ensifentrine in patients with NCFBE, the planned US commercial launch of ensifentrine in 2024, the potential for ensifentrine to</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be the first therapy for the treatment of respiratory diseases to combine bronchodilator and non-steroidal anti-inflammatory benefits in one compound, the potential of ensifentrine to change the treatment paradigm for COPD patients, the potential of</w:t>
      </w:r>
    </w:p>
    <w:p>
      <w:pPr>
        <w:spacing w:after="0" w:line="223" w:lineRule="auto"/>
        <w:rPr>
          <w:sz w:val="20"/>
          <w:szCs w:val="20"/>
          <w:color w:val="auto"/>
        </w:rPr>
      </w:pPr>
      <w:r>
        <w:rPr>
          <w:rFonts w:ascii="Arial" w:cs="Arial" w:eastAsia="Arial" w:hAnsi="Arial"/>
          <w:sz w:val="19"/>
          <w:szCs w:val="19"/>
          <w:color w:val="auto"/>
        </w:rPr>
        <w:t>ensifentrine in the treatment of cystic fibrosis, NCFBE, asthma and other respiratory diseases, as well as the potential of the DPI</w:t>
      </w:r>
    </w:p>
    <w:p>
      <w:pPr>
        <w:jc w:val="both"/>
        <w:spacing w:after="0" w:line="204" w:lineRule="auto"/>
        <w:rPr>
          <w:sz w:val="20"/>
          <w:szCs w:val="20"/>
          <w:color w:val="auto"/>
        </w:rPr>
      </w:pPr>
      <w:r>
        <w:rPr>
          <w:rFonts w:ascii="Arial" w:cs="Arial" w:eastAsia="Arial" w:hAnsi="Arial"/>
          <w:sz w:val="20"/>
          <w:szCs w:val="20"/>
          <w:color w:val="auto"/>
        </w:rPr>
        <w:t>and pMDI formulations of ensifentrine, the funding we expect to become available under our $400 million debt financing facility and from cash receipts from UK tax credits, and the sufficiency of cash and cash equivalents, and the cash runway period</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provided by the sources of financing through to at least the end of 2026 and expected to fully fund the planned commercialization of ensifentrine.</w:t>
      </w:r>
    </w:p>
    <w:p>
      <w:pPr>
        <w:spacing w:after="0" w:line="5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ability to operate our business due to restrictions from our $400 million debt financing facility and any other existing or future indebtedness; our need for additional funding to complete development and commercialization of any future product candidates or development and commercialization of other formulations or target indications of ensifentrine, which may not be available and which may force us to delay, reduce or eliminate our product development programs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we may not be successful in developing ensifentrine in other formulations or for</w:t>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33" w:lineRule="auto"/>
        <w:rPr>
          <w:sz w:val="20"/>
          <w:szCs w:val="20"/>
          <w:color w:val="auto"/>
        </w:rPr>
      </w:pPr>
      <w:r>
        <w:rPr>
          <w:rFonts w:ascii="Arial" w:cs="Arial" w:eastAsia="Arial" w:hAnsi="Arial"/>
          <w:sz w:val="20"/>
          <w:szCs w:val="20"/>
          <w:color w:val="auto"/>
        </w:rPr>
        <w:t>multiple indications; our ability to obtain approval for and commercialize ensifentrine in multiple major pharmaceutical markets; misconduct or other improper activities by our employees, consultants, principal investigators, third-party service providers and licensees; our inability to realize the anticipated benefits under licenses granted by us to third parties to develop and commercialize ensifentrine,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lawsuits related to our licensing of patents and know-how with third parties for the development and commercialization of ensifentrine; changes in our tax rates, unavailability of certain tax credits or reliefs or exposure to additional tax liabilities or assessments could affect our profitability, and audits by tax authorities could result in additional tax payments for prior periods; and our vulnerability to natural disasters, global economic factors, geo-political actions and unexpected events, including health epidemics or pandemics like the COVID-19 pandemic, and conflicts such as the Russia-Ukraine conflict, which has and may continue to adversely impact our business. These and other important factors under the caption “Risk Factors” in our Annual Report on Form 10-K for the year ended December 31, 2023, and our other reports filed with the SEC, could cause actual results to differ materially from those indicated by the forward-looking statements made in this press release. Although management believes that the expectations reflected in the forward-looking statements are reasonable, it cannot guarantee future results, levels of activity, performance or achievements.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except as required by law. These forward-looking statements should not be relied upon as representing our views as of any date subsequent to the date of this press release.</w:t>
      </w:r>
    </w:p>
    <w:p>
      <w:pPr>
        <w:sectPr>
          <w:pgSz w:w="11900" w:h="16838" w:orient="portrait"/>
          <w:cols w:equalWidth="0" w:num="1">
            <w:col w:w="11240"/>
          </w:cols>
          <w:pgMar w:left="320" w:top="1414"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2"/>
          <w:szCs w:val="22"/>
          <w:b w:val="1"/>
          <w:bCs w:val="1"/>
          <w:color w:val="232323"/>
        </w:rPr>
        <w:t>Verona Pharma plc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Consolidated Financial Summary</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(unaudited)</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300" w:type="dxa"/>
            <w:vAlign w:val="bottom"/>
            <w:tcBorders>
              <w:top w:val="single" w:sz="8" w:color="auto"/>
              <w:left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320" w:type="dxa"/>
            <w:vAlign w:val="bottom"/>
            <w:tcBorders>
              <w:top w:val="single" w:sz="8" w:color="auto"/>
            </w:tcBorders>
            <w:gridSpan w:val="4"/>
          </w:tcPr>
          <w:p>
            <w:pPr>
              <w:jc w:val="right"/>
              <w:ind w:right="459"/>
              <w:spacing w:after="0"/>
              <w:rPr>
                <w:sz w:val="20"/>
                <w:szCs w:val="20"/>
                <w:color w:val="auto"/>
              </w:rPr>
            </w:pPr>
            <w:r>
              <w:rPr>
                <w:rFonts w:ascii="Arial" w:cs="Arial" w:eastAsia="Arial" w:hAnsi="Arial"/>
                <w:sz w:val="16"/>
                <w:szCs w:val="16"/>
                <w:color w:val="auto"/>
              </w:rPr>
              <w:t>Three months ended December 31,</w:t>
            </w:r>
          </w:p>
        </w:tc>
        <w:tc>
          <w:tcPr>
            <w:tcW w:w="7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160" w:type="dxa"/>
            <w:vAlign w:val="bottom"/>
            <w:tcBorders>
              <w:top w:val="single" w:sz="8" w:color="auto"/>
              <w:right w:val="single" w:sz="8" w:color="auto"/>
            </w:tcBorders>
            <w:gridSpan w:val="4"/>
          </w:tcPr>
          <w:p>
            <w:pPr>
              <w:jc w:val="right"/>
              <w:ind w:right="719"/>
              <w:spacing w:after="0"/>
              <w:rPr>
                <w:sz w:val="20"/>
                <w:szCs w:val="20"/>
                <w:color w:val="auto"/>
              </w:rPr>
            </w:pPr>
            <w:r>
              <w:rPr>
                <w:rFonts w:ascii="Arial" w:cs="Arial" w:eastAsia="Arial" w:hAnsi="Arial"/>
                <w:sz w:val="16"/>
                <w:szCs w:val="16"/>
                <w:color w:val="auto"/>
              </w:rPr>
              <w:t>Years ended December 31,</w:t>
            </w:r>
          </w:p>
        </w:tc>
        <w:tc>
          <w:tcPr>
            <w:tcW w:w="0" w:type="dxa"/>
            <w:vAlign w:val="bottom"/>
          </w:tcPr>
          <w:p>
            <w:pPr>
              <w:spacing w:after="0"/>
              <w:rPr>
                <w:sz w:val="1"/>
                <w:szCs w:val="1"/>
                <w:color w:val="auto"/>
              </w:rPr>
            </w:pPr>
          </w:p>
        </w:tc>
      </w:tr>
      <w:tr>
        <w:trPr>
          <w:trHeight w:val="257"/>
        </w:trPr>
        <w:tc>
          <w:tcPr>
            <w:tcW w:w="33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color w:val="auto"/>
              </w:rPr>
              <w:t>2022</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57"/>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458</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56"/>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Cost of sales</w:t>
            </w:r>
          </w:p>
        </w:tc>
        <w:tc>
          <w:tcPr>
            <w:tcW w:w="320" w:type="dxa"/>
            <w:vAlign w:val="bottom"/>
          </w:tcPr>
          <w:p>
            <w:pPr>
              <w:spacing w:after="0"/>
              <w:rPr>
                <w:sz w:val="22"/>
                <w:szCs w:val="22"/>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(346)</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9"/>
        </w:trPr>
        <w:tc>
          <w:tcPr>
            <w:tcW w:w="33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Gross profit</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300" w:type="dxa"/>
            <w:vAlign w:val="bottom"/>
            <w:tcBorders>
              <w:left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
        </w:trPr>
        <w:tc>
          <w:tcPr>
            <w:tcW w:w="33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300" w:type="dxa"/>
            <w:vAlign w:val="bottom"/>
            <w:tcBorders>
              <w:left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4,122</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6,838</w:t>
            </w: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17,216</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49,283</w:t>
            </w:r>
          </w:p>
        </w:tc>
        <w:tc>
          <w:tcPr>
            <w:tcW w:w="0" w:type="dxa"/>
            <w:vAlign w:val="bottom"/>
          </w:tcPr>
          <w:p>
            <w:pPr>
              <w:spacing w:after="0"/>
              <w:rPr>
                <w:sz w:val="1"/>
                <w:szCs w:val="1"/>
                <w:color w:val="auto"/>
              </w:rPr>
            </w:pPr>
          </w:p>
        </w:tc>
      </w:tr>
      <w:tr>
        <w:trPr>
          <w:trHeight w:val="257"/>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14,972</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8,323</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50,353</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26,579</w:t>
            </w:r>
          </w:p>
        </w:tc>
        <w:tc>
          <w:tcPr>
            <w:tcW w:w="0" w:type="dxa"/>
            <w:vAlign w:val="bottom"/>
          </w:tcPr>
          <w:p>
            <w:pPr>
              <w:spacing w:after="0"/>
              <w:rPr>
                <w:sz w:val="1"/>
                <w:szCs w:val="1"/>
                <w:color w:val="auto"/>
              </w:rPr>
            </w:pPr>
          </w:p>
        </w:tc>
      </w:tr>
      <w:tr>
        <w:trPr>
          <w:trHeight w:val="29"/>
        </w:trPr>
        <w:tc>
          <w:tcPr>
            <w:tcW w:w="33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operating expenses</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300" w:type="dxa"/>
            <w:vAlign w:val="bottom"/>
            <w:tcBorders>
              <w:left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19,094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15,161</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67,569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75,862</w:t>
            </w:r>
          </w:p>
        </w:tc>
        <w:tc>
          <w:tcPr>
            <w:tcW w:w="0" w:type="dxa"/>
            <w:vAlign w:val="bottom"/>
          </w:tcPr>
          <w:p>
            <w:pPr>
              <w:spacing w:after="0"/>
              <w:rPr>
                <w:sz w:val="1"/>
                <w:szCs w:val="1"/>
                <w:color w:val="auto"/>
              </w:rPr>
            </w:pPr>
          </w:p>
        </w:tc>
      </w:tr>
      <w:tr>
        <w:trPr>
          <w:trHeight w:val="21"/>
        </w:trPr>
        <w:tc>
          <w:tcPr>
            <w:tcW w:w="33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Operating loss</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300" w:type="dxa"/>
            <w:vAlign w:val="bottom"/>
            <w:tcBorders>
              <w:left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(19,094)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(15,049)</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(67,569)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(75,750)</w:t>
            </w:r>
          </w:p>
        </w:tc>
        <w:tc>
          <w:tcPr>
            <w:tcW w:w="0" w:type="dxa"/>
            <w:vAlign w:val="bottom"/>
          </w:tcPr>
          <w:p>
            <w:pPr>
              <w:spacing w:after="0"/>
              <w:rPr>
                <w:sz w:val="1"/>
                <w:szCs w:val="1"/>
                <w:color w:val="auto"/>
              </w:rPr>
            </w:pPr>
          </w:p>
        </w:tc>
      </w:tr>
      <w:tr>
        <w:trPr>
          <w:trHeight w:val="256"/>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Other income / (expense)</w:t>
            </w: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Research &amp; development tax credit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1,034</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796</w:t>
            </w: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1,104</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9,634</w:t>
            </w:r>
          </w:p>
        </w:tc>
        <w:tc>
          <w:tcPr>
            <w:tcW w:w="0" w:type="dxa"/>
            <w:vAlign w:val="bottom"/>
          </w:tcPr>
          <w:p>
            <w:pPr>
              <w:spacing w:after="0"/>
              <w:rPr>
                <w:sz w:val="1"/>
                <w:szCs w:val="1"/>
                <w:color w:val="auto"/>
              </w:rPr>
            </w:pPr>
          </w:p>
        </w:tc>
      </w:tr>
      <w:tr>
        <w:trPr>
          <w:trHeight w:val="257"/>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2"/>
                <w:szCs w:val="22"/>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(815)</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57"/>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3,292</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1,862</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12,761</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2,821</w:t>
            </w:r>
          </w:p>
        </w:tc>
        <w:tc>
          <w:tcPr>
            <w:tcW w:w="0" w:type="dxa"/>
            <w:vAlign w:val="bottom"/>
          </w:tcPr>
          <w:p>
            <w:pPr>
              <w:spacing w:after="0"/>
              <w:rPr>
                <w:sz w:val="1"/>
                <w:szCs w:val="1"/>
                <w:color w:val="auto"/>
              </w:rPr>
            </w:pPr>
          </w:p>
        </w:tc>
      </w:tr>
      <w:tr>
        <w:trPr>
          <w:trHeight w:val="256"/>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(623)</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(230)</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(2,057)</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57"/>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Foreign exchange gain/(loss)</w:t>
            </w:r>
          </w:p>
        </w:tc>
        <w:tc>
          <w:tcPr>
            <w:tcW w:w="3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1,206</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3,013</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1,866</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(3,817)</w:t>
            </w:r>
          </w:p>
        </w:tc>
        <w:tc>
          <w:tcPr>
            <w:tcW w:w="0" w:type="dxa"/>
            <w:vAlign w:val="bottom"/>
          </w:tcPr>
          <w:p>
            <w:pPr>
              <w:spacing w:after="0"/>
              <w:rPr>
                <w:sz w:val="1"/>
                <w:szCs w:val="1"/>
                <w:color w:val="auto"/>
              </w:rPr>
            </w:pPr>
          </w:p>
        </w:tc>
      </w:tr>
      <w:tr>
        <w:trPr>
          <w:trHeight w:val="29"/>
        </w:trPr>
        <w:tc>
          <w:tcPr>
            <w:tcW w:w="33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other income, net</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300" w:type="dxa"/>
            <w:vAlign w:val="bottom"/>
            <w:tcBorders>
              <w:left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4,909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4,626</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13,674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7,302</w:t>
            </w:r>
          </w:p>
        </w:tc>
        <w:tc>
          <w:tcPr>
            <w:tcW w:w="0" w:type="dxa"/>
            <w:vAlign w:val="bottom"/>
          </w:tcPr>
          <w:p>
            <w:pPr>
              <w:spacing w:after="0"/>
              <w:rPr>
                <w:sz w:val="1"/>
                <w:szCs w:val="1"/>
                <w:color w:val="auto"/>
              </w:rPr>
            </w:pPr>
          </w:p>
        </w:tc>
      </w:tr>
      <w:tr>
        <w:trPr>
          <w:trHeight w:val="21"/>
        </w:trPr>
        <w:tc>
          <w:tcPr>
            <w:tcW w:w="33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300" w:type="dxa"/>
            <w:vAlign w:val="bottom"/>
            <w:tcBorders>
              <w:left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(14,185)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(10,423)</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(53,895)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(68,448)</w:t>
            </w:r>
          </w:p>
        </w:tc>
        <w:tc>
          <w:tcPr>
            <w:tcW w:w="0" w:type="dxa"/>
            <w:vAlign w:val="bottom"/>
          </w:tcPr>
          <w:p>
            <w:pPr>
              <w:spacing w:after="0"/>
              <w:rPr>
                <w:sz w:val="1"/>
                <w:szCs w:val="1"/>
                <w:color w:val="auto"/>
              </w:rPr>
            </w:pPr>
          </w:p>
        </w:tc>
      </w:tr>
      <w:tr>
        <w:trPr>
          <w:trHeight w:val="248"/>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Income tax benefit/(expense)</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w:t>
            </w: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(474)</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9"/>
        </w:trPr>
        <w:tc>
          <w:tcPr>
            <w:tcW w:w="3300" w:type="dxa"/>
            <w:vAlign w:val="bottom"/>
            <w:tcBorders>
              <w:lef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Net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(14,132)</w:t>
            </w:r>
          </w:p>
        </w:tc>
        <w:tc>
          <w:tcPr>
            <w:tcW w:w="28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(10,451)</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(54,369)</w:t>
            </w:r>
          </w:p>
        </w:tc>
        <w:tc>
          <w:tcPr>
            <w:tcW w:w="3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(68,701)</w:t>
            </w:r>
          </w:p>
        </w:tc>
        <w:tc>
          <w:tcPr>
            <w:tcW w:w="0" w:type="dxa"/>
            <w:vAlign w:val="bottom"/>
          </w:tcPr>
          <w:p>
            <w:pPr>
              <w:spacing w:after="0"/>
              <w:rPr>
                <w:sz w:val="1"/>
                <w:szCs w:val="1"/>
                <w:color w:val="auto"/>
              </w:rPr>
            </w:pPr>
          </w:p>
        </w:tc>
      </w:tr>
      <w:tr>
        <w:trPr>
          <w:trHeight w:val="20"/>
        </w:trPr>
        <w:tc>
          <w:tcPr>
            <w:tcW w:w="33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color w:val="auto"/>
              </w:rPr>
              <w:t>Weighted average shares outstanding –</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3300" w:type="dxa"/>
            <w:vAlign w:val="bottom"/>
            <w:tcBorders>
              <w:left w:val="single" w:sz="8" w:color="auto"/>
            </w:tcBorders>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642,139,211</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604,204,929</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634,142,660</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529,071,526</w:t>
            </w:r>
          </w:p>
        </w:tc>
        <w:tc>
          <w:tcPr>
            <w:tcW w:w="0" w:type="dxa"/>
            <w:vAlign w:val="bottom"/>
          </w:tcPr>
          <w:p>
            <w:pPr>
              <w:spacing w:after="0"/>
              <w:rPr>
                <w:sz w:val="1"/>
                <w:szCs w:val="1"/>
                <w:color w:val="auto"/>
              </w:rPr>
            </w:pPr>
          </w:p>
        </w:tc>
      </w:tr>
      <w:tr>
        <w:trPr>
          <w:trHeight w:val="237"/>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basic and diluted</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33"/>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Loss per ordinary share - basic and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(0.02)</w:t>
            </w:r>
          </w:p>
        </w:tc>
        <w:tc>
          <w:tcPr>
            <w:tcW w:w="28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(0.02)</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(0.09)</w:t>
            </w:r>
          </w:p>
        </w:tc>
        <w:tc>
          <w:tcPr>
            <w:tcW w:w="3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498"/>
        </w:trPr>
        <w:tc>
          <w:tcPr>
            <w:tcW w:w="3300" w:type="dxa"/>
            <w:vAlign w:val="bottom"/>
            <w:tcBorders>
              <w:lef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2022</w:t>
            </w:r>
          </w:p>
        </w:tc>
        <w:tc>
          <w:tcPr>
            <w:tcW w:w="7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3300" w:type="dxa"/>
            <w:vAlign w:val="bottom"/>
            <w:tcBorders>
              <w:lef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271,772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$ 227,827</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Total assets</w:t>
            </w:r>
          </w:p>
        </w:tc>
        <w:tc>
          <w:tcPr>
            <w:tcW w:w="3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308,124</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259,468</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Shareholders’ equity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249,283</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$ 230,466</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90"/>
        </w:trPr>
        <w:tc>
          <w:tcPr>
            <w:tcW w:w="33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14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2024-02-29T05:24:56Z</dcterms:created>
  <dcterms:modified xsi:type="dcterms:W3CDTF">2024-02-29T05:24:56Z</dcterms:modified>
</cp:coreProperties>
</file>