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552450</wp:posOffset>
            </wp:positionV>
            <wp:extent cx="762508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18415"/>
                    </a:xfrm>
                    <a:prstGeom prst="rect">
                      <a:avLst/>
                    </a:prstGeom>
                    <a:noFill/>
                  </pic:spPr>
                </pic:pic>
              </a:graphicData>
            </a:graphic>
          </wp:anchor>
        </w:drawing>
        <w:t>UNITED STATES</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Washington, D.C. 20549</w:t>
      </w:r>
    </w:p>
    <w:p>
      <w:pPr>
        <w:spacing w:after="0" w:line="244"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ind w:left="5540"/>
        <w:spacing w:after="0"/>
        <w:rPr>
          <w:sz w:val="20"/>
          <w:szCs w:val="20"/>
          <w:color w:val="auto"/>
        </w:rPr>
      </w:pPr>
      <w:r>
        <w:rPr>
          <w:rFonts w:ascii="Arial" w:cs="Arial" w:eastAsia="Arial" w:hAnsi="Arial"/>
          <w:sz w:val="19"/>
          <w:szCs w:val="19"/>
          <w:b w:val="1"/>
          <w:bCs w:val="1"/>
          <w:color w:val="auto"/>
        </w:rPr>
        <w:t>FORM 6-K</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REPORT OF FOREIGN PRIVATE ISSUER</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PURSUANT TO RULE 13a-16 OR 15d-16</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14" w:lineRule="exact"/>
        <w:rPr>
          <w:sz w:val="24"/>
          <w:szCs w:val="24"/>
          <w:color w:val="auto"/>
        </w:rPr>
      </w:pPr>
    </w:p>
    <w:p>
      <w:pPr>
        <w:ind w:left="5400"/>
        <w:spacing w:after="0"/>
        <w:rPr>
          <w:sz w:val="20"/>
          <w:szCs w:val="20"/>
          <w:color w:val="auto"/>
        </w:rPr>
      </w:pPr>
      <w:r>
        <w:rPr>
          <w:rFonts w:ascii="Arial" w:cs="Arial" w:eastAsia="Arial" w:hAnsi="Arial"/>
          <w:sz w:val="19"/>
          <w:szCs w:val="19"/>
          <w:b w:val="1"/>
          <w:bCs w:val="1"/>
          <w:color w:val="auto"/>
        </w:rPr>
        <w:t>January 2019</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Commission File Number: 001-38067</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Verona Pharma plc</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72" w:lineRule="exact"/>
        <w:rPr>
          <w:sz w:val="24"/>
          <w:szCs w:val="24"/>
          <w:color w:val="auto"/>
        </w:rPr>
      </w:pPr>
    </w:p>
    <w:p>
      <w:pPr>
        <w:ind w:left="306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311"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3 More London Riverside</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London SE1 2RE UK</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+44 203 283 4200</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(Address of principal executive office)</w:t>
      </w:r>
    </w:p>
    <w:p>
      <w:pPr>
        <w:spacing w:after="0" w:line="272" w:lineRule="exact"/>
        <w:rPr>
          <w:sz w:val="24"/>
          <w:szCs w:val="24"/>
          <w:color w:val="auto"/>
        </w:rPr>
      </w:pPr>
    </w:p>
    <w:p>
      <w:pPr>
        <w:ind w:left="310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78" w:lineRule="exact"/>
        <w:rPr>
          <w:sz w:val="24"/>
          <w:szCs w:val="24"/>
          <w:color w:val="auto"/>
        </w:rPr>
      </w:pPr>
    </w:p>
    <w:p>
      <w:pPr>
        <w:ind w:left="4860" w:right="960" w:hanging="4866"/>
        <w:spacing w:after="0" w:line="353" w:lineRule="exact"/>
        <w:rPr>
          <w:sz w:val="20"/>
          <w:szCs w:val="20"/>
          <w:color w:val="auto"/>
        </w:rPr>
      </w:pPr>
      <w:r>
        <w:rPr>
          <w:rFonts w:ascii="Arial" w:cs="Arial" w:eastAsia="Arial" w:hAnsi="Arial"/>
          <w:sz w:val="19"/>
          <w:szCs w:val="19"/>
          <w:color w:val="auto"/>
        </w:rPr>
        <w:t xml:space="preserve">Indicate by check mark whether the registrant files or will file annual reports under cover of Form 20-F or Form 40-F. Form 20-F </w:t>
      </w:r>
      <w:r>
        <w:rPr>
          <w:rFonts w:ascii="MS PGothic" w:cs="MS PGothic" w:eastAsia="MS PGothic" w:hAnsi="MS PGothic"/>
          <w:sz w:val="19"/>
          <w:szCs w:val="19"/>
          <w:color w:val="auto"/>
        </w:rPr>
        <w:t>☒</w:t>
      </w:r>
      <w:r>
        <w:rPr>
          <w:rFonts w:ascii="Arial" w:cs="Arial" w:eastAsia="Arial" w:hAnsi="Arial"/>
          <w:sz w:val="19"/>
          <w:szCs w:val="19"/>
          <w:color w:val="auto"/>
        </w:rPr>
        <w:t xml:space="preserve"> Form 40-F </w:t>
      </w:r>
      <w:r>
        <w:rPr>
          <w:rFonts w:ascii="MS PGothic" w:cs="MS PGothic" w:eastAsia="MS PGothic" w:hAnsi="MS PGothic"/>
          <w:sz w:val="19"/>
          <w:szCs w:val="19"/>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6250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0680"/>
          </w:cols>
          <w:pgMar w:left="120" w:top="1115"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9"/>
          <w:szCs w:val="19"/>
          <w:b w:val="1"/>
          <w:bCs w:val="1"/>
          <w:color w:val="auto"/>
        </w:rPr>
        <w:t>INFORMATION CONTAINED IN THIS REPORT ON FORM 6-K</w:t>
      </w: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On January 3, 2019, Verona Pharma plc (the "Company") issued a press release announcing the appointment of Kathleen Rickard, MD, as Chief Medical Officer, and Tara Rheault, PhD, MPH, as Vice President of R&amp;D Operations and Global Project Management (the "Executive Appointments Announcement"). Dr. Rickard is expected to start in her role on February 1, 2019, and Dr. Rheault started in her role on January 1, 2019.</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Executive Appointments Announcement is furnished herewith as Exhibit 1 to this Report on Form 6-K.</w:t>
      </w:r>
    </w:p>
    <w:p>
      <w:pPr>
        <w:spacing w:after="0" w:line="238" w:lineRule="exact"/>
        <w:rPr>
          <w:sz w:val="20"/>
          <w:szCs w:val="20"/>
          <w:color w:val="auto"/>
        </w:rPr>
      </w:pPr>
    </w:p>
    <w:p>
      <w:pPr>
        <w:ind w:right="280"/>
        <w:spacing w:after="0" w:line="261" w:lineRule="auto"/>
        <w:rPr>
          <w:sz w:val="20"/>
          <w:szCs w:val="20"/>
          <w:color w:val="auto"/>
        </w:rPr>
      </w:pPr>
      <w:r>
        <w:rPr>
          <w:rFonts w:ascii="Arial" w:cs="Arial" w:eastAsia="Arial" w:hAnsi="Arial"/>
          <w:sz w:val="19"/>
          <w:szCs w:val="19"/>
          <w:color w:val="auto"/>
        </w:rPr>
        <w:t>This Report on Form 6-K, excluding Exhibit 1, is hereby incorporated by reference into the Company’s Registration Statement on Form F-3 (File No. 333-225107).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Exhibit</w:t>
      </w:r>
    </w:p>
    <w:p>
      <w:pPr>
        <w:ind w:left="1840"/>
        <w:spacing w:after="0"/>
        <w:tabs>
          <w:tab w:leader="none" w:pos="64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24765</wp:posOffset>
            </wp:positionV>
            <wp:extent cx="620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3315" cy="8890"/>
                    </a:xfrm>
                    <a:prstGeom prst="rect">
                      <a:avLst/>
                    </a:prstGeom>
                    <a:noFill/>
                  </pic:spPr>
                </pic:pic>
              </a:graphicData>
            </a:graphic>
          </wp:anchor>
        </w:drawing>
      </w:r>
    </w:p>
    <w:p>
      <w:pPr>
        <w:spacing w:after="0" w:line="246" w:lineRule="exact"/>
        <w:rPr>
          <w:sz w:val="20"/>
          <w:szCs w:val="20"/>
          <w:color w:val="auto"/>
        </w:rPr>
      </w:pPr>
    </w:p>
    <w:p>
      <w:pPr>
        <w:ind w:left="1140"/>
        <w:spacing w:after="0"/>
        <w:tabs>
          <w:tab w:leader="none" w:pos="3080" w:val="left"/>
        </w:tabs>
        <w:rPr>
          <w:sz w:val="20"/>
          <w:szCs w:val="20"/>
          <w:color w:val="auto"/>
        </w:rPr>
      </w:pPr>
      <w:r>
        <w:rPr>
          <w:rFonts w:ascii="Arial" w:cs="Arial" w:eastAsia="Arial" w:hAnsi="Arial"/>
          <w:sz w:val="19"/>
          <w:szCs w:val="19"/>
          <w:u w:val="single" w:color="auto"/>
          <w:color w:val="0000EE"/>
        </w:rPr>
        <w:t>1</w:t>
      </w:r>
      <w:r>
        <w:rPr>
          <w:sz w:val="20"/>
          <w:szCs w:val="20"/>
          <w:color w:val="auto"/>
        </w:rPr>
        <w:tab/>
      </w:r>
      <w:r>
        <w:rPr>
          <w:rFonts w:ascii="Arial" w:cs="Arial" w:eastAsia="Arial" w:hAnsi="Arial"/>
          <w:sz w:val="19"/>
          <w:szCs w:val="19"/>
          <w:u w:val="single" w:color="auto"/>
          <w:color w:val="0000EE"/>
        </w:rPr>
        <w:t>Executive Appointments Announcement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SIGNATURES</w:t>
      </w:r>
    </w:p>
    <w:p>
      <w:pPr>
        <w:spacing w:after="0" w:line="262"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2500" w:type="dxa"/>
            <w:vAlign w:val="bottom"/>
          </w:tcPr>
          <w:p>
            <w:pPr>
              <w:spacing w:after="0"/>
              <w:rPr>
                <w:sz w:val="21"/>
                <w:szCs w:val="21"/>
                <w:color w:val="auto"/>
              </w:rPr>
            </w:pPr>
          </w:p>
        </w:tc>
        <w:tc>
          <w:tcPr>
            <w:tcW w:w="3060" w:type="dxa"/>
            <w:vAlign w:val="bottom"/>
            <w:gridSpan w:val="2"/>
          </w:tcPr>
          <w:p>
            <w:pPr>
              <w:ind w:left="600"/>
              <w:spacing w:after="0"/>
              <w:rPr>
                <w:sz w:val="20"/>
                <w:szCs w:val="20"/>
                <w:color w:val="auto"/>
              </w:rPr>
            </w:pPr>
            <w:r>
              <w:rPr>
                <w:rFonts w:ascii="Arial" w:cs="Arial" w:eastAsia="Arial" w:hAnsi="Arial"/>
                <w:sz w:val="19"/>
                <w:szCs w:val="19"/>
                <w:b w:val="1"/>
                <w:bCs w:val="1"/>
                <w:color w:val="auto"/>
              </w:rPr>
              <w:t>VERONA PHARMA PLC</w:t>
            </w:r>
          </w:p>
        </w:tc>
        <w:tc>
          <w:tcPr>
            <w:tcW w:w="4180" w:type="dxa"/>
            <w:vAlign w:val="bottom"/>
          </w:tcPr>
          <w:p>
            <w:pPr>
              <w:spacing w:after="0"/>
              <w:rPr>
                <w:sz w:val="21"/>
                <w:szCs w:val="21"/>
                <w:color w:val="auto"/>
              </w:rPr>
            </w:pPr>
          </w:p>
        </w:tc>
      </w:tr>
      <w:tr>
        <w:trPr>
          <w:trHeight w:val="580"/>
        </w:trPr>
        <w:tc>
          <w:tcPr>
            <w:tcW w:w="2500" w:type="dxa"/>
            <w:vAlign w:val="bottom"/>
          </w:tcPr>
          <w:p>
            <w:pPr>
              <w:spacing w:after="0"/>
              <w:rPr>
                <w:sz w:val="20"/>
                <w:szCs w:val="20"/>
                <w:color w:val="auto"/>
              </w:rPr>
            </w:pPr>
            <w:r>
              <w:rPr>
                <w:rFonts w:ascii="Arial" w:cs="Arial" w:eastAsia="Arial" w:hAnsi="Arial"/>
                <w:sz w:val="19"/>
                <w:szCs w:val="19"/>
                <w:color w:val="auto"/>
              </w:rPr>
              <w:t>Date: January 4, 2019</w:t>
            </w:r>
          </w:p>
        </w:tc>
        <w:tc>
          <w:tcPr>
            <w:tcW w:w="1880" w:type="dxa"/>
            <w:vAlign w:val="bottom"/>
          </w:tcPr>
          <w:p>
            <w:pPr>
              <w:ind w:left="1200"/>
              <w:spacing w:after="0"/>
              <w:rPr>
                <w:sz w:val="20"/>
                <w:szCs w:val="20"/>
                <w:color w:val="auto"/>
              </w:rPr>
            </w:pPr>
            <w:r>
              <w:rPr>
                <w:rFonts w:ascii="Arial" w:cs="Arial" w:eastAsia="Arial" w:hAnsi="Arial"/>
                <w:sz w:val="19"/>
                <w:szCs w:val="19"/>
                <w:color w:val="auto"/>
              </w:rPr>
              <w:t>By:</w:t>
            </w:r>
          </w:p>
        </w:tc>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Jan-Anders Karlsson</w:t>
            </w:r>
          </w:p>
        </w:tc>
      </w:tr>
      <w:tr>
        <w:trPr>
          <w:trHeight w:val="256"/>
        </w:trPr>
        <w:tc>
          <w:tcPr>
            <w:tcW w:w="2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9"/>
                <w:szCs w:val="19"/>
                <w:color w:val="auto"/>
              </w:rPr>
              <w:t>Name:</w:t>
            </w:r>
          </w:p>
        </w:tc>
        <w:tc>
          <w:tcPr>
            <w:tcW w:w="4180" w:type="dxa"/>
            <w:vAlign w:val="bottom"/>
          </w:tcPr>
          <w:p>
            <w:pPr>
              <w:ind w:left="320"/>
              <w:spacing w:after="0"/>
              <w:rPr>
                <w:sz w:val="20"/>
                <w:szCs w:val="20"/>
                <w:color w:val="auto"/>
              </w:rPr>
            </w:pPr>
            <w:r>
              <w:rPr>
                <w:rFonts w:ascii="Arial" w:cs="Arial" w:eastAsia="Arial" w:hAnsi="Arial"/>
                <w:sz w:val="19"/>
                <w:szCs w:val="19"/>
                <w:color w:val="auto"/>
              </w:rPr>
              <w:t>Jan-Anders Karlsson, PhD</w:t>
            </w:r>
          </w:p>
        </w:tc>
      </w:tr>
      <w:tr>
        <w:trPr>
          <w:trHeight w:val="285"/>
        </w:trPr>
        <w:tc>
          <w:tcPr>
            <w:tcW w:w="2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9"/>
                <w:szCs w:val="19"/>
                <w:color w:val="auto"/>
              </w:rPr>
              <w:t>Title:</w:t>
            </w:r>
          </w:p>
        </w:tc>
        <w:tc>
          <w:tcPr>
            <w:tcW w:w="4180" w:type="dxa"/>
            <w:vAlign w:val="bottom"/>
          </w:tcPr>
          <w:p>
            <w:pPr>
              <w:ind w:left="320"/>
              <w:spacing w:after="0"/>
              <w:rPr>
                <w:sz w:val="20"/>
                <w:szCs w:val="20"/>
                <w:color w:val="auto"/>
              </w:rPr>
            </w:pPr>
            <w:r>
              <w:rPr>
                <w:rFonts w:ascii="Arial" w:cs="Arial" w:eastAsia="Arial" w:hAnsi="Arial"/>
                <w:sz w:val="19"/>
                <w:szCs w:val="19"/>
                <w:color w:val="auto"/>
              </w:rPr>
              <w:t>Chief Executive Officer</w:t>
            </w:r>
          </w:p>
        </w:tc>
      </w:tr>
    </w:tbl>
    <w:p>
      <w:pPr>
        <w:sectPr>
          <w:pgSz w:w="12240" w:h="15840" w:orient="portrait"/>
          <w:cols w:equalWidth="0" w:num="1">
            <w:col w:w="11920"/>
          </w:cols>
          <w:pgMar w:left="120" w:top="459" w:right="20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1472565</wp:posOffset>
            </wp:positionV>
            <wp:extent cx="765048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page">
              <wp:posOffset>5587365</wp:posOffset>
            </wp:positionH>
            <wp:positionV relativeFrom="page">
              <wp:posOffset>0</wp:posOffset>
            </wp:positionV>
            <wp:extent cx="2110105"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101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
        <w:spacing w:after="0" w:line="276" w:lineRule="auto"/>
        <w:rPr>
          <w:sz w:val="20"/>
          <w:szCs w:val="20"/>
          <w:color w:val="auto"/>
        </w:rPr>
      </w:pPr>
      <w:r>
        <w:rPr>
          <w:rFonts w:ascii="Arial" w:cs="Arial" w:eastAsia="Arial" w:hAnsi="Arial"/>
          <w:sz w:val="27"/>
          <w:szCs w:val="27"/>
          <w:b w:val="1"/>
          <w:bCs w:val="1"/>
          <w:color w:val="auto"/>
        </w:rPr>
        <w:t>Verona Pharma Appoints Kathleen Rickard, MD, as Chief Medical Officer to Lead Late Stage Clinical Development of RPL554</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Tara Rheault, PhD, MPH, named Vice President, R&amp;D Operations and Global Project Management</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January 3, 2019, LONDON </w:t>
      </w:r>
      <w:r>
        <w:rPr>
          <w:rFonts w:ascii="Arial" w:cs="Arial" w:eastAsia="Arial" w:hAnsi="Arial"/>
          <w:sz w:val="19"/>
          <w:szCs w:val="19"/>
          <w:color w:val="auto"/>
        </w:rPr>
        <w:t>- Verona Pharma plc (AIM:VRP) (Nasdaq:VRNA) (“Verona Pharma”), a clinical stage biopharmaceutical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focused on developing and commercializing innovative therapies for respiratory diseases, announces the expansion of its global clinical development team with the appointment of Kathleen Rickard, MD, as Chief Medical Officer, and Tara Rheault, PhD, MPH, as Vice President of Research and Development Operations and Global Project Management. Drs. Rickard and Rheault will be based in the Company’s U.S. offices from where they will leverage their expertise to help drive global R&amp;D activities. Dr. Rickard is expected to start in her role on February 1, 2019 and Dr. Rheault started in her role on January 1, 2019.</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her new role, Dr. Rickard brings 25 years of experience in clinical research in respiratory medicine, industry, and management to lead the clinical development of RPL554, Verona Pharma’s first-in-class product candidate in development for the maintenance treatment of chronic obstructive pulmonary disease (“COPD”), cystic fibrosis (“CF”), and potentially asthma.</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“We are delighted to welcome Drs. Rickard and Rheault to Verona Pharma and look forward to working with them to advance RPL554 into late stage clinical development,” said Jan-Anders Karlsson, PhD, CEO of Verona Pharma. “Dr. Rickard’s extensive expertise in respiratory drug development combined with her strong leadership skills will be a tremendous asset as we prepare for the pivotal Phase 3 clinical development program for the maintenance treatment of COPD. Likewise, Dr. Rheault’s years of experience at the intersection of clinical development, regulatory affairs and commercialization will help guide our global R&amp;D and project management efforts.”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Prior to joining Verona Pharma, Dr. Rickard served in multiple roles at Aerocrine AB and subsequently Circassia, where she was instrumental in directing clinical and regulatory strategies for NIOX VERO, an airway inflammation test for managing asthma, across key markets such as the United States, China, and Japan, as well as the rest of the world. Previously, Dr. Rickard was Vice President Clinical Development and Medical Affairs of GlaxoSmithKline’s Respiratory Medicines Development Centre and, over a period of 15 years, held a number of other leadership positions in clinical development across GlaxoSmithKline’s global respiratory franchise.</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Dr. Rheault has more than 16 years of cross-functional leadership experience across drug discovery and development. Prior to joining Verona Pharma, she was a strategic drug development leader at IQVIA where she helped pharmaceutical companies develop integrated commercial and R&amp;D strategies, including work on the Company’s RPL554 program. Dr. Rheault started her career as a medicinal chemist at GlaxoSmithKline, where she was the inventor of the now marketed drug Tafinlar</w:t>
      </w:r>
      <w:r>
        <w:rPr>
          <w:rFonts w:ascii="Arial" w:cs="Arial" w:eastAsia="Arial" w:hAnsi="Arial"/>
          <w:sz w:val="22"/>
          <w:szCs w:val="22"/>
          <w:color w:val="auto"/>
          <w:vertAlign w:val="superscript"/>
        </w:rPr>
        <w:t>®</w:t>
      </w:r>
      <w:r>
        <w:rPr>
          <w:rFonts w:ascii="Arial" w:cs="Arial" w:eastAsia="Arial" w:hAnsi="Arial"/>
          <w:sz w:val="19"/>
          <w:szCs w:val="19"/>
          <w:color w:val="auto"/>
        </w:rPr>
        <w:t>. She then moved on to global project leadership and portfolio management for early development projects, building integrated early R&amp;D and commercial strategies for new dermatology products, before transitioning into late stage clinical development in the respiratory therapy area as a clinical program and study leader, contributing to Nucala, Incruse, Breo and Anoro late stage development programs, in addition to other novel programs.</w:t>
      </w:r>
    </w:p>
    <w:p>
      <w:pPr>
        <w:sectPr>
          <w:pgSz w:w="12240" w:h="15840" w:orient="portrait"/>
          <w:cols w:equalWidth="0" w:num="1">
            <w:col w:w="12000"/>
          </w:cols>
          <w:pgMar w:left="120" w:top="1440" w:right="120"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About Verona Pharma plc</w:t>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previous clinical trials, RPL554 has been observed to result in bronchodilator effects when used alone or as an add-on treatment to other COPD bronchodilators. It has shown clinically meaningful and statistically significant improvements in lung function when administered in addition to frequently used short- and long-acting bronchodilators, such as tiotropium (Spiriva</w:t>
      </w:r>
      <w:r>
        <w:rPr>
          <w:rFonts w:ascii="Arial" w:cs="Arial" w:eastAsia="Arial" w:hAnsi="Arial"/>
          <w:sz w:val="22"/>
          <w:szCs w:val="22"/>
          <w:color w:val="auto"/>
          <w:vertAlign w:val="superscript"/>
        </w:rPr>
        <w:t>®</w:t>
      </w:r>
      <w:r>
        <w:rPr>
          <w:rFonts w:ascii="Arial" w:cs="Arial" w:eastAsia="Arial" w:hAnsi="Arial"/>
          <w:sz w:val="19"/>
          <w:szCs w:val="19"/>
          <w:color w:val="auto"/>
        </w:rPr>
        <w:t>), compared with such bronchodilators administered as a single agent. RPL554 improved FEV</w:t>
      </w:r>
      <w:r>
        <w:rPr>
          <w:rFonts w:ascii="Arial" w:cs="Arial" w:eastAsia="Arial" w:hAnsi="Arial"/>
          <w:sz w:val="22"/>
          <w:szCs w:val="22"/>
          <w:color w:val="auto"/>
          <w:vertAlign w:val="subscript"/>
        </w:rPr>
        <w:t>1</w:t>
      </w:r>
      <w:r>
        <w:rPr>
          <w:rFonts w:ascii="Arial" w:cs="Arial" w:eastAsia="Arial" w:hAnsi="Arial"/>
          <w:sz w:val="19"/>
          <w:szCs w:val="19"/>
          <w:color w:val="auto"/>
        </w:rPr>
        <w:t xml:space="preserve"> over four weeks in patients with moderate-to-severe COPD when compared to placebo and improved COPD symptoms and quality of life in a Phase 2b multicenter European study performed in 403 patients. In addition, RPL554 has shown anti-inflammatory effects in a standard challenge study with COPD-like inflammation in human subjects. RPL554 has been well tolerated in these studies and has shown a favorable safety and tolerability profile, having been administered to more than 730 subjects in 12 clinical trials. Verona Pharma is developing RPL554 for the treatment of COPD, CF, and potentially asthma.</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press release contains forward-looking statements. All statements contained in this press release that do not relate to matters of historical fact should be considered forward-looking statements, including, but not limited to, statements regarding Drs. Rickard and Rheault’s roles at Verona Pharma and their potential contributions to the development of RPL554, including into late stage development.</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 These and other important factors under the caption “Risk Factors” in our Annual Report on Form 20-F filed with the Securities and Exchange Commission (“SEC”) on February 27, 2018,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ectPr>
          <w:pgSz w:w="12240" w:h="15840" w:orient="portrait"/>
          <w:cols w:equalWidth="0" w:num="1">
            <w:col w:w="12000"/>
          </w:cols>
          <w:pgMar w:left="120" w:top="231" w:right="120"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For further information, please contact:</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Verona Pharma plc</w:t>
            </w:r>
          </w:p>
        </w:tc>
        <w:tc>
          <w:tcPr>
            <w:tcW w:w="2580" w:type="dxa"/>
            <w:vAlign w:val="bottom"/>
          </w:tcPr>
          <w:p>
            <w:pPr>
              <w:ind w:left="1880"/>
              <w:spacing w:after="0"/>
              <w:rPr>
                <w:sz w:val="20"/>
                <w:szCs w:val="20"/>
                <w:color w:val="auto"/>
              </w:rPr>
            </w:pPr>
            <w:r>
              <w:rPr>
                <w:rFonts w:ascii="Arial" w:cs="Arial" w:eastAsia="Arial" w:hAnsi="Arial"/>
                <w:sz w:val="19"/>
                <w:szCs w:val="19"/>
                <w:color w:val="auto"/>
                <w:w w:val="98"/>
              </w:rPr>
              <w:t>Tel: +44</w:t>
            </w:r>
          </w:p>
        </w:tc>
        <w:tc>
          <w:tcPr>
            <w:tcW w:w="2140" w:type="dxa"/>
            <w:vAlign w:val="bottom"/>
          </w:tcPr>
          <w:p>
            <w:pPr>
              <w:ind w:left="20"/>
              <w:spacing w:after="0"/>
              <w:rPr>
                <w:sz w:val="20"/>
                <w:szCs w:val="20"/>
                <w:color w:val="auto"/>
              </w:rPr>
            </w:pPr>
            <w:r>
              <w:rPr>
                <w:rFonts w:ascii="Arial" w:cs="Arial" w:eastAsia="Arial" w:hAnsi="Arial"/>
                <w:sz w:val="19"/>
                <w:szCs w:val="19"/>
                <w:color w:val="auto"/>
              </w:rPr>
              <w:t>(0)20 3283 4200</w:t>
            </w:r>
          </w:p>
        </w:tc>
      </w:tr>
      <w:tr>
        <w:trPr>
          <w:trHeight w:val="271"/>
        </w:trPr>
        <w:tc>
          <w:tcPr>
            <w:tcW w:w="6180" w:type="dxa"/>
            <w:vAlign w:val="bottom"/>
          </w:tcPr>
          <w:p>
            <w:pPr>
              <w:spacing w:after="0"/>
              <w:rPr>
                <w:sz w:val="20"/>
                <w:szCs w:val="20"/>
                <w:color w:val="auto"/>
              </w:rPr>
            </w:pPr>
            <w:r>
              <w:rPr>
                <w:rFonts w:ascii="Arial" w:cs="Arial" w:eastAsia="Arial" w:hAnsi="Arial"/>
                <w:sz w:val="19"/>
                <w:szCs w:val="19"/>
                <w:color w:val="auto"/>
              </w:rPr>
              <w:t>Jan-Anders Karlsson, Chief Executive Officer</w:t>
            </w: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rPr>
              <w:t>info@veronapharma.com</w:t>
            </w:r>
          </w:p>
        </w:tc>
      </w:tr>
      <w:tr>
        <w:trPr>
          <w:trHeight w:val="485"/>
        </w:trPr>
        <w:tc>
          <w:tcPr>
            <w:tcW w:w="6180" w:type="dxa"/>
            <w:vAlign w:val="bottom"/>
          </w:tcPr>
          <w:p>
            <w:pPr>
              <w:spacing w:after="0"/>
              <w:rPr>
                <w:sz w:val="20"/>
                <w:szCs w:val="20"/>
                <w:color w:val="auto"/>
              </w:rPr>
            </w:pPr>
            <w:r>
              <w:rPr>
                <w:rFonts w:ascii="Arial" w:cs="Arial" w:eastAsia="Arial" w:hAnsi="Arial"/>
                <w:sz w:val="19"/>
                <w:szCs w:val="19"/>
                <w:color w:val="auto"/>
              </w:rPr>
              <w:t>Stifel Nicolaus Europe Limited (Nominated Adviser</w:t>
            </w: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and UK Broker)</w:t>
            </w:r>
          </w:p>
        </w:tc>
        <w:tc>
          <w:tcPr>
            <w:tcW w:w="2580" w:type="dxa"/>
            <w:vAlign w:val="bottom"/>
          </w:tcPr>
          <w:p>
            <w:pPr>
              <w:ind w:left="1880"/>
              <w:spacing w:after="0"/>
              <w:rPr>
                <w:sz w:val="20"/>
                <w:szCs w:val="20"/>
                <w:color w:val="auto"/>
              </w:rPr>
            </w:pPr>
            <w:r>
              <w:rPr>
                <w:rFonts w:ascii="Arial" w:cs="Arial" w:eastAsia="Arial" w:hAnsi="Arial"/>
                <w:sz w:val="19"/>
                <w:szCs w:val="19"/>
                <w:color w:val="auto"/>
                <w:w w:val="98"/>
              </w:rPr>
              <w:t>Tel: +44</w:t>
            </w:r>
          </w:p>
        </w:tc>
        <w:tc>
          <w:tcPr>
            <w:tcW w:w="2140" w:type="dxa"/>
            <w:vAlign w:val="bottom"/>
          </w:tcPr>
          <w:p>
            <w:pPr>
              <w:ind w:left="20"/>
              <w:spacing w:after="0"/>
              <w:rPr>
                <w:sz w:val="20"/>
                <w:szCs w:val="20"/>
                <w:color w:val="auto"/>
              </w:rPr>
            </w:pPr>
            <w:r>
              <w:rPr>
                <w:rFonts w:ascii="Arial" w:cs="Arial" w:eastAsia="Arial" w:hAnsi="Arial"/>
                <w:sz w:val="19"/>
                <w:szCs w:val="19"/>
                <w:color w:val="auto"/>
              </w:rPr>
              <w:t>(0) 20 7710 7600</w:t>
            </w:r>
          </w:p>
        </w:tc>
      </w:tr>
      <w:tr>
        <w:trPr>
          <w:trHeight w:val="285"/>
        </w:trPr>
        <w:tc>
          <w:tcPr>
            <w:tcW w:w="6180" w:type="dxa"/>
            <w:vAlign w:val="bottom"/>
          </w:tcPr>
          <w:p>
            <w:pPr>
              <w:spacing w:after="0"/>
              <w:rPr>
                <w:sz w:val="20"/>
                <w:szCs w:val="20"/>
                <w:color w:val="auto"/>
              </w:rPr>
            </w:pPr>
            <w:r>
              <w:rPr>
                <w:rFonts w:ascii="Arial" w:cs="Arial" w:eastAsia="Arial" w:hAnsi="Arial"/>
                <w:sz w:val="19"/>
                <w:szCs w:val="19"/>
                <w:color w:val="auto"/>
              </w:rPr>
              <w:t>Stewart Wallace / Jonathan Senior / Ben Maddison</w:t>
            </w: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99"/>
        </w:trPr>
        <w:tc>
          <w:tcPr>
            <w:tcW w:w="6180" w:type="dxa"/>
            <w:vAlign w:val="bottom"/>
          </w:tcPr>
          <w:p>
            <w:pPr>
              <w:spacing w:after="0"/>
              <w:rPr>
                <w:sz w:val="20"/>
                <w:szCs w:val="20"/>
                <w:color w:val="auto"/>
              </w:rPr>
            </w:pPr>
            <w:r>
              <w:rPr>
                <w:rFonts w:ascii="Arial" w:cs="Arial" w:eastAsia="Arial" w:hAnsi="Arial"/>
                <w:sz w:val="19"/>
                <w:szCs w:val="19"/>
                <w:color w:val="auto"/>
              </w:rPr>
              <w:t>FTI Consulting (UK Media and Investor enquiries)</w:t>
            </w:r>
          </w:p>
        </w:tc>
        <w:tc>
          <w:tcPr>
            <w:tcW w:w="2580" w:type="dxa"/>
            <w:vAlign w:val="bottom"/>
          </w:tcPr>
          <w:p>
            <w:pPr>
              <w:ind w:left="1880"/>
              <w:spacing w:after="0"/>
              <w:rPr>
                <w:sz w:val="20"/>
                <w:szCs w:val="20"/>
                <w:color w:val="auto"/>
              </w:rPr>
            </w:pPr>
            <w:r>
              <w:rPr>
                <w:rFonts w:ascii="Arial" w:cs="Arial" w:eastAsia="Arial" w:hAnsi="Arial"/>
                <w:sz w:val="19"/>
                <w:szCs w:val="19"/>
                <w:color w:val="auto"/>
                <w:w w:val="98"/>
              </w:rPr>
              <w:t>Tel: +44</w:t>
            </w:r>
          </w:p>
        </w:tc>
        <w:tc>
          <w:tcPr>
            <w:tcW w:w="2140" w:type="dxa"/>
            <w:vAlign w:val="bottom"/>
          </w:tcPr>
          <w:p>
            <w:pPr>
              <w:ind w:left="20"/>
              <w:spacing w:after="0"/>
              <w:rPr>
                <w:sz w:val="20"/>
                <w:szCs w:val="20"/>
                <w:color w:val="auto"/>
              </w:rPr>
            </w:pPr>
            <w:r>
              <w:rPr>
                <w:rFonts w:ascii="Arial" w:cs="Arial" w:eastAsia="Arial" w:hAnsi="Arial"/>
                <w:sz w:val="19"/>
                <w:szCs w:val="19"/>
                <w:color w:val="auto"/>
              </w:rPr>
              <w:t>(0)20 3727 1000</w:t>
            </w:r>
          </w:p>
        </w:tc>
      </w:tr>
      <w:tr>
        <w:trPr>
          <w:trHeight w:val="271"/>
        </w:trPr>
        <w:tc>
          <w:tcPr>
            <w:tcW w:w="6180" w:type="dxa"/>
            <w:vAlign w:val="bottom"/>
          </w:tcPr>
          <w:p>
            <w:pPr>
              <w:spacing w:after="0"/>
              <w:rPr>
                <w:sz w:val="20"/>
                <w:szCs w:val="20"/>
                <w:color w:val="auto"/>
              </w:rPr>
            </w:pPr>
            <w:r>
              <w:rPr>
                <w:rFonts w:ascii="Arial" w:cs="Arial" w:eastAsia="Arial" w:hAnsi="Arial"/>
                <w:sz w:val="19"/>
                <w:szCs w:val="19"/>
                <w:color w:val="auto"/>
              </w:rPr>
              <w:t>Simon Conway / Natalie Garland-Collins</w:t>
            </w: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w w:val="99"/>
              </w:rPr>
              <w:t>veronapharma@fticonsulting.com</w:t>
            </w:r>
          </w:p>
        </w:tc>
      </w:tr>
      <w:tr>
        <w:trPr>
          <w:trHeight w:val="513"/>
        </w:trPr>
        <w:tc>
          <w:tcPr>
            <w:tcW w:w="6180" w:type="dxa"/>
            <w:vAlign w:val="bottom"/>
          </w:tcPr>
          <w:p>
            <w:pPr>
              <w:spacing w:after="0"/>
              <w:rPr>
                <w:sz w:val="20"/>
                <w:szCs w:val="20"/>
                <w:color w:val="auto"/>
              </w:rPr>
            </w:pPr>
            <w:r>
              <w:rPr>
                <w:rFonts w:ascii="Arial" w:cs="Arial" w:eastAsia="Arial" w:hAnsi="Arial"/>
                <w:sz w:val="19"/>
                <w:szCs w:val="19"/>
                <w:color w:val="auto"/>
              </w:rPr>
              <w:t>ICR, Inc. (US Media and Investor enquiries)</w:t>
            </w: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57"/>
        </w:trPr>
        <w:tc>
          <w:tcPr>
            <w:tcW w:w="6180" w:type="dxa"/>
            <w:vAlign w:val="bottom"/>
          </w:tcPr>
          <w:p>
            <w:pPr>
              <w:spacing w:after="0"/>
              <w:rPr>
                <w:sz w:val="22"/>
                <w:szCs w:val="22"/>
                <w:color w:val="auto"/>
              </w:rPr>
            </w:pP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rPr>
              <w:t>Tel: +1 203-919-7905</w:t>
            </w: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Darcie Robinson</w:t>
            </w: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rPr>
              <w:t>Darcie.Robinson@icrinc.com</w:t>
            </w:r>
          </w:p>
        </w:tc>
      </w:tr>
      <w:tr>
        <w:trPr>
          <w:trHeight w:val="257"/>
        </w:trPr>
        <w:tc>
          <w:tcPr>
            <w:tcW w:w="6180" w:type="dxa"/>
            <w:vAlign w:val="bottom"/>
          </w:tcPr>
          <w:p>
            <w:pPr>
              <w:spacing w:after="0"/>
              <w:rPr>
                <w:sz w:val="22"/>
                <w:szCs w:val="22"/>
                <w:color w:val="auto"/>
              </w:rPr>
            </w:pP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rPr>
              <w:t>Tel. +1 646-277-1282</w:t>
            </w: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Stephanie Carrington</w:t>
            </w:r>
          </w:p>
        </w:tc>
        <w:tc>
          <w:tcPr>
            <w:tcW w:w="4720" w:type="dxa"/>
            <w:vAlign w:val="bottom"/>
            <w:gridSpan w:val="2"/>
          </w:tcPr>
          <w:p>
            <w:pPr>
              <w:ind w:left="1880"/>
              <w:spacing w:after="0"/>
              <w:rPr>
                <w:sz w:val="20"/>
                <w:szCs w:val="20"/>
                <w:color w:val="auto"/>
              </w:rPr>
            </w:pPr>
            <w:r>
              <w:rPr>
                <w:rFonts w:ascii="Arial" w:cs="Arial" w:eastAsia="Arial" w:hAnsi="Arial"/>
                <w:sz w:val="19"/>
                <w:szCs w:val="19"/>
                <w:color w:val="auto"/>
                <w:w w:val="99"/>
              </w:rPr>
              <w:t>Stephanie.Carrington@icrinc.com</w:t>
            </w:r>
          </w:p>
        </w:tc>
      </w:tr>
    </w:tbl>
    <w:p>
      <w:pPr>
        <w:spacing w:after="0" w:line="1" w:lineRule="exact"/>
        <w:rPr>
          <w:sz w:val="20"/>
          <w:szCs w:val="20"/>
          <w:color w:val="auto"/>
        </w:rPr>
      </w:pPr>
    </w:p>
    <w:sectPr>
      <w:pgSz w:w="12240" w:h="15840" w:orient="portrait"/>
      <w:cols w:equalWidth="0" w:num="1">
        <w:col w:w="10920"/>
      </w:cols>
      <w:pgMar w:left="120" w:top="455"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2019-12-21T06:31:32Z</dcterms:created>
  <dcterms:modified xsi:type="dcterms:W3CDTF">2019-12-21T06:31:32Z</dcterms:modified>
</cp:coreProperties>
</file>