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13G/A</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3) *</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Ordinary Shares, nominal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30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1" w:name="page2"/>
    <w:bookmarkEnd w:id="1"/>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146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146165"/>
                    </a:xfrm>
                    <a:prstGeom prst="rect">
                      <a:avLst/>
                    </a:prstGeom>
                    <a:noFill/>
                  </pic:spPr>
                </pic:pic>
              </a:graphicData>
            </a:graphic>
          </wp:anchor>
        </w:drawing>
        <w:t>CUSIP No. 925050106</w:t>
      </w:r>
    </w:p>
    <w:p>
      <w:pPr>
        <w:spacing w:after="0" w:line="144" w:lineRule="exact"/>
        <w:rPr>
          <w:sz w:val="20"/>
          <w:szCs w:val="20"/>
          <w:color w:val="auto"/>
        </w:rPr>
      </w:pPr>
    </w:p>
    <w:p>
      <w:pPr>
        <w:ind w:left="880" w:hanging="505"/>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Vivo Ventures VII, LLC</w:t>
      </w:r>
    </w:p>
    <w:p>
      <w:pPr>
        <w:spacing w:after="0" w:line="148" w:lineRule="exact"/>
        <w:rPr>
          <w:sz w:val="20"/>
          <w:szCs w:val="20"/>
          <w:color w:val="auto"/>
        </w:rPr>
      </w:pPr>
    </w:p>
    <w:p>
      <w:pPr>
        <w:ind w:left="880" w:hanging="505"/>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40" w:hanging="255"/>
        <w:spacing w:after="0" w:line="207" w:lineRule="exact"/>
        <w:tabs>
          <w:tab w:leader="none" w:pos="11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140" w:hanging="255"/>
        <w:spacing w:after="0" w:line="207" w:lineRule="exact"/>
        <w:tabs>
          <w:tab w:leader="none" w:pos="11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8" w:lineRule="exact"/>
        <w:rPr>
          <w:sz w:val="20"/>
          <w:szCs w:val="20"/>
          <w:color w:val="auto"/>
        </w:rPr>
      </w:pPr>
    </w:p>
    <w:p>
      <w:pPr>
        <w:ind w:left="880" w:hanging="505"/>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sz w:val="20"/>
          <w:szCs w:val="20"/>
          <w:color w:val="auto"/>
        </w:rPr>
      </w:pPr>
    </w:p>
    <w:p>
      <w:pPr>
        <w:ind w:left="880" w:hanging="505"/>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48"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340"/>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7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xml:space="preserve">23,142,200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70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8</w:t>
            </w:r>
          </w:p>
        </w:tc>
        <w:tc>
          <w:tcPr>
            <w:tcW w:w="87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3"/>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SHARES</w:t>
            </w:r>
          </w:p>
        </w:tc>
        <w:tc>
          <w:tcPr>
            <w:tcW w:w="700" w:type="dxa"/>
            <w:vAlign w:val="bottom"/>
            <w:vMerge w:val="continue"/>
          </w:tcPr>
          <w:p>
            <w:pPr>
              <w:spacing w:after="0"/>
              <w:rPr>
                <w:sz w:val="14"/>
                <w:szCs w:val="14"/>
                <w:color w:val="auto"/>
              </w:rPr>
            </w:pPr>
          </w:p>
        </w:tc>
        <w:tc>
          <w:tcPr>
            <w:tcW w:w="8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18"/>
                <w:szCs w:val="18"/>
                <w:color w:val="auto"/>
              </w:rPr>
            </w:pPr>
          </w:p>
        </w:tc>
        <w:tc>
          <w:tcPr>
            <w:tcW w:w="87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3"/>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700" w:type="dxa"/>
            <w:vAlign w:val="bottom"/>
          </w:tcPr>
          <w:p>
            <w:pPr>
              <w:spacing w:after="0"/>
              <w:rPr>
                <w:sz w:val="14"/>
                <w:szCs w:val="14"/>
                <w:color w:val="auto"/>
              </w:rPr>
            </w:pPr>
          </w:p>
        </w:tc>
        <w:tc>
          <w:tcPr>
            <w:tcW w:w="8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52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5"/>
              </w:rPr>
              <w:t>EACH</w:t>
            </w:r>
          </w:p>
        </w:tc>
        <w:tc>
          <w:tcPr>
            <w:tcW w:w="70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9</w:t>
            </w:r>
          </w:p>
        </w:tc>
        <w:tc>
          <w:tcPr>
            <w:tcW w:w="87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70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5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700" w:type="dxa"/>
            <w:vAlign w:val="bottom"/>
          </w:tcPr>
          <w:p>
            <w:pPr>
              <w:spacing w:after="0"/>
              <w:rPr>
                <w:sz w:val="18"/>
                <w:szCs w:val="18"/>
                <w:color w:val="auto"/>
              </w:rPr>
            </w:pPr>
          </w:p>
        </w:tc>
        <w:tc>
          <w:tcPr>
            <w:tcW w:w="87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23,142,200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76"/>
        </w:trPr>
        <w:tc>
          <w:tcPr>
            <w:tcW w:w="1520" w:type="dxa"/>
            <w:vAlign w:val="bottom"/>
            <w:vMerge w:val="restart"/>
          </w:tcPr>
          <w:p>
            <w:pPr>
              <w:jc w:val="center"/>
              <w:ind w:right="150"/>
              <w:spacing w:after="0" w:line="203" w:lineRule="exact"/>
              <w:rPr>
                <w:sz w:val="20"/>
                <w:szCs w:val="20"/>
                <w:color w:val="auto"/>
              </w:rPr>
            </w:pPr>
            <w:r>
              <w:rPr>
                <w:rFonts w:ascii="Arial" w:cs="Arial" w:eastAsia="Arial" w:hAnsi="Arial"/>
                <w:sz w:val="18"/>
                <w:szCs w:val="18"/>
                <w:color w:val="auto"/>
              </w:rPr>
              <w:t>WITH</w:t>
            </w:r>
          </w:p>
        </w:tc>
        <w:tc>
          <w:tcPr>
            <w:tcW w:w="700" w:type="dxa"/>
            <w:vAlign w:val="bottom"/>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20" w:type="dxa"/>
            <w:vAlign w:val="bottom"/>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1"/>
                <w:szCs w:val="21"/>
                <w:color w:val="auto"/>
              </w:rPr>
            </w:pPr>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c>
          <w:tcPr>
            <w:tcW w:w="874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0</w:t>
      </w:r>
    </w:p>
    <w:p>
      <w:pPr>
        <w:spacing w:after="0" w:line="148" w:lineRule="exact"/>
        <w:rPr>
          <w:sz w:val="20"/>
          <w:szCs w:val="20"/>
          <w:color w:val="auto"/>
        </w:rPr>
      </w:pPr>
    </w:p>
    <w:p>
      <w:pPr>
        <w:ind w:left="920" w:hanging="587"/>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 xml:space="preserve">23,142,200 </w:t>
      </w:r>
      <w:r>
        <w:rPr>
          <w:rFonts w:ascii="Arial" w:cs="Arial" w:eastAsia="Arial" w:hAnsi="Arial"/>
          <w:sz w:val="29"/>
          <w:szCs w:val="29"/>
          <w:b w:val="1"/>
          <w:bCs w:val="1"/>
          <w:color w:val="auto"/>
          <w:vertAlign w:val="superscript"/>
        </w:rPr>
        <w:t>(1)</w:t>
      </w:r>
    </w:p>
    <w:p>
      <w:pPr>
        <w:spacing w:after="0" w:line="60" w:lineRule="exact"/>
        <w:rPr>
          <w:rFonts w:ascii="Arial" w:cs="Arial" w:eastAsia="Arial" w:hAnsi="Arial"/>
          <w:sz w:val="18"/>
          <w:szCs w:val="18"/>
          <w:color w:val="auto"/>
        </w:rPr>
      </w:pPr>
    </w:p>
    <w:p>
      <w:pPr>
        <w:ind w:left="880" w:hanging="55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90" w:lineRule="exact"/>
        <w:rPr>
          <w:rFonts w:ascii="Arial" w:cs="Arial" w:eastAsia="Arial" w:hAnsi="Arial"/>
          <w:sz w:val="18"/>
          <w:szCs w:val="18"/>
          <w:color w:val="auto"/>
        </w:rPr>
      </w:pPr>
    </w:p>
    <w:p>
      <w:pPr>
        <w:ind w:left="8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3" w:lineRule="exact"/>
        <w:rPr>
          <w:rFonts w:ascii="Arial" w:cs="Arial" w:eastAsia="Arial" w:hAnsi="Arial"/>
          <w:sz w:val="18"/>
          <w:szCs w:val="18"/>
          <w:color w:val="auto"/>
        </w:rPr>
      </w:pPr>
    </w:p>
    <w:p>
      <w:pPr>
        <w:ind w:left="880" w:hanging="55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3.8%</w:t>
      </w:r>
    </w:p>
    <w:p>
      <w:pPr>
        <w:spacing w:after="0" w:line="148" w:lineRule="exact"/>
        <w:rPr>
          <w:sz w:val="20"/>
          <w:szCs w:val="20"/>
          <w:color w:val="auto"/>
        </w:rPr>
      </w:pPr>
    </w:p>
    <w:p>
      <w:pPr>
        <w:ind w:left="920" w:hanging="590"/>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96" w:lineRule="exact"/>
        <w:rPr>
          <w:rFonts w:ascii="Arial" w:cs="Arial" w:eastAsia="Arial" w:hAnsi="Arial"/>
          <w:sz w:val="18"/>
          <w:szCs w:val="18"/>
          <w:color w:val="auto"/>
        </w:rPr>
      </w:pPr>
    </w:p>
    <w:p>
      <w:pPr>
        <w:ind w:left="340" w:right="340" w:hanging="332"/>
        <w:spacing w:after="0" w:line="229" w:lineRule="auto"/>
        <w:tabs>
          <w:tab w:leader="none" w:pos="340" w:val="left"/>
        </w:tabs>
        <w:numPr>
          <w:ilvl w:val="0"/>
          <w:numId w:val="11"/>
        </w:numPr>
        <w:rPr>
          <w:rFonts w:ascii="Arial" w:cs="Arial" w:eastAsia="Arial" w:hAnsi="Arial"/>
          <w:sz w:val="29"/>
          <w:szCs w:val="29"/>
          <w:color w:val="auto"/>
          <w:vertAlign w:val="superscript"/>
        </w:rPr>
      </w:pPr>
      <w:r>
        <w:rPr>
          <w:rFonts w:ascii="Arial" w:cs="Arial" w:eastAsia="Arial" w:hAnsi="Arial"/>
          <w:sz w:val="17"/>
          <w:szCs w:val="17"/>
          <w:color w:val="auto"/>
        </w:rPr>
        <w:t>The ordinary shares, nominal value £0.05 per share (the “Ordinary Share”) of Verona Pharma plc (the “Issuer”) are held in the form of American Depository Shares (ADS), with each ADS representing eight Ordinary Shares. These securities are held of record by Vivo Ventures Fund VII, L.P., Vivo Ventures VII Affiliates Fund, L.P. and Vivo Ventures Fund Cayman VII, L.P. Vivo Ventures VII, LLC is the general partner of Vivo Ventures Fund VII, L.P., Vivo Ventures VII Affiliates Fund, L.P. and Vivo Ventures Fund Cayman VII, L.P.</w:t>
      </w:r>
    </w:p>
    <w:p>
      <w:pPr>
        <w:spacing w:after="0" w:line="188" w:lineRule="exact"/>
        <w:rPr>
          <w:rFonts w:ascii="Arial" w:cs="Arial" w:eastAsia="Arial" w:hAnsi="Arial"/>
          <w:sz w:val="29"/>
          <w:szCs w:val="29"/>
          <w:color w:val="auto"/>
          <w:vertAlign w:val="superscript"/>
        </w:rPr>
      </w:pPr>
    </w:p>
    <w:p>
      <w:pPr>
        <w:ind w:left="340" w:right="28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Based on 604,980,598 Ordinary Shares of the Issuer as of November 3, 2022, as disclosed on the Issuer’s Form 10-Q for the quarterly period ended September 30, 2022, filed with the Securities and Exchange Commission (the “SEC”) on November 9, 2022.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 w:name="page3"/>
    <w:bookmarkEnd w:id="2"/>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172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172200"/>
                    </a:xfrm>
                    <a:prstGeom prst="rect">
                      <a:avLst/>
                    </a:prstGeom>
                    <a:noFill/>
                  </pic:spPr>
                </pic:pic>
              </a:graphicData>
            </a:graphic>
          </wp:anchor>
        </w:drawing>
        <w:t>CUSIP No. 925050106</w:t>
      </w:r>
    </w:p>
    <w:p>
      <w:pPr>
        <w:spacing w:after="0" w:line="144" w:lineRule="exact"/>
        <w:rPr>
          <w:sz w:val="20"/>
          <w:szCs w:val="20"/>
          <w:color w:val="auto"/>
        </w:rPr>
      </w:pPr>
    </w:p>
    <w:p>
      <w:pPr>
        <w:ind w:left="880" w:hanging="505"/>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Vivo Opportunity, LLC</w:t>
      </w:r>
    </w:p>
    <w:p>
      <w:pPr>
        <w:spacing w:after="0" w:line="148" w:lineRule="exact"/>
        <w:rPr>
          <w:sz w:val="20"/>
          <w:szCs w:val="20"/>
          <w:color w:val="auto"/>
        </w:rPr>
      </w:pPr>
    </w:p>
    <w:p>
      <w:pPr>
        <w:ind w:left="880" w:hanging="505"/>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140" w:hanging="255"/>
        <w:spacing w:after="0" w:line="207" w:lineRule="exact"/>
        <w:tabs>
          <w:tab w:leader="none" w:pos="114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140" w:hanging="255"/>
        <w:spacing w:after="0" w:line="207" w:lineRule="exact"/>
        <w:tabs>
          <w:tab w:leader="none" w:pos="114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8" w:lineRule="exact"/>
        <w:rPr>
          <w:sz w:val="20"/>
          <w:szCs w:val="20"/>
          <w:color w:val="auto"/>
        </w:rPr>
      </w:pPr>
    </w:p>
    <w:p>
      <w:pPr>
        <w:ind w:left="880" w:hanging="505"/>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0" w:lineRule="exact"/>
        <w:rPr>
          <w:sz w:val="20"/>
          <w:szCs w:val="20"/>
          <w:color w:val="auto"/>
        </w:rPr>
      </w:pPr>
    </w:p>
    <w:p>
      <w:pPr>
        <w:ind w:left="880" w:hanging="505"/>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48" w:lineRule="exact"/>
        <w:rPr>
          <w:rFonts w:ascii="Arial" w:cs="Arial" w:eastAsia="Arial" w:hAnsi="Arial"/>
          <w:sz w:val="18"/>
          <w:szCs w:val="18"/>
          <w:color w:val="auto"/>
        </w:rPr>
      </w:pPr>
    </w:p>
    <w:p>
      <w:pPr>
        <w:ind w:left="216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340"/>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7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xml:space="preserve">10,857,144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70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8</w:t>
            </w:r>
          </w:p>
        </w:tc>
        <w:tc>
          <w:tcPr>
            <w:tcW w:w="87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3"/>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1"/>
              </w:rPr>
              <w:t>SHARES</w:t>
            </w:r>
          </w:p>
        </w:tc>
        <w:tc>
          <w:tcPr>
            <w:tcW w:w="700" w:type="dxa"/>
            <w:vAlign w:val="bottom"/>
            <w:vMerge w:val="continue"/>
          </w:tcPr>
          <w:p>
            <w:pPr>
              <w:spacing w:after="0"/>
              <w:rPr>
                <w:sz w:val="14"/>
                <w:szCs w:val="14"/>
                <w:color w:val="auto"/>
              </w:rPr>
            </w:pPr>
          </w:p>
        </w:tc>
        <w:tc>
          <w:tcPr>
            <w:tcW w:w="8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18"/>
                <w:szCs w:val="18"/>
                <w:color w:val="auto"/>
              </w:rPr>
            </w:pPr>
          </w:p>
        </w:tc>
        <w:tc>
          <w:tcPr>
            <w:tcW w:w="87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3"/>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700" w:type="dxa"/>
            <w:vAlign w:val="bottom"/>
          </w:tcPr>
          <w:p>
            <w:pPr>
              <w:spacing w:after="0"/>
              <w:rPr>
                <w:sz w:val="14"/>
                <w:szCs w:val="14"/>
                <w:color w:val="auto"/>
              </w:rPr>
            </w:pPr>
          </w:p>
        </w:tc>
        <w:tc>
          <w:tcPr>
            <w:tcW w:w="8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520" w:type="dxa"/>
            <w:vAlign w:val="bottom"/>
            <w:vMerge w:val="continue"/>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52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5"/>
              </w:rPr>
              <w:t>EACH</w:t>
            </w:r>
          </w:p>
        </w:tc>
        <w:tc>
          <w:tcPr>
            <w:tcW w:w="70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9</w:t>
            </w:r>
          </w:p>
        </w:tc>
        <w:tc>
          <w:tcPr>
            <w:tcW w:w="87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700" w:type="dxa"/>
            <w:vAlign w:val="bottom"/>
            <w:vMerge w:val="continue"/>
          </w:tcPr>
          <w:p>
            <w:pPr>
              <w:spacing w:after="0"/>
              <w:rPr>
                <w:sz w:val="7"/>
                <w:szCs w:val="7"/>
                <w:color w:val="auto"/>
              </w:rPr>
            </w:pPr>
          </w:p>
        </w:tc>
        <w:tc>
          <w:tcPr>
            <w:tcW w:w="8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5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700" w:type="dxa"/>
            <w:vAlign w:val="bottom"/>
          </w:tcPr>
          <w:p>
            <w:pPr>
              <w:spacing w:after="0"/>
              <w:rPr>
                <w:sz w:val="18"/>
                <w:szCs w:val="18"/>
                <w:color w:val="auto"/>
              </w:rPr>
            </w:pPr>
          </w:p>
        </w:tc>
        <w:tc>
          <w:tcPr>
            <w:tcW w:w="87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10,857,144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76"/>
        </w:trPr>
        <w:tc>
          <w:tcPr>
            <w:tcW w:w="1520" w:type="dxa"/>
            <w:vAlign w:val="bottom"/>
            <w:vMerge w:val="restart"/>
          </w:tcPr>
          <w:p>
            <w:pPr>
              <w:jc w:val="center"/>
              <w:ind w:right="150"/>
              <w:spacing w:after="0" w:line="203" w:lineRule="exact"/>
              <w:rPr>
                <w:sz w:val="20"/>
                <w:szCs w:val="20"/>
                <w:color w:val="auto"/>
              </w:rPr>
            </w:pPr>
            <w:r>
              <w:rPr>
                <w:rFonts w:ascii="Arial" w:cs="Arial" w:eastAsia="Arial" w:hAnsi="Arial"/>
                <w:sz w:val="18"/>
                <w:szCs w:val="18"/>
                <w:color w:val="auto"/>
              </w:rPr>
              <w:t>WITH</w:t>
            </w:r>
          </w:p>
        </w:tc>
        <w:tc>
          <w:tcPr>
            <w:tcW w:w="700" w:type="dxa"/>
            <w:vAlign w:val="bottom"/>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20" w:type="dxa"/>
            <w:vAlign w:val="bottom"/>
            <w:vMerge w:val="continue"/>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rPr>
                <w:sz w:val="21"/>
                <w:szCs w:val="21"/>
                <w:color w:val="auto"/>
              </w:rPr>
            </w:pPr>
          </w:p>
        </w:tc>
        <w:tc>
          <w:tcPr>
            <w:tcW w:w="70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c>
          <w:tcPr>
            <w:tcW w:w="874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0</w:t>
      </w:r>
    </w:p>
    <w:p>
      <w:pPr>
        <w:spacing w:after="0" w:line="148" w:lineRule="exact"/>
        <w:rPr>
          <w:sz w:val="20"/>
          <w:szCs w:val="20"/>
          <w:color w:val="auto"/>
        </w:rPr>
      </w:pPr>
    </w:p>
    <w:p>
      <w:pPr>
        <w:ind w:left="920" w:hanging="58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 xml:space="preserve">10,857,144 </w:t>
      </w:r>
      <w:r>
        <w:rPr>
          <w:rFonts w:ascii="Arial" w:cs="Arial" w:eastAsia="Arial" w:hAnsi="Arial"/>
          <w:sz w:val="29"/>
          <w:szCs w:val="29"/>
          <w:b w:val="1"/>
          <w:bCs w:val="1"/>
          <w:color w:val="auto"/>
          <w:vertAlign w:val="superscript"/>
        </w:rPr>
        <w:t>(1)</w:t>
      </w:r>
    </w:p>
    <w:p>
      <w:pPr>
        <w:spacing w:after="0" w:line="60" w:lineRule="exact"/>
        <w:rPr>
          <w:rFonts w:ascii="Arial" w:cs="Arial" w:eastAsia="Arial" w:hAnsi="Arial"/>
          <w:sz w:val="18"/>
          <w:szCs w:val="18"/>
          <w:color w:val="auto"/>
        </w:rPr>
      </w:pPr>
    </w:p>
    <w:p>
      <w:pPr>
        <w:ind w:left="880" w:hanging="55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190" w:lineRule="exact"/>
        <w:rPr>
          <w:rFonts w:ascii="Arial" w:cs="Arial" w:eastAsia="Arial" w:hAnsi="Arial"/>
          <w:sz w:val="18"/>
          <w:szCs w:val="18"/>
          <w:color w:val="auto"/>
        </w:rPr>
      </w:pPr>
    </w:p>
    <w:p>
      <w:pPr>
        <w:ind w:left="8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3" w:lineRule="exact"/>
        <w:rPr>
          <w:rFonts w:ascii="Arial" w:cs="Arial" w:eastAsia="Arial" w:hAnsi="Arial"/>
          <w:sz w:val="18"/>
          <w:szCs w:val="18"/>
          <w:color w:val="auto"/>
        </w:rPr>
      </w:pPr>
    </w:p>
    <w:p>
      <w:pPr>
        <w:ind w:left="880" w:hanging="55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29"/>
          <w:szCs w:val="29"/>
          <w:b w:val="1"/>
          <w:bCs w:val="1"/>
          <w:color w:val="auto"/>
          <w:vertAlign w:val="superscript"/>
        </w:rPr>
        <w:t>(2)</w:t>
      </w:r>
    </w:p>
    <w:p>
      <w:pPr>
        <w:spacing w:after="0" w:line="61" w:lineRule="exact"/>
        <w:rPr>
          <w:sz w:val="20"/>
          <w:szCs w:val="20"/>
          <w:color w:val="auto"/>
        </w:rPr>
      </w:pPr>
    </w:p>
    <w:p>
      <w:pPr>
        <w:ind w:left="920" w:hanging="590"/>
        <w:spacing w:after="0"/>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18"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0" w:lineRule="exact"/>
        <w:rPr>
          <w:rFonts w:ascii="Arial" w:cs="Arial" w:eastAsia="Arial" w:hAnsi="Arial"/>
          <w:sz w:val="18"/>
          <w:szCs w:val="18"/>
          <w:color w:val="auto"/>
        </w:rPr>
      </w:pPr>
    </w:p>
    <w:p>
      <w:pPr>
        <w:ind w:left="340" w:right="80" w:hanging="332"/>
        <w:spacing w:after="0" w:line="194"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These securities are held of record in the form of ADS by Vivo Opportunity Fund Holdings, L.P. Vivo Opportunity, LLC is the general partner of Vivo Opportunity Fund Holdings, L.P.</w:t>
      </w:r>
    </w:p>
    <w:p>
      <w:pPr>
        <w:spacing w:after="0" w:line="188" w:lineRule="exact"/>
        <w:rPr>
          <w:rFonts w:ascii="Arial" w:cs="Arial" w:eastAsia="Arial" w:hAnsi="Arial"/>
          <w:sz w:val="30"/>
          <w:szCs w:val="30"/>
          <w:color w:val="auto"/>
          <w:vertAlign w:val="superscript"/>
        </w:rPr>
      </w:pPr>
    </w:p>
    <w:p>
      <w:pPr>
        <w:ind w:left="340" w:right="280" w:hanging="332"/>
        <w:spacing w:after="0" w:line="194" w:lineRule="auto"/>
        <w:tabs>
          <w:tab w:leader="none" w:pos="34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Based on 604,980,598 Ordinary Shares of the Issuer as of November 3, 2022, as disclosed on the Issuer’s Form 10-Q for the quarterly period ended September 30, 2022, filed with the SEC on November 9, 2022.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spacing w:after="0"/>
        <w:tabs>
          <w:tab w:leader="none" w:pos="640" w:val="left"/>
          <w:tab w:leader="none" w:pos="12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w:t>
        <w:tab/>
        <w:t>(a)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Verona Pharma plc</w:t>
      </w:r>
    </w:p>
    <w:p>
      <w:pPr>
        <w:spacing w:after="0" w:line="22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 More London Riverside, London SE1 2RE, United Kingdom</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Ventures VII, LLC and Vivo Opportunity, LLC</w:t>
      </w:r>
    </w:p>
    <w:p>
      <w:pPr>
        <w:spacing w:after="0" w:line="22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Ventures VII, LLC is a Delaware limited liability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Ordinary Shares and American Depositary Shares (ADS). For purposes of calculating the percentages in this Amendment No. 3 to Schedule 13G, each ADS represents beneficial ownership of eight Ordinary Shares.</w:t>
      </w:r>
    </w:p>
    <w:p>
      <w:pPr>
        <w:spacing w:after="0" w:line="166" w:lineRule="exact"/>
        <w:rPr>
          <w:sz w:val="20"/>
          <w:szCs w:val="20"/>
          <w:color w:val="auto"/>
        </w:rPr>
      </w:pPr>
    </w:p>
    <w:p>
      <w:pPr>
        <w:ind w:left="1300" w:right="8380" w:hanging="644"/>
        <w:spacing w:after="0" w:line="500" w:lineRule="auto"/>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CUSIP 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w:t>
      </w:r>
      <w:r>
        <w:rPr>
          <w:rFonts w:ascii="Arial" w:cs="Arial" w:eastAsia="Arial" w:hAnsi="Arial"/>
          <w:sz w:val="18"/>
          <w:szCs w:val="18"/>
          <w:color w:val="auto"/>
        </w:rPr>
        <w:t>925050106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980" w:hanging="324"/>
        <w:spacing w:after="0" w:line="184" w:lineRule="exact"/>
        <w:tabs>
          <w:tab w:leader="none" w:pos="980" w:val="left"/>
        </w:tabs>
        <w:numPr>
          <w:ilvl w:val="0"/>
          <w:numId w:val="2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 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Vivo Ventures VII, LLC beneficially owns 23,142,200 Ordinary Shares. The securities are held of record by Vivo Ventures Fund VII, L.P., Vivo Ventures VII Affiliates Fund, L.P. and Vivo Ventures Fund Cayman VII, L.P. Vivo Ventures VII, LLC is the general partner of Vivo Ventures Fund VII, L.P., Vivo Ventures VII Affiliates Fund, L.P. and Vivo Ventures Fund Cayman VII, L.P. The voting members of Vivo Ventures VII, LLC are Frank Kung, Edgar Engleman and Shan Fu, none of whom has individual voting or investment power with respect to these securities and each of whom disclaims beneficial ownership of such securities.</w:t>
      </w:r>
    </w:p>
    <w:p>
      <w:pPr>
        <w:spacing w:after="0" w:line="18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Vivo Opportunity, LLC beneficially owns 10,857,144 Ordinary Shares. The securities are held of record by Vivo Opportunity Fund Holdings, L.P. Vivo Opportunity, LLC is the general partner of Vivo Opportunity Fund Holdings, L.P. The voting members of Vivo Opportunity, LLC are Gaurav Aggarwal, Frank Kung, Hongbo Lu, Michael Chang, and Kevin Dai, none of whom has individual voting or investment power with respect to these securities and each of whom disclaims beneficial ownership of such securities.</w:t>
      </w:r>
    </w:p>
    <w:p>
      <w:pPr>
        <w:spacing w:after="0" w:line="183"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Ventures VII, LLC: 3.8 %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Opportunity, LLC: 1.8%</w:t>
      </w:r>
    </w:p>
    <w:p>
      <w:pPr>
        <w:spacing w:after="0" w:line="22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(i) Sole power to vote or to direct the vote: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Ventures VII, LLC: 23,142,200 Ordinary Shares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Vivo Opportunity, LLC: 10,857,144 Ordinary Shares</w:t>
      </w:r>
    </w:p>
    <w:p>
      <w:pPr>
        <w:spacing w:after="0" w:line="225" w:lineRule="exact"/>
        <w:rPr>
          <w:sz w:val="20"/>
          <w:szCs w:val="20"/>
          <w:color w:val="auto"/>
        </w:rPr>
      </w:pPr>
    </w:p>
    <w:p>
      <w:pPr>
        <w:ind w:left="1560" w:hanging="256"/>
        <w:spacing w:after="0"/>
        <w:tabs>
          <w:tab w:leader="none" w:pos="1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300" w:right="5780" w:firstLine="4"/>
        <w:spacing w:after="0" w:line="563" w:lineRule="auto"/>
        <w:tabs>
          <w:tab w:leader="none" w:pos="16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Vivo Ventures VII, LLC: 23,142,200 Ordinary Shares Vivo Opportunity, LLC: 10,857,144 Ordinary Shares</w:t>
      </w:r>
    </w:p>
    <w:p>
      <w:pPr>
        <w:spacing w:after="0" w:line="1" w:lineRule="exact"/>
        <w:rPr>
          <w:rFonts w:ascii="Arial" w:cs="Arial" w:eastAsia="Arial" w:hAnsi="Arial"/>
          <w:sz w:val="16"/>
          <w:szCs w:val="16"/>
          <w:color w:val="auto"/>
        </w:rPr>
      </w:pPr>
    </w:p>
    <w:p>
      <w:pPr>
        <w:ind w:left="1600" w:hanging="296"/>
        <w:spacing w:after="0"/>
        <w:tabs>
          <w:tab w:leader="none" w:pos="1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200" w:hanging="647"/>
        <w:spacing w:after="0" w:line="261"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 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 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 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686"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Ventures VII,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13, 2023</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13, 2023</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Gaurav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2"/>
      <w:numFmt w:val="bullet"/>
      <w:start w:val="1"/>
    </w:lvl>
    <w:lvl w:ilvl="1">
      <w:lvlJc w:val="left"/>
      <w:lvlText w:val="(%2)"/>
      <w:numFmt w:val="lowerLetter"/>
      <w:start w:val="1"/>
    </w:lvl>
  </w:abstractNum>
  <w:abstractNum w:abstractNumId="6">
    <w:nsid w:val="519B500D"/>
    <w:multiLevelType w:val="hybridMultilevel"/>
    <w:lvl w:ilvl="0">
      <w:lvlJc w:val="left"/>
      <w:lvlText w:val="3"/>
      <w:numFmt w:val="bullet"/>
      <w:start w:val="1"/>
    </w:lvl>
  </w:abstractNum>
  <w:abstractNum w:abstractNumId="7">
    <w:nsid w:val="431BD7B7"/>
    <w:multiLevelType w:val="hybridMultilevel"/>
    <w:lvl w:ilvl="0">
      <w:lvlJc w:val="left"/>
      <w:lvlText w:val="4"/>
      <w:numFmt w:val="bullet"/>
      <w:start w:val="1"/>
    </w:lvl>
  </w:abstractNum>
  <w:abstractNum w:abstractNumId="8">
    <w:nsid w:val="3F2DBA31"/>
    <w:multiLevelType w:val="hybridMultilevel"/>
    <w:lvl w:ilvl="0">
      <w:lvlJc w:val="left"/>
      <w:lvlText w:val="%1"/>
      <w:numFmt w:val="decimal"/>
      <w:start w:val="11"/>
    </w:lvl>
  </w:abstractNum>
  <w:abstractNum w:abstractNumId="9">
    <w:nsid w:val="7C83E458"/>
    <w:multiLevelType w:val="hybridMultilevel"/>
    <w:lvl w:ilvl="0">
      <w:lvlJc w:val="left"/>
      <w:lvlText w:val="%1"/>
      <w:numFmt w:val="decimal"/>
      <w:start w:val="1"/>
    </w:lvl>
    <w:lvl w:ilvl="1">
      <w:lvlJc w:val="left"/>
      <w:lvlText w:val="%2"/>
      <w:numFmt w:val="decimal"/>
      <w:start w:val="14"/>
    </w:lvl>
  </w:abstractNum>
  <w:abstractNum w:abstractNumId="10">
    <w:nsid w:val="257130A3"/>
    <w:multiLevelType w:val="hybridMultilevel"/>
    <w:lvl w:ilvl="0">
      <w:lvlJc w:val="left"/>
      <w:lvlText w:val="(%1)"/>
      <w:numFmt w:val="decimal"/>
      <w:start w:val="1"/>
    </w:lvl>
    <w:lvl w:ilvl="1">
      <w:lvlJc w:val="left"/>
      <w:lvlText w:val="%2"/>
      <w:numFmt w:val="decimal"/>
      <w:start w:val="1"/>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2"/>
      <w:numFmt w:val="bullet"/>
      <w:start w:val="1"/>
    </w:lvl>
    <w:lvl w:ilvl="1">
      <w:lvlJc w:val="left"/>
      <w:lvlText w:val="(%2)"/>
      <w:numFmt w:val="lowerLetter"/>
      <w:start w:val="1"/>
    </w:lvl>
  </w:abstractNum>
  <w:abstractNum w:abstractNumId="13">
    <w:nsid w:val="628C895D"/>
    <w:multiLevelType w:val="hybridMultilevel"/>
    <w:lvl w:ilvl="0">
      <w:lvlJc w:val="left"/>
      <w:lvlText w:val="3"/>
      <w:numFmt w:val="bullet"/>
      <w:start w:val="1"/>
    </w:lvl>
  </w:abstractNum>
  <w:abstractNum w:abstractNumId="14">
    <w:nsid w:val="333AB105"/>
    <w:multiLevelType w:val="hybridMultilevel"/>
    <w:lvl w:ilvl="0">
      <w:lvlJc w:val="left"/>
      <w:lvlText w:val="4"/>
      <w:numFmt w:val="bullet"/>
      <w:start w:val="1"/>
    </w:lvl>
  </w:abstractNum>
  <w:abstractNum w:abstractNumId="15">
    <w:nsid w:val="721DA317"/>
    <w:multiLevelType w:val="hybridMultilevel"/>
    <w:lvl w:ilvl="0">
      <w:lvlJc w:val="left"/>
      <w:lvlText w:val="%1"/>
      <w:numFmt w:val="decimal"/>
      <w:start w:val="11"/>
    </w:lvl>
  </w:abstractNum>
  <w:abstractNum w:abstractNumId="16">
    <w:nsid w:val="2443A858"/>
    <w:multiLevelType w:val="hybridMultilevel"/>
    <w:lvl w:ilvl="0">
      <w:lvlJc w:val="left"/>
      <w:lvlText w:val="%1"/>
      <w:numFmt w:val="decimal"/>
      <w:start w:val="1"/>
    </w:lvl>
    <w:lvl w:ilvl="1">
      <w:lvlJc w:val="left"/>
      <w:lvlText w:val="%2"/>
      <w:numFmt w:val="decimal"/>
      <w:start w:val="14"/>
    </w:lvl>
  </w:abstractNum>
  <w:abstractNum w:abstractNumId="17">
    <w:nsid w:val="2D1D5AE9"/>
    <w:multiLevelType w:val="hybridMultilevel"/>
    <w:lvl w:ilvl="0">
      <w:lvlJc w:val="left"/>
      <w:lvlText w:val="(%1)"/>
      <w:numFmt w:val="decimal"/>
      <w:start w:val="1"/>
    </w:lvl>
    <w:lvl w:ilvl="1">
      <w:lvlJc w:val="left"/>
      <w:lvlText w:val="%2"/>
      <w:numFmt w:val="decimal"/>
      <w:start w:val="1"/>
    </w:lvl>
  </w:abstractNum>
  <w:abstractNum w:abstractNumId="18">
    <w:nsid w:val="6763845E"/>
    <w:multiLevelType w:val="hybridMultilevel"/>
    <w:lvl w:ilvl="0">
      <w:lvlJc w:val="left"/>
      <w:lvlText w:val="(%1)"/>
      <w:numFmt w:val="lowerLetter"/>
      <w:start w:val="2"/>
    </w:lvl>
  </w:abstractNum>
  <w:abstractNum w:abstractNumId="19">
    <w:nsid w:val="75A2A8D4"/>
    <w:multiLevelType w:val="hybridMultilevel"/>
    <w:lvl w:ilvl="0">
      <w:lvlJc w:val="left"/>
      <w:lvlText w:val="(%1)"/>
      <w:numFmt w:val="lowerLetter"/>
      <w:start w:val="2"/>
    </w:lvl>
  </w:abstractNum>
  <w:abstractNum w:abstractNumId="20">
    <w:nsid w:val="8EDBDAB"/>
    <w:multiLevelType w:val="hybridMultilevel"/>
    <w:lvl w:ilvl="0">
      <w:lvlJc w:val="left"/>
      <w:lvlText w:val="(%1)"/>
      <w:numFmt w:val="lowerLetter"/>
      <w:start w:val="3"/>
    </w:lvl>
  </w:abstractNum>
  <w:abstractNum w:abstractNumId="21">
    <w:nsid w:val="79838CB2"/>
    <w:multiLevelType w:val="hybridMultilevel"/>
    <w:lvl w:ilvl="0">
      <w:lvlJc w:val="left"/>
      <w:lvlText w:val="(%1)"/>
      <w:numFmt w:val="lowerLetter"/>
      <w:start w:val="4"/>
    </w:lvl>
  </w:abstractNum>
  <w:abstractNum w:abstractNumId="22">
    <w:nsid w:val="4353D0CD"/>
    <w:multiLevelType w:val="hybridMultilevel"/>
    <w:lvl w:ilvl="0">
      <w:lvlJc w:val="left"/>
      <w:lvlText w:val="(%1)"/>
      <w:numFmt w:val="lowerLetter"/>
      <w:start w:val="5"/>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2"/>
    </w:lvl>
  </w:abstractNum>
  <w:abstractNum w:abstractNumId="26">
    <w:nsid w:val="71F32454"/>
    <w:multiLevelType w:val="hybridMultilevel"/>
    <w:lvl w:ilvl="0">
      <w:lvlJc w:val="left"/>
      <w:lvlText w:val="(%1)"/>
      <w:numFmt w:val="lowerLetter"/>
      <w:start w:val="3"/>
    </w:lvl>
  </w:abstractNum>
  <w:abstractNum w:abstractNumId="27">
    <w:nsid w:val="2CA8861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2023-02-14T05:32:08Z</dcterms:created>
  <dcterms:modified xsi:type="dcterms:W3CDTF">2023-02-14T05:32:08Z</dcterms:modified>
</cp:coreProperties>
</file>