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Poll Claire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79,896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1,763,055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483,840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 (unless otherwise indicated),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July 29, 2022 divided by eight (8)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1,360,000 Ordinary Shares underlying Restricted Share Units, each of which represents a contingent right to receive one (1) Ordinary Share of the Issuer (which may be represented by 170,000 ADSs); (ii) 403,048 Ordinary Shares underlying 50,381 ADSs; and (iii) 7 Ordinary Shares.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a family trust of which (a) the Reporting Person and spouse are trustees and (b) the Reporting Person and members of her immediate family are the sole beneficiaries of the trust.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Claire Poll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08/03/2022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20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2022-08-03T15:21:07Z</dcterms:created>
  <dcterms:modified xsi:type="dcterms:W3CDTF">2022-08-03T15:21:07Z</dcterms:modified>
</cp:coreProperties>
</file>