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5007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5007610"/>
                    </a:xfrm>
                    <a:prstGeom prst="rect">
                      <a:avLst/>
                    </a:prstGeom>
                    <a:noFill/>
                  </pic:spPr>
                </pic:pic>
              </a:graphicData>
            </a:graphic>
          </wp:anchor>
        </w:drawing>
      </w:r>
    </w:p>
    <w:p>
      <w:pPr>
        <w:spacing w:after="0" w:line="1005" w:lineRule="exact"/>
        <w:rPr>
          <w:sz w:val="24"/>
          <w:szCs w:val="24"/>
          <w:color w:val="auto"/>
        </w:rPr>
      </w:pPr>
    </w:p>
    <w:p>
      <w:pPr>
        <w:sectPr>
          <w:pgSz w:w="11900" w:h="16838" w:orient="portrait"/>
          <w:cols w:equalWidth="0" w:num="2">
            <w:col w:w="2280" w:space="440"/>
            <w:col w:w="836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9"/>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spacing w:after="0" w:line="225"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Fisher Andrew</w:t>
              </w:r>
            </w:hyperlink>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8"/>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Verona Pharma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bottom w:val="single" w:sz="8" w:color="0000EE"/>
            </w:tcBorders>
            <w:gridSpan w:val="2"/>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tcPr>
          <w:p>
            <w:pPr>
              <w:ind w:left="18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20" w:type="dxa"/>
            <w:vAlign w:val="bottom"/>
            <w:tcBorders>
              <w:top w:val="single" w:sz="8" w:color="EEEEEE"/>
            </w:tcBorders>
          </w:tcPr>
          <w:p>
            <w:pPr>
              <w:spacing w:after="0"/>
              <w:rPr>
                <w:sz w:val="11"/>
                <w:szCs w:val="11"/>
                <w:color w:val="auto"/>
              </w:rPr>
            </w:pPr>
          </w:p>
        </w:tc>
        <w:tc>
          <w:tcPr>
            <w:tcW w:w="60" w:type="dxa"/>
            <w:vAlign w:val="bottom"/>
            <w:tcBorders>
              <w:top w:val="single" w:sz="8" w:color="EEEEEE"/>
            </w:tcBorders>
          </w:tcPr>
          <w:p>
            <w:pPr>
              <w:spacing w:after="0"/>
              <w:rPr>
                <w:sz w:val="11"/>
                <w:szCs w:val="11"/>
                <w:color w:val="auto"/>
              </w:rPr>
            </w:pP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1"/>
                <w:szCs w:val="11"/>
                <w:color w:val="auto"/>
              </w:rPr>
            </w:pPr>
          </w:p>
        </w:tc>
        <w:tc>
          <w:tcPr>
            <w:tcW w:w="280" w:type="dxa"/>
            <w:vAlign w:val="bottom"/>
            <w:tcBorders>
              <w:top w:val="single" w:sz="8" w:color="EEEEEE"/>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ind w:left="120"/>
              <w:spacing w:after="0" w:line="112"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ind w:left="180"/>
              <w:spacing w:after="0" w:line="112" w:lineRule="exact"/>
              <w:rPr>
                <w:sz w:val="20"/>
                <w:szCs w:val="20"/>
                <w:color w:val="auto"/>
              </w:rPr>
            </w:pPr>
            <w:r>
              <w:rPr>
                <w:rFonts w:ascii="Arial" w:cs="Arial" w:eastAsia="Arial" w:hAnsi="Arial"/>
                <w:sz w:val="12"/>
                <w:szCs w:val="12"/>
                <w:color w:val="auto"/>
              </w:rPr>
              <w:t>below)</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0" w:type="dxa"/>
            <w:vAlign w:val="bottom"/>
            <w:gridSpan w:val="9"/>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gridSpan w:val="3"/>
            <w:vMerge w:val="restart"/>
          </w:tcPr>
          <w:p>
            <w:pPr>
              <w:ind w:left="40"/>
              <w:spacing w:after="0" w:line="177" w:lineRule="exact"/>
              <w:rPr>
                <w:sz w:val="20"/>
                <w:szCs w:val="20"/>
                <w:color w:val="auto"/>
              </w:rPr>
            </w:pPr>
            <w:r>
              <w:rPr>
                <w:rFonts w:ascii="Times New Roman" w:cs="Times New Roman" w:eastAsia="Times New Roman" w:hAnsi="Times New Roman"/>
                <w:sz w:val="16"/>
                <w:szCs w:val="16"/>
                <w:color w:val="0000FF"/>
              </w:rPr>
              <w:t>General Counsel</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3 MORE LONDON</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03/19/2025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RIVERSIDE</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60" w:type="dxa"/>
            <w:vAlign w:val="bottom"/>
            <w:tcBorders>
              <w:right w:val="single" w:sz="8" w:color="2C2C2C"/>
            </w:tcBorders>
          </w:tcPr>
          <w:p>
            <w:pPr>
              <w:spacing w:after="0" w:line="20" w:lineRule="exact"/>
              <w:rPr>
                <w:sz w:val="1"/>
                <w:szCs w:val="1"/>
                <w:color w:val="auto"/>
              </w:rPr>
            </w:pPr>
          </w:p>
        </w:tc>
        <w:tc>
          <w:tcPr>
            <w:tcW w:w="148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2140" w:type="dxa"/>
            <w:vAlign w:val="bottom"/>
            <w:tcBorders>
              <w:top w:val="single" w:sz="8" w:color="808080"/>
            </w:tcBorders>
            <w:gridSpan w:val="4"/>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gridSpan w:val="10"/>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6"/>
                <w:szCs w:val="16"/>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LONDON</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X0</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SE1 2RE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96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00" w:type="dxa"/>
            <w:vAlign w:val="bottom"/>
            <w:tcBorders>
              <w:top w:val="single" w:sz="8" w:color="2C2C2C"/>
            </w:tcBorders>
            <w:gridSpan w:val="17"/>
          </w:tcPr>
          <w:p>
            <w:pPr>
              <w:jc w:val="right"/>
              <w:ind w:right="16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gridSpan w:val="6"/>
          </w:tcPr>
          <w:p>
            <w:pPr>
              <w:spacing w:after="0" w:line="123" w:lineRule="exact"/>
              <w:rPr>
                <w:sz w:val="20"/>
                <w:szCs w:val="20"/>
                <w:color w:val="auto"/>
              </w:rPr>
            </w:pPr>
            <w:r>
              <w:rPr>
                <w:rFonts w:ascii="Arial" w:cs="Arial" w:eastAsia="Arial" w:hAnsi="Arial"/>
                <w:sz w:val="11"/>
                <w:szCs w:val="11"/>
                <w:b w:val="1"/>
                <w:bCs w:val="1"/>
                <w:color w:val="auto"/>
              </w:rPr>
              <w:t>(Month/Day/Year)  if any</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6"/>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03/19/2025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G</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6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2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300,001</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04/29/2025</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86,064</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2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386,065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04/29/2025</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26,072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8.98</w:t>
            </w:r>
            <w:r>
              <w:rPr>
                <w:rFonts w:ascii="Times New Roman" w:cs="Times New Roman" w:eastAsia="Times New Roman" w:hAnsi="Times New Roman"/>
                <w:sz w:val="20"/>
                <w:szCs w:val="20"/>
                <w:color w:val="008000"/>
                <w:w w:val="91"/>
                <w:vertAlign w:val="superscript"/>
              </w:rPr>
              <w:t>(3)</w:t>
            </w:r>
          </w:p>
        </w:tc>
        <w:tc>
          <w:tcPr>
            <w:tcW w:w="122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4"/>
              </w:rPr>
              <w:t>359,993</w:t>
            </w:r>
            <w:r>
              <w:rPr>
                <w:rFonts w:ascii="Times New Roman" w:cs="Times New Roman" w:eastAsia="Times New Roman" w:hAnsi="Times New Roman"/>
                <w:sz w:val="20"/>
                <w:szCs w:val="20"/>
                <w:color w:val="008000"/>
                <w:w w:val="94"/>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7"/>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80" w:type="dxa"/>
            <w:vAlign w:val="bottom"/>
            <w:gridSpan w:val="16"/>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6"/>
          </w:tcPr>
          <w:p>
            <w:pPr>
              <w:ind w:left="40"/>
              <w:spacing w:after="0" w:line="123"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2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restart"/>
          </w:tcPr>
          <w:p>
            <w:pPr>
              <w:ind w:left="10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vMerge w:val="restart"/>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4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w:t>
            </w:r>
          </w:p>
        </w:tc>
        <w:tc>
          <w:tcPr>
            <w:tcW w:w="62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w:t>
            </w:r>
          </w:p>
        </w:tc>
        <w:tc>
          <w:tcPr>
            <w:tcW w:w="620" w:type="dxa"/>
            <w:vAlign w:val="bottom"/>
          </w:tcPr>
          <w:p>
            <w:pPr>
              <w:spacing w:after="0"/>
              <w:rPr>
                <w:sz w:val="10"/>
                <w:szCs w:val="10"/>
                <w:color w:val="auto"/>
              </w:rPr>
            </w:pPr>
          </w:p>
        </w:tc>
        <w:tc>
          <w:tcPr>
            <w:tcW w:w="9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w:t>
            </w:r>
          </w:p>
        </w:tc>
        <w:tc>
          <w:tcPr>
            <w:tcW w:w="62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40" w:type="dxa"/>
            <w:vAlign w:val="bottom"/>
          </w:tcPr>
          <w:p>
            <w:pPr>
              <w:spacing w:after="0"/>
              <w:rPr>
                <w:sz w:val="16"/>
                <w:szCs w:val="16"/>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253,120</w:t>
            </w:r>
          </w:p>
        </w:tc>
        <w:tc>
          <w:tcPr>
            <w:tcW w:w="620" w:type="dxa"/>
            <w:vAlign w:val="bottom"/>
            <w:vMerge w:val="restart"/>
          </w:tcPr>
          <w:p>
            <w:pPr>
              <w:jc w:val="right"/>
              <w:ind w:righ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00FF"/>
              </w:rPr>
              <w:t>253,120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440" w:type="dxa"/>
            <w:vAlign w:val="bottom"/>
            <w:vMerge w:val="restart"/>
          </w:tcPr>
          <w:p>
            <w:pPr>
              <w:ind w:left="40"/>
              <w:spacing w:after="0" w:line="63" w:lineRule="exact"/>
              <w:rPr>
                <w:sz w:val="20"/>
                <w:szCs w:val="20"/>
                <w:color w:val="auto"/>
              </w:rPr>
            </w:pPr>
            <w:r>
              <w:rPr>
                <w:rFonts w:ascii="Times New Roman" w:cs="Times New Roman" w:eastAsia="Times New Roman" w:hAnsi="Times New Roman"/>
                <w:sz w:val="7"/>
                <w:szCs w:val="7"/>
                <w:color w:val="0000FF"/>
              </w:rPr>
              <w:t>253,120</w:t>
            </w:r>
          </w:p>
        </w:tc>
        <w:tc>
          <w:tcPr>
            <w:tcW w:w="1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ind w:left="6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008000"/>
                <w:w w:val="85"/>
              </w:rPr>
              <w:t>(5)</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86,064</w:t>
            </w:r>
          </w:p>
        </w:tc>
        <w:tc>
          <w:tcPr>
            <w:tcW w:w="620" w:type="dxa"/>
            <w:vAlign w:val="bottom"/>
            <w:vMerge w:val="restart"/>
          </w:tcPr>
          <w:p>
            <w:pPr>
              <w:jc w:val="right"/>
              <w:ind w:righ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00FF"/>
              </w:rPr>
              <w:t>167,056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vMerge w:val="restart"/>
          </w:tcPr>
          <w:p>
            <w:pPr>
              <w:ind w:left="80"/>
              <w:spacing w:after="0" w:line="63" w:lineRule="exact"/>
              <w:rPr>
                <w:sz w:val="20"/>
                <w:szCs w:val="20"/>
                <w:color w:val="auto"/>
              </w:rPr>
            </w:pPr>
            <w:r>
              <w:rPr>
                <w:rFonts w:ascii="Times New Roman" w:cs="Times New Roman" w:eastAsia="Times New Roman" w:hAnsi="Times New Roman"/>
                <w:sz w:val="7"/>
                <w:szCs w:val="7"/>
                <w:color w:val="0000FF"/>
              </w:rPr>
              <w:t>86,064</w:t>
            </w:r>
          </w:p>
        </w:tc>
        <w:tc>
          <w:tcPr>
            <w:tcW w:w="140" w:type="dxa"/>
            <w:vAlign w:val="bottom"/>
            <w:gridSpan w:val="3"/>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ind w:left="6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-1887855</wp:posOffset>
            </wp:positionV>
            <wp:extent cx="28575" cy="1893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9357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 reported in this Form 4 was effected solely with the intent to cover taxes in connection with the vesting of Restricted Share Units.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sale price of the ADSs divided by eight (8).</w:t>
      </w:r>
    </w:p>
    <w:p>
      <w:pPr>
        <w:spacing w:after="0" w:line="45" w:lineRule="exact"/>
        <w:rPr>
          <w:rFonts w:ascii="Times New Roman" w:cs="Times New Roman" w:eastAsia="Times New Roman" w:hAnsi="Times New Roman"/>
          <w:sz w:val="12"/>
          <w:szCs w:val="12"/>
          <w:color w:val="008000"/>
        </w:rPr>
      </w:pPr>
    </w:p>
    <w:p>
      <w:pPr>
        <w:ind w:left="40" w:right="180" w:hanging="5"/>
        <w:spacing w:after="0" w:line="271"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300,000 Ordinary Shares underlying Restricted Share Units, each of which represents a contingent right to receive one (1) Ordinary Share of the Issuer (which are represented by 37,500 ADSs), (ii) 59,992 Ordinary Shares underlying 7,499 ADSs, and (iii) 1 Ordinary Share.</w:t>
      </w:r>
    </w:p>
    <w:p>
      <w:pPr>
        <w:spacing w:after="0" w:line="7" w:lineRule="exact"/>
        <w:rPr>
          <w:rFonts w:ascii="Times New Roman" w:cs="Times New Roman" w:eastAsia="Times New Roman" w:hAnsi="Times New Roman"/>
          <w:sz w:val="12"/>
          <w:szCs w:val="12"/>
          <w:color w:val="008000"/>
        </w:rPr>
      </w:pPr>
    </w:p>
    <w:p>
      <w:pPr>
        <w:ind w:left="40" w:right="400" w:hanging="5"/>
        <w:spacing w:after="0" w:line="271"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ind w:left="40" w:right="160" w:hanging="5"/>
        <w:spacing w:after="0" w:line="252"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Andrew Fisher</w:t>
            </w:r>
          </w:p>
        </w:tc>
        <w:tc>
          <w:tcPr>
            <w:tcW w:w="84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05/01/2025</w:t>
            </w:r>
          </w:p>
        </w:tc>
      </w:tr>
      <w:tr>
        <w:trPr>
          <w:trHeight w:val="20"/>
        </w:trPr>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2025-05-01T20:07:37Z</dcterms:created>
  <dcterms:modified xsi:type="dcterms:W3CDTF">2025-05-01T20:07:37Z</dcterms:modified>
</cp:coreProperties>
</file>