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SCHEDULE 13D</w:t>
      </w:r>
    </w:p>
    <w:p>
      <w:pPr>
        <w:spacing w:after="0" w:line="2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00" w:lineRule="exact"/>
        <w:rPr>
          <w:sz w:val="24"/>
          <w:szCs w:val="24"/>
          <w:color w:val="auto"/>
        </w:rPr>
      </w:pPr>
    </w:p>
    <w:p>
      <w:pPr>
        <w:spacing w:after="0" w:line="29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Capital GP VI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601 Lexington Avenue, 54th Floor</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Receive Notices and Communications)</w:t>
      </w:r>
    </w:p>
    <w:p>
      <w:pPr>
        <w:spacing w:after="0" w:line="2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9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2"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86" w:lineRule="exact"/>
        <w:rPr>
          <w:sz w:val="24"/>
          <w:szCs w:val="24"/>
          <w:color w:val="auto"/>
        </w:rPr>
      </w:pPr>
    </w:p>
    <w:p>
      <w:pPr>
        <w:ind w:left="260" w:hanging="252"/>
        <w:spacing w:after="0" w:line="282" w:lineRule="auto"/>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9"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 w:name="page2"/>
    <w:bookmarkEnd w:id="1"/>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216027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282559103</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60" w:type="dxa"/>
            <w:vAlign w:val="bottom"/>
            <w:tcBorders>
              <w:top w:val="single" w:sz="8" w:color="auto"/>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1</w:t>
            </w:r>
          </w:p>
        </w:tc>
        <w:tc>
          <w:tcPr>
            <w:tcW w:w="380" w:type="dxa"/>
            <w:vAlign w:val="bottom"/>
            <w:tcBorders>
              <w:top w:val="single" w:sz="8" w:color="auto"/>
              <w:right w:val="single" w:sz="8" w:color="auto"/>
            </w:tcBorders>
          </w:tcPr>
          <w:p>
            <w:pPr>
              <w:spacing w:after="0"/>
              <w:rPr>
                <w:sz w:val="21"/>
                <w:szCs w:val="21"/>
                <w:color w:val="auto"/>
              </w:rPr>
            </w:pPr>
          </w:p>
        </w:tc>
        <w:tc>
          <w:tcPr>
            <w:tcW w:w="23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5680" w:type="dxa"/>
            <w:vAlign w:val="bottom"/>
            <w:tcBorders>
              <w:top w:val="single" w:sz="8" w:color="auto"/>
            </w:tcBorders>
          </w:tcPr>
          <w:p>
            <w:pPr>
              <w:spacing w:after="0"/>
              <w:rPr>
                <w:sz w:val="21"/>
                <w:szCs w:val="21"/>
                <w:color w:val="auto"/>
              </w:rPr>
            </w:pPr>
          </w:p>
        </w:tc>
        <w:tc>
          <w:tcPr>
            <w:tcW w:w="21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vMerge w:val="continue"/>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OrbiMed Advisors LLC</w:t>
            </w:r>
          </w:p>
        </w:tc>
        <w:tc>
          <w:tcPr>
            <w:tcW w:w="56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2360" w:type="dxa"/>
            <w:vAlign w:val="bottom"/>
            <w:gridSpan w:val="2"/>
            <w:vMerge w:val="continue"/>
          </w:tcPr>
          <w:p>
            <w:pPr>
              <w:spacing w:after="0"/>
              <w:rPr>
                <w:sz w:val="5"/>
                <w:szCs w:val="5"/>
                <w:color w:val="auto"/>
              </w:rPr>
            </w:pPr>
          </w:p>
        </w:tc>
        <w:tc>
          <w:tcPr>
            <w:tcW w:w="56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8040" w:type="dxa"/>
            <w:vAlign w:val="bottom"/>
            <w:tcBorders>
              <w:bottom w:val="single" w:sz="8" w:color="auto"/>
            </w:tcBorders>
            <w:gridSpan w:val="3"/>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2</w:t>
            </w:r>
          </w:p>
        </w:tc>
        <w:tc>
          <w:tcPr>
            <w:tcW w:w="380" w:type="dxa"/>
            <w:vAlign w:val="bottom"/>
            <w:tcBorders>
              <w:right w:val="single" w:sz="8" w:color="auto"/>
            </w:tcBorders>
          </w:tcPr>
          <w:p>
            <w:pPr>
              <w:spacing w:after="0"/>
              <w:rPr>
                <w:sz w:val="20"/>
                <w:szCs w:val="20"/>
                <w:color w:val="auto"/>
              </w:rPr>
            </w:pPr>
          </w:p>
        </w:tc>
        <w:tc>
          <w:tcPr>
            <w:tcW w:w="8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vMerge w:val="continue"/>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10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10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3</w:t>
            </w:r>
          </w:p>
        </w:tc>
        <w:tc>
          <w:tcPr>
            <w:tcW w:w="38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100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66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60" w:type="dxa"/>
            <w:vAlign w:val="bottom"/>
            <w:tcBorders>
              <w:left w:val="single" w:sz="8" w:color="auto"/>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gridSpan w:val="3"/>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4</w:t>
            </w:r>
          </w:p>
        </w:tc>
        <w:tc>
          <w:tcPr>
            <w:tcW w:w="380" w:type="dxa"/>
            <w:vAlign w:val="bottom"/>
            <w:tcBorders>
              <w:right w:val="single" w:sz="8" w:color="auto"/>
            </w:tcBorders>
          </w:tcPr>
          <w:p>
            <w:pPr>
              <w:spacing w:after="0"/>
              <w:rPr>
                <w:sz w:val="22"/>
                <w:szCs w:val="22"/>
                <w:color w:val="auto"/>
              </w:rPr>
            </w:pPr>
          </w:p>
        </w:tc>
        <w:tc>
          <w:tcPr>
            <w:tcW w:w="8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60" w:type="dxa"/>
            <w:vAlign w:val="bottom"/>
            <w:tcBorders>
              <w:left w:val="single" w:sz="8" w:color="auto"/>
            </w:tcBorders>
            <w:vMerge w:val="continue"/>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100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2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8040" w:type="dxa"/>
            <w:vAlign w:val="bottom"/>
            <w:tcBorders>
              <w:bottom w:val="single" w:sz="8" w:color="auto"/>
            </w:tcBorders>
            <w:gridSpan w:val="3"/>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5</w:t>
            </w:r>
          </w:p>
        </w:tc>
        <w:tc>
          <w:tcPr>
            <w:tcW w:w="380" w:type="dxa"/>
            <w:vAlign w:val="bottom"/>
            <w:tcBorders>
              <w:right w:val="single" w:sz="8" w:color="auto"/>
            </w:tcBorders>
          </w:tcPr>
          <w:p>
            <w:pPr>
              <w:spacing w:after="0"/>
              <w:rPr>
                <w:sz w:val="22"/>
                <w:szCs w:val="22"/>
                <w:color w:val="auto"/>
              </w:rPr>
            </w:pPr>
          </w:p>
        </w:tc>
        <w:tc>
          <w:tcPr>
            <w:tcW w:w="8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160" w:type="dxa"/>
            <w:vAlign w:val="bottom"/>
            <w:tcBorders>
              <w:right w:val="single" w:sz="8" w:color="auto"/>
            </w:tcBorders>
          </w:tcPr>
          <w:p>
            <w:pPr>
              <w:ind w:left="16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57"/>
        </w:trPr>
        <w:tc>
          <w:tcPr>
            <w:tcW w:w="66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60" w:type="dxa"/>
            <w:vAlign w:val="bottom"/>
            <w:tcBorders>
              <w:left w:val="single" w:sz="8" w:color="auto"/>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gridSpan w:val="3"/>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6</w:t>
            </w:r>
          </w:p>
        </w:tc>
        <w:tc>
          <w:tcPr>
            <w:tcW w:w="380" w:type="dxa"/>
            <w:vAlign w:val="bottom"/>
            <w:tcBorders>
              <w:right w:val="single" w:sz="8" w:color="auto"/>
            </w:tcBorders>
          </w:tcPr>
          <w:p>
            <w:pPr>
              <w:spacing w:after="0"/>
              <w:rPr>
                <w:sz w:val="20"/>
                <w:szCs w:val="20"/>
                <w:color w:val="auto"/>
              </w:rPr>
            </w:pPr>
          </w:p>
        </w:tc>
        <w:tc>
          <w:tcPr>
            <w:tcW w:w="8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vMerge w:val="continue"/>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6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60" w:type="dxa"/>
            <w:vAlign w:val="bottom"/>
            <w:tcBorders>
              <w:left w:val="single" w:sz="8" w:color="auto"/>
            </w:tcBorders>
          </w:tcPr>
          <w:p>
            <w:pPr>
              <w:spacing w:after="0"/>
              <w:rPr>
                <w:sz w:val="20"/>
                <w:szCs w:val="20"/>
                <w:color w:val="auto"/>
              </w:rPr>
            </w:pPr>
          </w:p>
        </w:tc>
        <w:tc>
          <w:tcPr>
            <w:tcW w:w="1740" w:type="dxa"/>
            <w:vAlign w:val="bottom"/>
            <w:tcBorders>
              <w:right w:val="single" w:sz="8" w:color="auto"/>
            </w:tcBorders>
            <w:gridSpan w:val="2"/>
            <w:vMerge w:val="restart"/>
          </w:tcPr>
          <w:p>
            <w:pPr>
              <w:jc w:val="center"/>
              <w:ind w:right="570"/>
              <w:spacing w:after="0"/>
              <w:rPr>
                <w:sz w:val="20"/>
                <w:szCs w:val="20"/>
                <w:color w:val="auto"/>
              </w:rPr>
            </w:pPr>
            <w:r>
              <w:rPr>
                <w:rFonts w:ascii="Times New Roman" w:cs="Times New Roman" w:eastAsia="Times New Roman" w:hAnsi="Times New Roman"/>
                <w:sz w:val="18"/>
                <w:szCs w:val="18"/>
                <w:color w:val="auto"/>
                <w:w w:val="99"/>
              </w:rPr>
              <w:t>NUMBER OF</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7</w:t>
            </w:r>
          </w:p>
        </w:tc>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60" w:type="dxa"/>
            <w:vAlign w:val="bottom"/>
            <w:tcBorders>
              <w:left w:val="single" w:sz="8" w:color="auto"/>
            </w:tcBorders>
          </w:tcPr>
          <w:p>
            <w:pPr>
              <w:spacing w:after="0"/>
              <w:rPr>
                <w:sz w:val="15"/>
                <w:szCs w:val="15"/>
                <w:color w:val="auto"/>
              </w:rPr>
            </w:pPr>
          </w:p>
        </w:tc>
        <w:tc>
          <w:tcPr>
            <w:tcW w:w="1740" w:type="dxa"/>
            <w:vAlign w:val="bottom"/>
            <w:tcBorders>
              <w:right w:val="single" w:sz="8" w:color="auto"/>
            </w:tcBorders>
            <w:gridSpan w:val="2"/>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56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660" w:type="dxa"/>
            <w:vAlign w:val="bottom"/>
            <w:tcBorders>
              <w:left w:val="single" w:sz="8" w:color="auto"/>
            </w:tcBorders>
          </w:tcPr>
          <w:p>
            <w:pPr>
              <w:spacing w:after="0"/>
              <w:rPr>
                <w:sz w:val="8"/>
                <w:szCs w:val="8"/>
                <w:color w:val="auto"/>
              </w:rPr>
            </w:pPr>
          </w:p>
        </w:tc>
        <w:tc>
          <w:tcPr>
            <w:tcW w:w="1740" w:type="dxa"/>
            <w:vAlign w:val="bottom"/>
            <w:tcBorders>
              <w:right w:val="single" w:sz="8" w:color="auto"/>
            </w:tcBorders>
            <w:gridSpan w:val="2"/>
            <w:vMerge w:val="restart"/>
          </w:tcPr>
          <w:p>
            <w:pPr>
              <w:jc w:val="center"/>
              <w:ind w:right="57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1000" w:type="dxa"/>
            <w:vAlign w:val="bottom"/>
            <w:tcBorders>
              <w:bottom w:val="single" w:sz="8" w:color="auto"/>
              <w:right w:val="single" w:sz="8" w:color="auto"/>
            </w:tcBorders>
          </w:tcPr>
          <w:p>
            <w:pPr>
              <w:spacing w:after="0"/>
              <w:rPr>
                <w:sz w:val="8"/>
                <w:szCs w:val="8"/>
                <w:color w:val="auto"/>
              </w:rPr>
            </w:pPr>
          </w:p>
        </w:tc>
        <w:tc>
          <w:tcPr>
            <w:tcW w:w="5680" w:type="dxa"/>
            <w:vAlign w:val="bottom"/>
            <w:tcBorders>
              <w:bottom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660" w:type="dxa"/>
            <w:vAlign w:val="bottom"/>
            <w:tcBorders>
              <w:left w:val="single" w:sz="8" w:color="auto"/>
            </w:tcBorders>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5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40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00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rPr>
              <w:t>8</w:t>
            </w:r>
          </w:p>
        </w:tc>
        <w:tc>
          <w:tcPr>
            <w:tcW w:w="5680" w:type="dxa"/>
            <w:vAlign w:val="bottom"/>
            <w:vMerge w:val="continue"/>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00" w:type="dxa"/>
            <w:vAlign w:val="bottom"/>
            <w:tcBorders>
              <w:left w:val="single" w:sz="8" w:color="auto"/>
              <w:right w:val="single" w:sz="8" w:color="auto"/>
            </w:tcBorders>
            <w:gridSpan w:val="3"/>
            <w:vMerge w:val="continue"/>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5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4,260,691 (1)</w:t>
            </w:r>
          </w:p>
        </w:tc>
        <w:tc>
          <w:tcPr>
            <w:tcW w:w="21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60" w:type="dxa"/>
            <w:vAlign w:val="bottom"/>
            <w:tcBorders>
              <w:left w:val="single" w:sz="8" w:color="auto"/>
            </w:tcBorders>
          </w:tcPr>
          <w:p>
            <w:pPr>
              <w:spacing w:after="0"/>
              <w:rPr>
                <w:sz w:val="19"/>
                <w:szCs w:val="19"/>
                <w:color w:val="auto"/>
              </w:rPr>
            </w:pPr>
          </w:p>
        </w:tc>
        <w:tc>
          <w:tcPr>
            <w:tcW w:w="1740" w:type="dxa"/>
            <w:vAlign w:val="bottom"/>
            <w:tcBorders>
              <w:right w:val="single" w:sz="8" w:color="auto"/>
            </w:tcBorders>
            <w:gridSpan w:val="2"/>
          </w:tcPr>
          <w:p>
            <w:pPr>
              <w:jc w:val="center"/>
              <w:ind w:right="570"/>
              <w:spacing w:after="0"/>
              <w:rPr>
                <w:sz w:val="20"/>
                <w:szCs w:val="20"/>
                <w:color w:val="auto"/>
              </w:rPr>
            </w:pPr>
            <w:r>
              <w:rPr>
                <w:rFonts w:ascii="Times New Roman" w:cs="Times New Roman" w:eastAsia="Times New Roman" w:hAnsi="Times New Roman"/>
                <w:sz w:val="18"/>
                <w:szCs w:val="18"/>
                <w:color w:val="auto"/>
                <w:w w:val="99"/>
              </w:rPr>
              <w:t>OWNED BY</w:t>
            </w:r>
          </w:p>
        </w:tc>
        <w:tc>
          <w:tcPr>
            <w:tcW w:w="100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left w:val="single" w:sz="8" w:color="auto"/>
            </w:tcBorders>
          </w:tcPr>
          <w:p>
            <w:pPr>
              <w:spacing w:after="0"/>
              <w:rPr>
                <w:sz w:val="17"/>
                <w:szCs w:val="17"/>
                <w:color w:val="auto"/>
              </w:rPr>
            </w:pPr>
          </w:p>
        </w:tc>
        <w:tc>
          <w:tcPr>
            <w:tcW w:w="1740" w:type="dxa"/>
            <w:vAlign w:val="bottom"/>
            <w:tcBorders>
              <w:right w:val="single" w:sz="8" w:color="auto"/>
            </w:tcBorders>
            <w:gridSpan w:val="2"/>
          </w:tcPr>
          <w:p>
            <w:pPr>
              <w:jc w:val="center"/>
              <w:ind w:right="57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9</w:t>
            </w:r>
          </w:p>
        </w:tc>
        <w:tc>
          <w:tcPr>
            <w:tcW w:w="56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570"/>
              <w:spacing w:after="0"/>
              <w:rPr>
                <w:sz w:val="20"/>
                <w:szCs w:val="20"/>
                <w:color w:val="auto"/>
              </w:rPr>
            </w:pPr>
            <w:r>
              <w:rPr>
                <w:rFonts w:ascii="Times New Roman" w:cs="Times New Roman" w:eastAsia="Times New Roman" w:hAnsi="Times New Roman"/>
                <w:sz w:val="18"/>
                <w:szCs w:val="18"/>
                <w:color w:val="auto"/>
                <w:w w:val="98"/>
              </w:rPr>
              <w:t>REPORTING</w:t>
            </w:r>
          </w:p>
        </w:tc>
        <w:tc>
          <w:tcPr>
            <w:tcW w:w="1000" w:type="dxa"/>
            <w:vAlign w:val="bottom"/>
            <w:tcBorders>
              <w:right w:val="single" w:sz="8" w:color="auto"/>
            </w:tcBorders>
            <w:vMerge w:val="continue"/>
          </w:tcPr>
          <w:p>
            <w:pPr>
              <w:spacing w:after="0"/>
              <w:rPr>
                <w:sz w:val="18"/>
                <w:szCs w:val="18"/>
                <w:color w:val="auto"/>
              </w:rPr>
            </w:pPr>
          </w:p>
        </w:tc>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660" w:type="dxa"/>
            <w:vAlign w:val="bottom"/>
            <w:tcBorders>
              <w:left w:val="single" w:sz="8" w:color="auto"/>
            </w:tcBorders>
          </w:tcPr>
          <w:p>
            <w:pPr>
              <w:spacing w:after="0"/>
              <w:rPr>
                <w:sz w:val="8"/>
                <w:szCs w:val="8"/>
                <w:color w:val="auto"/>
              </w:rPr>
            </w:pPr>
          </w:p>
        </w:tc>
        <w:tc>
          <w:tcPr>
            <w:tcW w:w="1740" w:type="dxa"/>
            <w:vAlign w:val="bottom"/>
            <w:tcBorders>
              <w:right w:val="single" w:sz="8" w:color="auto"/>
            </w:tcBorders>
            <w:gridSpan w:val="2"/>
            <w:vMerge w:val="restart"/>
          </w:tcPr>
          <w:p>
            <w:pPr>
              <w:jc w:val="center"/>
              <w:ind w:right="570"/>
              <w:spacing w:after="0" w:line="198" w:lineRule="exact"/>
              <w:rPr>
                <w:sz w:val="20"/>
                <w:szCs w:val="20"/>
                <w:color w:val="auto"/>
              </w:rPr>
            </w:pPr>
            <w:r>
              <w:rPr>
                <w:rFonts w:ascii="Times New Roman" w:cs="Times New Roman" w:eastAsia="Times New Roman" w:hAnsi="Times New Roman"/>
                <w:sz w:val="18"/>
                <w:szCs w:val="18"/>
                <w:color w:val="auto"/>
                <w:w w:val="98"/>
              </w:rPr>
              <w:t>PERSON</w:t>
            </w:r>
          </w:p>
        </w:tc>
        <w:tc>
          <w:tcPr>
            <w:tcW w:w="1000" w:type="dxa"/>
            <w:vAlign w:val="bottom"/>
            <w:tcBorders>
              <w:bottom w:val="single" w:sz="8" w:color="auto"/>
              <w:right w:val="single" w:sz="8" w:color="auto"/>
            </w:tcBorders>
          </w:tcPr>
          <w:p>
            <w:pPr>
              <w:spacing w:after="0"/>
              <w:rPr>
                <w:sz w:val="8"/>
                <w:szCs w:val="8"/>
                <w:color w:val="auto"/>
              </w:rPr>
            </w:pPr>
          </w:p>
        </w:tc>
        <w:tc>
          <w:tcPr>
            <w:tcW w:w="5680" w:type="dxa"/>
            <w:vAlign w:val="bottom"/>
            <w:tcBorders>
              <w:bottom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660" w:type="dxa"/>
            <w:vAlign w:val="bottom"/>
            <w:tcBorders>
              <w:left w:val="single" w:sz="8" w:color="auto"/>
            </w:tcBorders>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5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1740" w:type="dxa"/>
            <w:vAlign w:val="bottom"/>
            <w:tcBorders>
              <w:right w:val="single" w:sz="8" w:color="auto"/>
            </w:tcBorders>
            <w:gridSpan w:val="2"/>
            <w:vMerge w:val="restart"/>
          </w:tcPr>
          <w:p>
            <w:pPr>
              <w:jc w:val="center"/>
              <w:ind w:right="570"/>
              <w:spacing w:after="0"/>
              <w:rPr>
                <w:sz w:val="20"/>
                <w:szCs w:val="20"/>
                <w:color w:val="auto"/>
              </w:rPr>
            </w:pPr>
            <w:r>
              <w:rPr>
                <w:rFonts w:ascii="Times New Roman" w:cs="Times New Roman" w:eastAsia="Times New Roman" w:hAnsi="Times New Roman"/>
                <w:sz w:val="18"/>
                <w:szCs w:val="18"/>
                <w:color w:val="auto"/>
              </w:rPr>
              <w:t>WITH</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5680" w:type="dxa"/>
            <w:vAlign w:val="bottom"/>
            <w:vMerge w:val="continue"/>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1740" w:type="dxa"/>
            <w:vAlign w:val="bottom"/>
            <w:tcBorders>
              <w:right w:val="single" w:sz="8" w:color="auto"/>
            </w:tcBorders>
            <w:gridSpan w:val="2"/>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5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4,260,691 (1)</w:t>
            </w: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5680" w:type="dxa"/>
            <w:vAlign w:val="bottom"/>
            <w:vMerge w:val="continue"/>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60" w:type="dxa"/>
            <w:vAlign w:val="bottom"/>
            <w:tcBorders>
              <w:left w:val="single" w:sz="8" w:color="auto"/>
            </w:tcBorders>
            <w:vMerge w:val="restart"/>
          </w:tcPr>
          <w:p>
            <w:pPr>
              <w:jc w:val="center"/>
              <w:ind w:left="257"/>
              <w:spacing w:after="0"/>
              <w:rPr>
                <w:sz w:val="20"/>
                <w:szCs w:val="20"/>
                <w:color w:val="auto"/>
              </w:rPr>
            </w:pPr>
            <w:r>
              <w:rPr>
                <w:rFonts w:ascii="Times New Roman" w:cs="Times New Roman" w:eastAsia="Times New Roman" w:hAnsi="Times New Roman"/>
                <w:sz w:val="25"/>
                <w:szCs w:val="25"/>
                <w:color w:val="auto"/>
                <w:w w:val="95"/>
              </w:rPr>
              <w:t>11</w:t>
            </w:r>
          </w:p>
        </w:tc>
        <w:tc>
          <w:tcPr>
            <w:tcW w:w="380" w:type="dxa"/>
            <w:vAlign w:val="bottom"/>
            <w:tcBorders>
              <w:right w:val="single" w:sz="8" w:color="auto"/>
            </w:tcBorders>
          </w:tcPr>
          <w:p>
            <w:pPr>
              <w:spacing w:after="0"/>
              <w:rPr>
                <w:sz w:val="20"/>
                <w:szCs w:val="20"/>
                <w:color w:val="auto"/>
              </w:rPr>
            </w:pPr>
          </w:p>
        </w:tc>
        <w:tc>
          <w:tcPr>
            <w:tcW w:w="8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vMerge w:val="continue"/>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4,260,691 (1)</w:t>
            </w:r>
          </w:p>
        </w:tc>
        <w:tc>
          <w:tcPr>
            <w:tcW w:w="10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6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12</w:t>
            </w:r>
          </w:p>
        </w:tc>
        <w:tc>
          <w:tcPr>
            <w:tcW w:w="380" w:type="dxa"/>
            <w:vAlign w:val="bottom"/>
            <w:tcBorders>
              <w:right w:val="single" w:sz="8" w:color="auto"/>
            </w:tcBorders>
          </w:tcPr>
          <w:p>
            <w:pPr>
              <w:spacing w:after="0"/>
              <w:rPr>
                <w:sz w:val="22"/>
                <w:szCs w:val="22"/>
                <w:color w:val="auto"/>
              </w:rPr>
            </w:pPr>
          </w:p>
        </w:tc>
        <w:tc>
          <w:tcPr>
            <w:tcW w:w="8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160" w:type="dxa"/>
            <w:vAlign w:val="bottom"/>
            <w:tcBorders>
              <w:right w:val="single" w:sz="8" w:color="auto"/>
            </w:tcBorders>
          </w:tcPr>
          <w:p>
            <w:pPr>
              <w:ind w:left="16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57"/>
        </w:trPr>
        <w:tc>
          <w:tcPr>
            <w:tcW w:w="660" w:type="dxa"/>
            <w:vAlign w:val="bottom"/>
            <w:tcBorders>
              <w:lef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60" w:type="dxa"/>
            <w:vAlign w:val="bottom"/>
            <w:tcBorders>
              <w:left w:val="single" w:sz="8" w:color="auto"/>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680" w:type="dxa"/>
            <w:vAlign w:val="bottom"/>
            <w:tcBorders>
              <w:bottom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13</w:t>
            </w:r>
          </w:p>
        </w:tc>
        <w:tc>
          <w:tcPr>
            <w:tcW w:w="380" w:type="dxa"/>
            <w:vAlign w:val="bottom"/>
            <w:tcBorders>
              <w:right w:val="single" w:sz="8" w:color="auto"/>
            </w:tcBorders>
          </w:tcPr>
          <w:p>
            <w:pPr>
              <w:spacing w:after="0"/>
              <w:rPr>
                <w:sz w:val="20"/>
                <w:szCs w:val="20"/>
                <w:color w:val="auto"/>
              </w:rPr>
            </w:pPr>
          </w:p>
        </w:tc>
        <w:tc>
          <w:tcPr>
            <w:tcW w:w="8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vMerge w:val="continue"/>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5.6% (2)</w:t>
            </w:r>
          </w:p>
        </w:tc>
        <w:tc>
          <w:tcPr>
            <w:tcW w:w="10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6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14</w:t>
            </w:r>
          </w:p>
        </w:tc>
        <w:tc>
          <w:tcPr>
            <w:tcW w:w="380" w:type="dxa"/>
            <w:vAlign w:val="bottom"/>
            <w:tcBorders>
              <w:right w:val="single" w:sz="8" w:color="auto"/>
            </w:tcBorders>
          </w:tcPr>
          <w:p>
            <w:pPr>
              <w:spacing w:after="0"/>
              <w:rPr>
                <w:sz w:val="20"/>
                <w:szCs w:val="20"/>
                <w:color w:val="auto"/>
              </w:rPr>
            </w:pPr>
          </w:p>
        </w:tc>
        <w:tc>
          <w:tcPr>
            <w:tcW w:w="8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vMerge w:val="continue"/>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10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6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Evidenced by American Depository Shares (“</w:t>
      </w:r>
      <w:r>
        <w:rPr>
          <w:rFonts w:ascii="Times New Roman" w:cs="Times New Roman" w:eastAsia="Times New Roman" w:hAnsi="Times New Roman"/>
          <w:sz w:val="14"/>
          <w:szCs w:val="14"/>
          <w:u w:val="single" w:color="auto"/>
          <w:color w:val="auto"/>
        </w:rPr>
        <w:t>ADSs</w:t>
      </w:r>
      <w:r>
        <w:rPr>
          <w:rFonts w:ascii="Times New Roman" w:cs="Times New Roman" w:eastAsia="Times New Roman" w:hAnsi="Times New Roman"/>
          <w:sz w:val="14"/>
          <w:szCs w:val="14"/>
          <w:color w:val="auto"/>
        </w:rPr>
        <w:t>”). Each ADS represents eight ordinary shares (“</w:t>
      </w:r>
      <w:r>
        <w:rPr>
          <w:rFonts w:ascii="Times New Roman" w:cs="Times New Roman" w:eastAsia="Times New Roman" w:hAnsi="Times New Roman"/>
          <w:sz w:val="14"/>
          <w:szCs w:val="14"/>
          <w:u w:val="single" w:color="auto"/>
          <w:color w:val="auto"/>
        </w:rPr>
        <w:t>Ordinary Shares</w:t>
      </w:r>
      <w:r>
        <w:rPr>
          <w:rFonts w:ascii="Times New Roman" w:cs="Times New Roman" w:eastAsia="Times New Roman" w:hAnsi="Times New Roman"/>
          <w:sz w:val="14"/>
          <w:szCs w:val="14"/>
          <w:color w:val="auto"/>
        </w:rPr>
        <w:t>”) of Verona Pharma plc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340" w:hanging="332"/>
        <w:spacing w:after="0" w:line="261" w:lineRule="auto"/>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604,980,598 Ordinary Shares outstanding of the Issuer (which if all held in ADS form, would be represented by 75,622,575 ADSs) as set forth in the Issuer’s Quarterly Report on Form 10-Q for the quarter ending September 30, 2022, filed with the Securities and Exchange Commission on 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671195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11950" cy="308610"/>
                    </a:xfrm>
                    <a:prstGeom prst="rect">
                      <a:avLst/>
                    </a:prstGeom>
                    <a:noFill/>
                  </pic:spPr>
                </pic:pic>
              </a:graphicData>
            </a:graphic>
          </wp:anchor>
        </w:drawing>
        <w:t>CUSIP No. 282559103</w:t>
      </w:r>
    </w:p>
    <w:p>
      <w:pPr>
        <w:spacing w:after="0" w:line="200" w:lineRule="exact"/>
        <w:rPr>
          <w:sz w:val="20"/>
          <w:szCs w:val="20"/>
          <w:color w:val="auto"/>
        </w:rPr>
      </w:pP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60" w:type="dxa"/>
            <w:vAlign w:val="bottom"/>
            <w:tcBorders>
              <w:top w:val="single" w:sz="8" w:color="auto"/>
              <w:left w:val="single" w:sz="8" w:color="auto"/>
            </w:tcBorders>
            <w:vMerge w:val="restart"/>
          </w:tcPr>
          <w:p>
            <w:pPr>
              <w:jc w:val="center"/>
              <w:ind w:left="157"/>
              <w:spacing w:after="0"/>
              <w:rPr>
                <w:sz w:val="20"/>
                <w:szCs w:val="20"/>
                <w:color w:val="auto"/>
              </w:rPr>
            </w:pPr>
            <w:r>
              <w:rPr>
                <w:rFonts w:ascii="Times New Roman" w:cs="Times New Roman" w:eastAsia="Times New Roman" w:hAnsi="Times New Roman"/>
                <w:sz w:val="25"/>
                <w:szCs w:val="25"/>
                <w:color w:val="auto"/>
                <w:w w:val="95"/>
              </w:rPr>
              <w:t>1</w:t>
            </w:r>
          </w:p>
        </w:tc>
        <w:tc>
          <w:tcPr>
            <w:tcW w:w="280" w:type="dxa"/>
            <w:vAlign w:val="bottom"/>
            <w:tcBorders>
              <w:top w:val="single" w:sz="8" w:color="auto"/>
              <w:right w:val="single" w:sz="8" w:color="auto"/>
            </w:tcBorders>
          </w:tcPr>
          <w:p>
            <w:pPr>
              <w:spacing w:after="0"/>
              <w:rPr>
                <w:sz w:val="23"/>
                <w:szCs w:val="23"/>
                <w:color w:val="auto"/>
              </w:rPr>
            </w:pPr>
          </w:p>
        </w:tc>
        <w:tc>
          <w:tcPr>
            <w:tcW w:w="21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9"/>
              </w:rPr>
              <w:t>Names of Reporting Persons.</w:t>
            </w:r>
          </w:p>
        </w:tc>
        <w:tc>
          <w:tcPr>
            <w:tcW w:w="5980" w:type="dxa"/>
            <w:vAlign w:val="bottom"/>
            <w:tcBorders>
              <w:top w:val="single" w:sz="8" w:color="auto"/>
            </w:tcBorders>
          </w:tcPr>
          <w:p>
            <w:pPr>
              <w:spacing w:after="0"/>
              <w:rPr>
                <w:sz w:val="23"/>
                <w:szCs w:val="23"/>
                <w:color w:val="auto"/>
              </w:rPr>
            </w:pPr>
          </w:p>
        </w:tc>
        <w:tc>
          <w:tcPr>
            <w:tcW w:w="21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vMerge w:val="continue"/>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OrbiMed Capital GP VI LLC</w:t>
            </w:r>
          </w:p>
        </w:tc>
        <w:tc>
          <w:tcPr>
            <w:tcW w:w="59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6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59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8140" w:type="dxa"/>
            <w:vAlign w:val="bottom"/>
            <w:tcBorders>
              <w:bottom w:val="single" w:sz="8" w:color="auto"/>
            </w:tcBorders>
            <w:gridSpan w:val="4"/>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vMerge w:val="restart"/>
          </w:tcPr>
          <w:p>
            <w:pPr>
              <w:jc w:val="center"/>
              <w:ind w:left="157"/>
              <w:spacing w:after="0"/>
              <w:rPr>
                <w:sz w:val="20"/>
                <w:szCs w:val="20"/>
                <w:color w:val="auto"/>
              </w:rPr>
            </w:pPr>
            <w:r>
              <w:rPr>
                <w:rFonts w:ascii="Times New Roman" w:cs="Times New Roman" w:eastAsia="Times New Roman" w:hAnsi="Times New Roman"/>
                <w:sz w:val="25"/>
                <w:szCs w:val="25"/>
                <w:color w:val="auto"/>
                <w:w w:val="95"/>
              </w:rPr>
              <w:t>2</w:t>
            </w:r>
          </w:p>
        </w:tc>
        <w:tc>
          <w:tcPr>
            <w:tcW w:w="280" w:type="dxa"/>
            <w:vAlign w:val="bottom"/>
            <w:tcBorders>
              <w:right w:val="single" w:sz="8" w:color="auto"/>
            </w:tcBorders>
          </w:tcPr>
          <w:p>
            <w:pPr>
              <w:spacing w:after="0"/>
              <w:rPr>
                <w:sz w:val="20"/>
                <w:szCs w:val="20"/>
                <w:color w:val="auto"/>
              </w:rPr>
            </w:pPr>
          </w:p>
        </w:tc>
        <w:tc>
          <w:tcPr>
            <w:tcW w:w="8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vMerge w:val="continue"/>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9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60" w:type="dxa"/>
            <w:vAlign w:val="bottom"/>
            <w:tcBorders>
              <w:left w:val="single" w:sz="8" w:color="auto"/>
            </w:tcBorders>
          </w:tcPr>
          <w:p>
            <w:pPr>
              <w:jc w:val="center"/>
              <w:ind w:left="157"/>
              <w:spacing w:after="0"/>
              <w:rPr>
                <w:sz w:val="20"/>
                <w:szCs w:val="20"/>
                <w:color w:val="auto"/>
              </w:rPr>
            </w:pPr>
            <w:r>
              <w:rPr>
                <w:rFonts w:ascii="Times New Roman" w:cs="Times New Roman" w:eastAsia="Times New Roman" w:hAnsi="Times New Roman"/>
                <w:sz w:val="25"/>
                <w:szCs w:val="25"/>
                <w:color w:val="auto"/>
                <w:w w:val="95"/>
              </w:rPr>
              <w:t>3</w:t>
            </w:r>
          </w:p>
        </w:tc>
        <w:tc>
          <w:tcPr>
            <w:tcW w:w="28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6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8140" w:type="dxa"/>
            <w:vAlign w:val="bottom"/>
            <w:tcBorders>
              <w:bottom w:val="single" w:sz="8" w:color="auto"/>
            </w:tcBorders>
            <w:gridSpan w:val="4"/>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vMerge w:val="restart"/>
          </w:tcPr>
          <w:p>
            <w:pPr>
              <w:jc w:val="center"/>
              <w:ind w:left="157"/>
              <w:spacing w:after="0"/>
              <w:rPr>
                <w:sz w:val="20"/>
                <w:szCs w:val="20"/>
                <w:color w:val="auto"/>
              </w:rPr>
            </w:pPr>
            <w:r>
              <w:rPr>
                <w:rFonts w:ascii="Times New Roman" w:cs="Times New Roman" w:eastAsia="Times New Roman" w:hAnsi="Times New Roman"/>
                <w:sz w:val="25"/>
                <w:szCs w:val="25"/>
                <w:color w:val="auto"/>
                <w:w w:val="95"/>
              </w:rPr>
              <w:t>4</w:t>
            </w:r>
          </w:p>
        </w:tc>
        <w:tc>
          <w:tcPr>
            <w:tcW w:w="280" w:type="dxa"/>
            <w:vAlign w:val="bottom"/>
            <w:tcBorders>
              <w:right w:val="single" w:sz="8" w:color="auto"/>
            </w:tcBorders>
          </w:tcPr>
          <w:p>
            <w:pPr>
              <w:spacing w:after="0"/>
              <w:rPr>
                <w:sz w:val="20"/>
                <w:szCs w:val="20"/>
                <w:color w:val="auto"/>
              </w:rPr>
            </w:pPr>
          </w:p>
        </w:tc>
        <w:tc>
          <w:tcPr>
            <w:tcW w:w="8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vMerge w:val="continue"/>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6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9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vMerge w:val="restart"/>
          </w:tcPr>
          <w:p>
            <w:pPr>
              <w:jc w:val="center"/>
              <w:ind w:left="157"/>
              <w:spacing w:after="0"/>
              <w:rPr>
                <w:sz w:val="20"/>
                <w:szCs w:val="20"/>
                <w:color w:val="auto"/>
              </w:rPr>
            </w:pPr>
            <w:r>
              <w:rPr>
                <w:rFonts w:ascii="Times New Roman" w:cs="Times New Roman" w:eastAsia="Times New Roman" w:hAnsi="Times New Roman"/>
                <w:sz w:val="25"/>
                <w:szCs w:val="25"/>
                <w:color w:val="auto"/>
                <w:w w:val="95"/>
              </w:rPr>
              <w:t>5</w:t>
            </w:r>
          </w:p>
        </w:tc>
        <w:tc>
          <w:tcPr>
            <w:tcW w:w="280" w:type="dxa"/>
            <w:vAlign w:val="bottom"/>
            <w:tcBorders>
              <w:right w:val="single" w:sz="8" w:color="auto"/>
            </w:tcBorders>
          </w:tcPr>
          <w:p>
            <w:pPr>
              <w:spacing w:after="0"/>
              <w:rPr>
                <w:sz w:val="20"/>
                <w:szCs w:val="20"/>
                <w:color w:val="auto"/>
              </w:rPr>
            </w:pPr>
          </w:p>
        </w:tc>
        <w:tc>
          <w:tcPr>
            <w:tcW w:w="81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160" w:type="dxa"/>
            <w:vAlign w:val="bottom"/>
            <w:tcBorders>
              <w:right w:val="single" w:sz="8" w:color="auto"/>
            </w:tcBorders>
          </w:tcPr>
          <w:p>
            <w:pPr>
              <w:ind w:left="17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60" w:type="dxa"/>
            <w:vAlign w:val="bottom"/>
            <w:tcBorders>
              <w:left w:val="single" w:sz="8" w:color="auto"/>
            </w:tcBorders>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8140" w:type="dxa"/>
            <w:vAlign w:val="bottom"/>
            <w:gridSpan w:val="4"/>
            <w:vMerge w:val="continue"/>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6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8140" w:type="dxa"/>
            <w:vAlign w:val="bottom"/>
            <w:tcBorders>
              <w:bottom w:val="single" w:sz="8" w:color="auto"/>
            </w:tcBorders>
            <w:gridSpan w:val="4"/>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vMerge w:val="restart"/>
          </w:tcPr>
          <w:p>
            <w:pPr>
              <w:jc w:val="center"/>
              <w:ind w:left="157"/>
              <w:spacing w:after="0"/>
              <w:rPr>
                <w:sz w:val="20"/>
                <w:szCs w:val="20"/>
                <w:color w:val="auto"/>
              </w:rPr>
            </w:pPr>
            <w:r>
              <w:rPr>
                <w:rFonts w:ascii="Times New Roman" w:cs="Times New Roman" w:eastAsia="Times New Roman" w:hAnsi="Times New Roman"/>
                <w:sz w:val="25"/>
                <w:szCs w:val="25"/>
                <w:color w:val="auto"/>
                <w:w w:val="95"/>
              </w:rPr>
              <w:t>6</w:t>
            </w:r>
          </w:p>
        </w:tc>
        <w:tc>
          <w:tcPr>
            <w:tcW w:w="280" w:type="dxa"/>
            <w:vAlign w:val="bottom"/>
            <w:tcBorders>
              <w:right w:val="single" w:sz="8" w:color="auto"/>
            </w:tcBorders>
          </w:tcPr>
          <w:p>
            <w:pPr>
              <w:spacing w:after="0"/>
              <w:rPr>
                <w:sz w:val="20"/>
                <w:szCs w:val="20"/>
                <w:color w:val="auto"/>
              </w:rPr>
            </w:pPr>
          </w:p>
        </w:tc>
        <w:tc>
          <w:tcPr>
            <w:tcW w:w="8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vMerge w:val="continue"/>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6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9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spacing w:after="0"/>
              <w:rPr>
                <w:sz w:val="20"/>
                <w:szCs w:val="20"/>
                <w:color w:val="auto"/>
              </w:rPr>
            </w:pPr>
          </w:p>
        </w:tc>
        <w:tc>
          <w:tcPr>
            <w:tcW w:w="1620" w:type="dxa"/>
            <w:vAlign w:val="bottom"/>
            <w:tcBorders>
              <w:right w:val="single" w:sz="8" w:color="auto"/>
            </w:tcBorders>
            <w:gridSpan w:val="2"/>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2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60" w:type="dxa"/>
            <w:vAlign w:val="bottom"/>
            <w:tcBorders>
              <w:left w:val="single" w:sz="8" w:color="auto"/>
            </w:tcBorders>
          </w:tcPr>
          <w:p>
            <w:pPr>
              <w:spacing w:after="0"/>
              <w:rPr>
                <w:sz w:val="15"/>
                <w:szCs w:val="15"/>
                <w:color w:val="auto"/>
              </w:rPr>
            </w:pPr>
          </w:p>
        </w:tc>
        <w:tc>
          <w:tcPr>
            <w:tcW w:w="1620" w:type="dxa"/>
            <w:vAlign w:val="bottom"/>
            <w:tcBorders>
              <w:right w:val="single" w:sz="8" w:color="auto"/>
            </w:tcBorders>
            <w:gridSpan w:val="2"/>
            <w:vMerge w:val="continue"/>
          </w:tcPr>
          <w:p>
            <w:pPr>
              <w:spacing w:after="0"/>
              <w:rPr>
                <w:sz w:val="15"/>
                <w:szCs w:val="15"/>
                <w:color w:val="auto"/>
              </w:rPr>
            </w:pPr>
          </w:p>
        </w:tc>
        <w:tc>
          <w:tcPr>
            <w:tcW w:w="80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60" w:type="dxa"/>
            <w:vAlign w:val="bottom"/>
            <w:tcBorders>
              <w:left w:val="single" w:sz="8" w:color="auto"/>
            </w:tcBorders>
          </w:tcPr>
          <w:p>
            <w:pPr>
              <w:spacing w:after="0"/>
              <w:rPr>
                <w:sz w:val="8"/>
                <w:szCs w:val="8"/>
                <w:color w:val="auto"/>
              </w:rPr>
            </w:pPr>
          </w:p>
        </w:tc>
        <w:tc>
          <w:tcPr>
            <w:tcW w:w="1620" w:type="dxa"/>
            <w:vAlign w:val="bottom"/>
            <w:tcBorders>
              <w:right w:val="single" w:sz="8" w:color="auto"/>
            </w:tcBorders>
            <w:gridSpan w:val="2"/>
            <w:vMerge w:val="restart"/>
          </w:tcPr>
          <w:p>
            <w:pPr>
              <w:jc w:val="center"/>
              <w:ind w:right="47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80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980" w:type="dxa"/>
            <w:vAlign w:val="bottom"/>
            <w:tcBorders>
              <w:bottom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60" w:type="dxa"/>
            <w:vAlign w:val="bottom"/>
            <w:tcBorders>
              <w:left w:val="single" w:sz="8" w:color="auto"/>
            </w:tcBorders>
          </w:tcPr>
          <w:p>
            <w:pPr>
              <w:spacing w:after="0"/>
              <w:rPr>
                <w:sz w:val="6"/>
                <w:szCs w:val="6"/>
                <w:color w:val="auto"/>
              </w:rPr>
            </w:pPr>
          </w:p>
        </w:tc>
        <w:tc>
          <w:tcPr>
            <w:tcW w:w="1620" w:type="dxa"/>
            <w:vAlign w:val="bottom"/>
            <w:tcBorders>
              <w:right w:val="single" w:sz="8" w:color="auto"/>
            </w:tcBorders>
            <w:gridSpan w:val="2"/>
            <w:vMerge w:val="continue"/>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20" w:type="dxa"/>
            <w:vAlign w:val="bottom"/>
          </w:tcPr>
          <w:p>
            <w:pPr>
              <w:spacing w:after="0"/>
              <w:rPr>
                <w:sz w:val="14"/>
                <w:szCs w:val="14"/>
                <w:color w:val="auto"/>
              </w:rPr>
            </w:pPr>
          </w:p>
        </w:tc>
        <w:tc>
          <w:tcPr>
            <w:tcW w:w="5980" w:type="dxa"/>
            <w:vAlign w:val="bottom"/>
            <w:vMerge w:val="continue"/>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80" w:type="dxa"/>
            <w:vAlign w:val="bottom"/>
            <w:tcBorders>
              <w:left w:val="single" w:sz="8" w:color="auto"/>
              <w:right w:val="single" w:sz="8" w:color="auto"/>
            </w:tcBorders>
            <w:gridSpan w:val="3"/>
            <w:vMerge w:val="continue"/>
          </w:tcPr>
          <w:p>
            <w:pPr>
              <w:spacing w:after="0"/>
              <w:rPr>
                <w:sz w:val="4"/>
                <w:szCs w:val="4"/>
                <w:color w:val="auto"/>
              </w:rPr>
            </w:pPr>
          </w:p>
        </w:tc>
        <w:tc>
          <w:tcPr>
            <w:tcW w:w="8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4,260,691 (1)</w:t>
            </w:r>
          </w:p>
        </w:tc>
        <w:tc>
          <w:tcPr>
            <w:tcW w:w="21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tcBorders>
          </w:tcPr>
          <w:p>
            <w:pPr>
              <w:spacing w:after="0"/>
              <w:rPr>
                <w:sz w:val="19"/>
                <w:szCs w:val="19"/>
                <w:color w:val="auto"/>
              </w:rPr>
            </w:pPr>
          </w:p>
        </w:tc>
        <w:tc>
          <w:tcPr>
            <w:tcW w:w="162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6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20" w:type="dxa"/>
            <w:vAlign w:val="bottom"/>
          </w:tcPr>
          <w:p>
            <w:pPr>
              <w:spacing w:after="0"/>
              <w:rPr>
                <w:sz w:val="17"/>
                <w:szCs w:val="17"/>
                <w:color w:val="auto"/>
              </w:rPr>
            </w:pPr>
          </w:p>
        </w:tc>
        <w:tc>
          <w:tcPr>
            <w:tcW w:w="5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162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8"/>
              </w:rPr>
              <w:t>REPORTING</w:t>
            </w:r>
          </w:p>
        </w:tc>
        <w:tc>
          <w:tcPr>
            <w:tcW w:w="80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60" w:type="dxa"/>
            <w:vAlign w:val="bottom"/>
            <w:tcBorders>
              <w:left w:val="single" w:sz="8" w:color="auto"/>
            </w:tcBorders>
          </w:tcPr>
          <w:p>
            <w:pPr>
              <w:spacing w:after="0"/>
              <w:rPr>
                <w:sz w:val="8"/>
                <w:szCs w:val="8"/>
                <w:color w:val="auto"/>
              </w:rPr>
            </w:pPr>
          </w:p>
        </w:tc>
        <w:tc>
          <w:tcPr>
            <w:tcW w:w="1620" w:type="dxa"/>
            <w:vAlign w:val="bottom"/>
            <w:tcBorders>
              <w:right w:val="single" w:sz="8" w:color="auto"/>
            </w:tcBorders>
            <w:gridSpan w:val="2"/>
            <w:vMerge w:val="restart"/>
          </w:tcPr>
          <w:p>
            <w:pPr>
              <w:jc w:val="center"/>
              <w:ind w:right="470"/>
              <w:spacing w:after="0" w:line="198" w:lineRule="exact"/>
              <w:rPr>
                <w:sz w:val="20"/>
                <w:szCs w:val="20"/>
                <w:color w:val="auto"/>
              </w:rPr>
            </w:pPr>
            <w:r>
              <w:rPr>
                <w:rFonts w:ascii="Times New Roman" w:cs="Times New Roman" w:eastAsia="Times New Roman" w:hAnsi="Times New Roman"/>
                <w:sz w:val="18"/>
                <w:szCs w:val="18"/>
                <w:color w:val="auto"/>
              </w:rPr>
              <w:t>PERSON</w:t>
            </w:r>
          </w:p>
        </w:tc>
        <w:tc>
          <w:tcPr>
            <w:tcW w:w="80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980" w:type="dxa"/>
            <w:vAlign w:val="bottom"/>
            <w:tcBorders>
              <w:bottom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60" w:type="dxa"/>
            <w:vAlign w:val="bottom"/>
            <w:tcBorders>
              <w:left w:val="single" w:sz="8" w:color="auto"/>
            </w:tcBorders>
          </w:tcPr>
          <w:p>
            <w:pPr>
              <w:spacing w:after="0"/>
              <w:rPr>
                <w:sz w:val="6"/>
                <w:szCs w:val="6"/>
                <w:color w:val="auto"/>
              </w:rPr>
            </w:pPr>
          </w:p>
        </w:tc>
        <w:tc>
          <w:tcPr>
            <w:tcW w:w="1620" w:type="dxa"/>
            <w:vAlign w:val="bottom"/>
            <w:tcBorders>
              <w:right w:val="single" w:sz="8" w:color="auto"/>
            </w:tcBorders>
            <w:gridSpan w:val="2"/>
            <w:vMerge w:val="continue"/>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6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WITH</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20" w:type="dxa"/>
            <w:vAlign w:val="bottom"/>
          </w:tcPr>
          <w:p>
            <w:pPr>
              <w:spacing w:after="0"/>
              <w:rPr>
                <w:sz w:val="14"/>
                <w:szCs w:val="14"/>
                <w:color w:val="auto"/>
              </w:rPr>
            </w:pPr>
          </w:p>
        </w:tc>
        <w:tc>
          <w:tcPr>
            <w:tcW w:w="5980" w:type="dxa"/>
            <w:vAlign w:val="bottom"/>
            <w:vMerge w:val="continue"/>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80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4,260,691 (1)</w:t>
            </w: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60" w:type="dxa"/>
            <w:vAlign w:val="bottom"/>
            <w:tcBorders>
              <w:lef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980" w:type="dxa"/>
            <w:vAlign w:val="bottom"/>
            <w:vMerge w:val="continue"/>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000" w:type="dxa"/>
            <w:vAlign w:val="bottom"/>
            <w:tcBorders>
              <w:bottom w:val="single" w:sz="8" w:color="auto"/>
            </w:tcBorders>
            <w:gridSpan w:val="2"/>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vMerge w:val="restart"/>
          </w:tcPr>
          <w:p>
            <w:pPr>
              <w:jc w:val="center"/>
              <w:ind w:left="157"/>
              <w:spacing w:after="0"/>
              <w:rPr>
                <w:sz w:val="20"/>
                <w:szCs w:val="20"/>
                <w:color w:val="auto"/>
              </w:rPr>
            </w:pPr>
            <w:r>
              <w:rPr>
                <w:rFonts w:ascii="Times New Roman" w:cs="Times New Roman" w:eastAsia="Times New Roman" w:hAnsi="Times New Roman"/>
                <w:sz w:val="25"/>
                <w:szCs w:val="25"/>
                <w:color w:val="auto"/>
                <w:w w:val="95"/>
              </w:rPr>
              <w:t>11</w:t>
            </w:r>
          </w:p>
        </w:tc>
        <w:tc>
          <w:tcPr>
            <w:tcW w:w="280" w:type="dxa"/>
            <w:vAlign w:val="bottom"/>
            <w:tcBorders>
              <w:right w:val="single" w:sz="8" w:color="auto"/>
            </w:tcBorders>
          </w:tcPr>
          <w:p>
            <w:pPr>
              <w:spacing w:after="0"/>
              <w:rPr>
                <w:sz w:val="20"/>
                <w:szCs w:val="20"/>
                <w:color w:val="auto"/>
              </w:rPr>
            </w:pPr>
          </w:p>
        </w:tc>
        <w:tc>
          <w:tcPr>
            <w:tcW w:w="8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vMerge w:val="continue"/>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4,260,691 (1)</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6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9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vMerge w:val="restart"/>
          </w:tcPr>
          <w:p>
            <w:pPr>
              <w:jc w:val="center"/>
              <w:ind w:left="157"/>
              <w:spacing w:after="0"/>
              <w:rPr>
                <w:sz w:val="20"/>
                <w:szCs w:val="20"/>
                <w:color w:val="auto"/>
              </w:rPr>
            </w:pPr>
            <w:r>
              <w:rPr>
                <w:rFonts w:ascii="Times New Roman" w:cs="Times New Roman" w:eastAsia="Times New Roman" w:hAnsi="Times New Roman"/>
                <w:sz w:val="25"/>
                <w:szCs w:val="25"/>
                <w:color w:val="auto"/>
                <w:w w:val="95"/>
              </w:rPr>
              <w:t>12</w:t>
            </w:r>
          </w:p>
        </w:tc>
        <w:tc>
          <w:tcPr>
            <w:tcW w:w="280" w:type="dxa"/>
            <w:vAlign w:val="bottom"/>
            <w:tcBorders>
              <w:right w:val="single" w:sz="8" w:color="auto"/>
            </w:tcBorders>
          </w:tcPr>
          <w:p>
            <w:pPr>
              <w:spacing w:after="0"/>
              <w:rPr>
                <w:sz w:val="20"/>
                <w:szCs w:val="20"/>
                <w:color w:val="auto"/>
              </w:rPr>
            </w:pPr>
          </w:p>
        </w:tc>
        <w:tc>
          <w:tcPr>
            <w:tcW w:w="81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160" w:type="dxa"/>
            <w:vAlign w:val="bottom"/>
            <w:tcBorders>
              <w:right w:val="single" w:sz="8" w:color="auto"/>
            </w:tcBorders>
          </w:tcPr>
          <w:p>
            <w:pPr>
              <w:ind w:left="17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60" w:type="dxa"/>
            <w:vAlign w:val="bottom"/>
            <w:tcBorders>
              <w:left w:val="single" w:sz="8" w:color="auto"/>
            </w:tcBorders>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8140" w:type="dxa"/>
            <w:vAlign w:val="bottom"/>
            <w:gridSpan w:val="4"/>
            <w:vMerge w:val="continue"/>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6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00" w:type="dxa"/>
            <w:vAlign w:val="bottom"/>
            <w:tcBorders>
              <w:bottom w:val="single" w:sz="8" w:color="auto"/>
            </w:tcBorders>
            <w:gridSpan w:val="2"/>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vMerge w:val="restart"/>
          </w:tcPr>
          <w:p>
            <w:pPr>
              <w:jc w:val="center"/>
              <w:ind w:left="157"/>
              <w:spacing w:after="0"/>
              <w:rPr>
                <w:sz w:val="20"/>
                <w:szCs w:val="20"/>
                <w:color w:val="auto"/>
              </w:rPr>
            </w:pPr>
            <w:r>
              <w:rPr>
                <w:rFonts w:ascii="Times New Roman" w:cs="Times New Roman" w:eastAsia="Times New Roman" w:hAnsi="Times New Roman"/>
                <w:sz w:val="25"/>
                <w:szCs w:val="25"/>
                <w:color w:val="auto"/>
                <w:w w:val="95"/>
              </w:rPr>
              <w:t>13</w:t>
            </w:r>
          </w:p>
        </w:tc>
        <w:tc>
          <w:tcPr>
            <w:tcW w:w="280" w:type="dxa"/>
            <w:vAlign w:val="bottom"/>
            <w:tcBorders>
              <w:right w:val="single" w:sz="8" w:color="auto"/>
            </w:tcBorders>
          </w:tcPr>
          <w:p>
            <w:pPr>
              <w:spacing w:after="0"/>
              <w:rPr>
                <w:sz w:val="20"/>
                <w:szCs w:val="20"/>
                <w:color w:val="auto"/>
              </w:rPr>
            </w:pPr>
          </w:p>
        </w:tc>
        <w:tc>
          <w:tcPr>
            <w:tcW w:w="8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vMerge w:val="continue"/>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5.6% (2)</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6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00" w:type="dxa"/>
            <w:vAlign w:val="bottom"/>
            <w:tcBorders>
              <w:bottom w:val="single" w:sz="8" w:color="auto"/>
            </w:tcBorders>
            <w:gridSpan w:val="2"/>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vMerge w:val="restart"/>
          </w:tcPr>
          <w:p>
            <w:pPr>
              <w:jc w:val="center"/>
              <w:ind w:left="157"/>
              <w:spacing w:after="0"/>
              <w:rPr>
                <w:sz w:val="20"/>
                <w:szCs w:val="20"/>
                <w:color w:val="auto"/>
              </w:rPr>
            </w:pPr>
            <w:r>
              <w:rPr>
                <w:rFonts w:ascii="Times New Roman" w:cs="Times New Roman" w:eastAsia="Times New Roman" w:hAnsi="Times New Roman"/>
                <w:sz w:val="25"/>
                <w:szCs w:val="25"/>
                <w:color w:val="auto"/>
                <w:w w:val="95"/>
              </w:rPr>
              <w:t>14</w:t>
            </w:r>
          </w:p>
        </w:tc>
        <w:tc>
          <w:tcPr>
            <w:tcW w:w="280" w:type="dxa"/>
            <w:vAlign w:val="bottom"/>
            <w:tcBorders>
              <w:right w:val="single" w:sz="8" w:color="auto"/>
            </w:tcBorders>
          </w:tcPr>
          <w:p>
            <w:pPr>
              <w:spacing w:after="0"/>
              <w:rPr>
                <w:sz w:val="20"/>
                <w:szCs w:val="20"/>
                <w:color w:val="auto"/>
              </w:rPr>
            </w:pPr>
          </w:p>
        </w:tc>
        <w:tc>
          <w:tcPr>
            <w:tcW w:w="8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tcBorders>
            <w:vMerge w:val="continue"/>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6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9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Evidenced by American Depository Shares (“</w:t>
      </w:r>
      <w:r>
        <w:rPr>
          <w:rFonts w:ascii="Times New Roman" w:cs="Times New Roman" w:eastAsia="Times New Roman" w:hAnsi="Times New Roman"/>
          <w:sz w:val="14"/>
          <w:szCs w:val="14"/>
          <w:u w:val="single" w:color="auto"/>
          <w:color w:val="auto"/>
        </w:rPr>
        <w:t>ADSs</w:t>
      </w:r>
      <w:r>
        <w:rPr>
          <w:rFonts w:ascii="Times New Roman" w:cs="Times New Roman" w:eastAsia="Times New Roman" w:hAnsi="Times New Roman"/>
          <w:sz w:val="14"/>
          <w:szCs w:val="14"/>
          <w:color w:val="auto"/>
        </w:rPr>
        <w:t>”). Each ADS represents eight ordinary shares (“</w:t>
      </w:r>
      <w:r>
        <w:rPr>
          <w:rFonts w:ascii="Times New Roman" w:cs="Times New Roman" w:eastAsia="Times New Roman" w:hAnsi="Times New Roman"/>
          <w:sz w:val="14"/>
          <w:szCs w:val="14"/>
          <w:u w:val="single" w:color="auto"/>
          <w:color w:val="auto"/>
        </w:rPr>
        <w:t>Ordinary Shares</w:t>
      </w:r>
      <w:r>
        <w:rPr>
          <w:rFonts w:ascii="Times New Roman" w:cs="Times New Roman" w:eastAsia="Times New Roman" w:hAnsi="Times New Roman"/>
          <w:sz w:val="14"/>
          <w:szCs w:val="14"/>
          <w:color w:val="auto"/>
        </w:rPr>
        <w:t>”) of Verona Pharma plc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340" w:hanging="332"/>
        <w:spacing w:after="0" w:line="261"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604,980,598 Ordinary Shares outstanding of the Issuer (which if all held in ADS form, would be represented by 75,622,575 ADSs) as set forth in the Issuer’s Quarterly Report on Form 10-Q for the quarter ending September 30, 2022, filed with the Securities and Exchange Commission on 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 w:name="page4"/>
    <w:bookmarkEnd w:id="3"/>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216027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282559103</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60" w:type="dxa"/>
            <w:vAlign w:val="bottom"/>
            <w:tcBorders>
              <w:top w:val="single" w:sz="8" w:color="auto"/>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1</w:t>
            </w:r>
          </w:p>
        </w:tc>
        <w:tc>
          <w:tcPr>
            <w:tcW w:w="380" w:type="dxa"/>
            <w:vAlign w:val="bottom"/>
            <w:tcBorders>
              <w:top w:val="single" w:sz="8" w:color="auto"/>
              <w:right w:val="single" w:sz="8" w:color="auto"/>
            </w:tcBorders>
          </w:tcPr>
          <w:p>
            <w:pPr>
              <w:spacing w:after="0"/>
              <w:rPr>
                <w:sz w:val="21"/>
                <w:szCs w:val="21"/>
                <w:color w:val="auto"/>
              </w:rPr>
            </w:pPr>
          </w:p>
        </w:tc>
        <w:tc>
          <w:tcPr>
            <w:tcW w:w="23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5680" w:type="dxa"/>
            <w:vAlign w:val="bottom"/>
            <w:tcBorders>
              <w:top w:val="single" w:sz="8" w:color="auto"/>
            </w:tcBorders>
          </w:tcPr>
          <w:p>
            <w:pPr>
              <w:spacing w:after="0"/>
              <w:rPr>
                <w:sz w:val="21"/>
                <w:szCs w:val="21"/>
                <w:color w:val="auto"/>
              </w:rPr>
            </w:pPr>
          </w:p>
        </w:tc>
        <w:tc>
          <w:tcPr>
            <w:tcW w:w="21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vMerge w:val="continue"/>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LLC</w:t>
            </w:r>
          </w:p>
        </w:tc>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56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8040" w:type="dxa"/>
            <w:vAlign w:val="bottom"/>
            <w:tcBorders>
              <w:bottom w:val="single" w:sz="8" w:color="auto"/>
            </w:tcBorders>
            <w:gridSpan w:val="4"/>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2</w:t>
            </w:r>
          </w:p>
        </w:tc>
        <w:tc>
          <w:tcPr>
            <w:tcW w:w="380" w:type="dxa"/>
            <w:vAlign w:val="bottom"/>
            <w:tcBorders>
              <w:right w:val="single" w:sz="8" w:color="auto"/>
            </w:tcBorders>
          </w:tcPr>
          <w:p>
            <w:pPr>
              <w:spacing w:after="0"/>
              <w:rPr>
                <w:sz w:val="20"/>
                <w:szCs w:val="20"/>
                <w:color w:val="auto"/>
              </w:rPr>
            </w:pPr>
          </w:p>
        </w:tc>
        <w:tc>
          <w:tcPr>
            <w:tcW w:w="8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vMerge w:val="continue"/>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660" w:type="dxa"/>
            <w:vAlign w:val="bottom"/>
            <w:tcBorders>
              <w:left w:val="single" w:sz="8" w:color="auto"/>
            </w:tcBorders>
          </w:tcPr>
          <w:p>
            <w:pPr>
              <w:jc w:val="center"/>
              <w:ind w:left="277"/>
              <w:spacing w:after="0"/>
              <w:rPr>
                <w:sz w:val="20"/>
                <w:szCs w:val="20"/>
                <w:color w:val="auto"/>
              </w:rPr>
            </w:pPr>
            <w:r>
              <w:rPr>
                <w:rFonts w:ascii="Times New Roman" w:cs="Times New Roman" w:eastAsia="Times New Roman" w:hAnsi="Times New Roman"/>
                <w:sz w:val="25"/>
                <w:szCs w:val="25"/>
                <w:color w:val="auto"/>
              </w:rPr>
              <w:t>3</w:t>
            </w:r>
          </w:p>
        </w:tc>
        <w:tc>
          <w:tcPr>
            <w:tcW w:w="380" w:type="dxa"/>
            <w:vAlign w:val="bottom"/>
            <w:tcBorders>
              <w:right w:val="single" w:sz="8" w:color="auto"/>
            </w:tcBorders>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60" w:type="dxa"/>
            <w:vAlign w:val="bottom"/>
            <w:tcBorders>
              <w:left w:val="single" w:sz="8" w:color="auto"/>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8040" w:type="dxa"/>
            <w:vAlign w:val="bottom"/>
            <w:tcBorders>
              <w:bottom w:val="single" w:sz="8" w:color="auto"/>
            </w:tcBorders>
            <w:gridSpan w:val="4"/>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4</w:t>
            </w:r>
          </w:p>
        </w:tc>
        <w:tc>
          <w:tcPr>
            <w:tcW w:w="380" w:type="dxa"/>
            <w:vAlign w:val="bottom"/>
            <w:tcBorders>
              <w:right w:val="single" w:sz="8" w:color="auto"/>
            </w:tcBorders>
          </w:tcPr>
          <w:p>
            <w:pPr>
              <w:spacing w:after="0"/>
              <w:rPr>
                <w:sz w:val="20"/>
                <w:szCs w:val="20"/>
                <w:color w:val="auto"/>
              </w:rPr>
            </w:pPr>
          </w:p>
        </w:tc>
        <w:tc>
          <w:tcPr>
            <w:tcW w:w="8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vMerge w:val="continue"/>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56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5</w:t>
            </w:r>
          </w:p>
        </w:tc>
        <w:tc>
          <w:tcPr>
            <w:tcW w:w="380" w:type="dxa"/>
            <w:vAlign w:val="bottom"/>
            <w:tcBorders>
              <w:right w:val="single" w:sz="8" w:color="auto"/>
            </w:tcBorders>
          </w:tcPr>
          <w:p>
            <w:pPr>
              <w:spacing w:after="0"/>
              <w:rPr>
                <w:sz w:val="20"/>
                <w:szCs w:val="20"/>
                <w:color w:val="auto"/>
              </w:rPr>
            </w:pPr>
          </w:p>
        </w:tc>
        <w:tc>
          <w:tcPr>
            <w:tcW w:w="80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160" w:type="dxa"/>
            <w:vAlign w:val="bottom"/>
            <w:tcBorders>
              <w:right w:val="single" w:sz="8" w:color="auto"/>
            </w:tcBorders>
          </w:tcPr>
          <w:p>
            <w:pPr>
              <w:ind w:left="16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660" w:type="dxa"/>
            <w:vAlign w:val="bottom"/>
            <w:tcBorders>
              <w:left w:val="single" w:sz="8" w:color="auto"/>
            </w:tcBorders>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040" w:type="dxa"/>
            <w:vAlign w:val="bottom"/>
            <w:gridSpan w:val="4"/>
            <w:vMerge w:val="continue"/>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660" w:type="dxa"/>
            <w:vAlign w:val="bottom"/>
            <w:tcBorders>
              <w:left w:val="single" w:sz="8" w:color="auto"/>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8040" w:type="dxa"/>
            <w:vAlign w:val="bottom"/>
            <w:tcBorders>
              <w:bottom w:val="single" w:sz="8" w:color="auto"/>
            </w:tcBorders>
            <w:gridSpan w:val="4"/>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6</w:t>
            </w:r>
          </w:p>
        </w:tc>
        <w:tc>
          <w:tcPr>
            <w:tcW w:w="380" w:type="dxa"/>
            <w:vAlign w:val="bottom"/>
            <w:tcBorders>
              <w:right w:val="single" w:sz="8" w:color="auto"/>
            </w:tcBorders>
          </w:tcPr>
          <w:p>
            <w:pPr>
              <w:spacing w:after="0"/>
              <w:rPr>
                <w:sz w:val="20"/>
                <w:szCs w:val="20"/>
                <w:color w:val="auto"/>
              </w:rPr>
            </w:pPr>
          </w:p>
        </w:tc>
        <w:tc>
          <w:tcPr>
            <w:tcW w:w="8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vMerge w:val="continue"/>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56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60" w:type="dxa"/>
            <w:vAlign w:val="bottom"/>
            <w:tcBorders>
              <w:left w:val="single" w:sz="8" w:color="auto"/>
            </w:tcBorders>
          </w:tcPr>
          <w:p>
            <w:pPr>
              <w:spacing w:after="0"/>
              <w:rPr>
                <w:sz w:val="20"/>
                <w:szCs w:val="20"/>
                <w:color w:val="auto"/>
              </w:rPr>
            </w:pPr>
          </w:p>
        </w:tc>
        <w:tc>
          <w:tcPr>
            <w:tcW w:w="1740" w:type="dxa"/>
            <w:vAlign w:val="bottom"/>
            <w:tcBorders>
              <w:right w:val="single" w:sz="8" w:color="auto"/>
            </w:tcBorders>
            <w:gridSpan w:val="2"/>
            <w:vMerge w:val="restart"/>
          </w:tcPr>
          <w:p>
            <w:pPr>
              <w:jc w:val="center"/>
              <w:ind w:right="57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Pr>
          <w:p>
            <w:pPr>
              <w:spacing w:after="0"/>
              <w:rPr>
                <w:sz w:val="20"/>
                <w:szCs w:val="20"/>
                <w:color w:val="auto"/>
              </w:rPr>
            </w:pPr>
          </w:p>
        </w:tc>
        <w:tc>
          <w:tcPr>
            <w:tcW w:w="6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25"/>
                <w:szCs w:val="25"/>
                <w:color w:val="auto"/>
              </w:rPr>
              <w:t>7</w:t>
            </w:r>
          </w:p>
        </w:tc>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60" w:type="dxa"/>
            <w:vAlign w:val="bottom"/>
            <w:tcBorders>
              <w:left w:val="single" w:sz="8" w:color="auto"/>
            </w:tcBorders>
          </w:tcPr>
          <w:p>
            <w:pPr>
              <w:spacing w:after="0"/>
              <w:rPr>
                <w:sz w:val="15"/>
                <w:szCs w:val="15"/>
                <w:color w:val="auto"/>
              </w:rPr>
            </w:pPr>
          </w:p>
        </w:tc>
        <w:tc>
          <w:tcPr>
            <w:tcW w:w="1740" w:type="dxa"/>
            <w:vAlign w:val="bottom"/>
            <w:tcBorders>
              <w:right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56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311,598 (1)</w:t>
            </w: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660" w:type="dxa"/>
            <w:vAlign w:val="bottom"/>
            <w:tcBorders>
              <w:left w:val="single" w:sz="8" w:color="auto"/>
            </w:tcBorders>
          </w:tcPr>
          <w:p>
            <w:pPr>
              <w:spacing w:after="0"/>
              <w:rPr>
                <w:sz w:val="8"/>
                <w:szCs w:val="8"/>
                <w:color w:val="auto"/>
              </w:rPr>
            </w:pPr>
          </w:p>
        </w:tc>
        <w:tc>
          <w:tcPr>
            <w:tcW w:w="1740" w:type="dxa"/>
            <w:vAlign w:val="bottom"/>
            <w:tcBorders>
              <w:right w:val="single" w:sz="8" w:color="auto"/>
            </w:tcBorders>
            <w:gridSpan w:val="2"/>
            <w:vMerge w:val="restart"/>
          </w:tcPr>
          <w:p>
            <w:pPr>
              <w:jc w:val="center"/>
              <w:ind w:right="57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5680" w:type="dxa"/>
            <w:vAlign w:val="bottom"/>
            <w:tcBorders>
              <w:bottom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660" w:type="dxa"/>
            <w:vAlign w:val="bottom"/>
            <w:tcBorders>
              <w:left w:val="single" w:sz="8" w:color="auto"/>
            </w:tcBorders>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5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40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4"/>
                <w:szCs w:val="14"/>
                <w:color w:val="auto"/>
              </w:rPr>
            </w:pPr>
          </w:p>
        </w:tc>
        <w:tc>
          <w:tcPr>
            <w:tcW w:w="660" w:type="dxa"/>
            <w:vAlign w:val="bottom"/>
            <w:tcBorders>
              <w:right w:val="single" w:sz="8" w:color="auto"/>
            </w:tcBorders>
            <w:vMerge w:val="restart"/>
          </w:tcPr>
          <w:p>
            <w:pPr>
              <w:jc w:val="center"/>
              <w:ind w:right="234"/>
              <w:spacing w:after="0" w:line="216" w:lineRule="exact"/>
              <w:rPr>
                <w:sz w:val="20"/>
                <w:szCs w:val="20"/>
                <w:color w:val="auto"/>
              </w:rPr>
            </w:pPr>
            <w:r>
              <w:rPr>
                <w:rFonts w:ascii="Times New Roman" w:cs="Times New Roman" w:eastAsia="Times New Roman" w:hAnsi="Times New Roman"/>
                <w:sz w:val="25"/>
                <w:szCs w:val="25"/>
                <w:color w:val="auto"/>
              </w:rPr>
              <w:t>8</w:t>
            </w:r>
          </w:p>
        </w:tc>
        <w:tc>
          <w:tcPr>
            <w:tcW w:w="5680" w:type="dxa"/>
            <w:vAlign w:val="bottom"/>
            <w:vMerge w:val="continue"/>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00" w:type="dxa"/>
            <w:vAlign w:val="bottom"/>
            <w:tcBorders>
              <w:left w:val="single" w:sz="8" w:color="auto"/>
              <w:right w:val="single" w:sz="8" w:color="auto"/>
            </w:tcBorders>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5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60" w:type="dxa"/>
            <w:vAlign w:val="bottom"/>
            <w:tcBorders>
              <w:left w:val="single" w:sz="8" w:color="auto"/>
            </w:tcBorders>
          </w:tcPr>
          <w:p>
            <w:pPr>
              <w:spacing w:after="0"/>
              <w:rPr>
                <w:sz w:val="19"/>
                <w:szCs w:val="19"/>
                <w:color w:val="auto"/>
              </w:rPr>
            </w:pPr>
          </w:p>
        </w:tc>
        <w:tc>
          <w:tcPr>
            <w:tcW w:w="1740" w:type="dxa"/>
            <w:vAlign w:val="bottom"/>
            <w:tcBorders>
              <w:right w:val="single" w:sz="8" w:color="auto"/>
            </w:tcBorders>
            <w:gridSpan w:val="2"/>
          </w:tcPr>
          <w:p>
            <w:pPr>
              <w:jc w:val="center"/>
              <w:ind w:right="570"/>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left w:val="single" w:sz="8" w:color="auto"/>
            </w:tcBorders>
          </w:tcPr>
          <w:p>
            <w:pPr>
              <w:spacing w:after="0"/>
              <w:rPr>
                <w:sz w:val="17"/>
                <w:szCs w:val="17"/>
                <w:color w:val="auto"/>
              </w:rPr>
            </w:pPr>
          </w:p>
        </w:tc>
        <w:tc>
          <w:tcPr>
            <w:tcW w:w="1740" w:type="dxa"/>
            <w:vAlign w:val="bottom"/>
            <w:tcBorders>
              <w:right w:val="single" w:sz="8" w:color="auto"/>
            </w:tcBorders>
            <w:gridSpan w:val="2"/>
          </w:tcPr>
          <w:p>
            <w:pPr>
              <w:jc w:val="center"/>
              <w:ind w:right="57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spacing w:after="0"/>
              <w:rPr>
                <w:sz w:val="17"/>
                <w:szCs w:val="17"/>
                <w:color w:val="auto"/>
              </w:rPr>
            </w:pPr>
          </w:p>
        </w:tc>
        <w:tc>
          <w:tcPr>
            <w:tcW w:w="6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25"/>
                <w:szCs w:val="25"/>
                <w:color w:val="auto"/>
              </w:rPr>
              <w:t>9</w:t>
            </w:r>
          </w:p>
        </w:tc>
        <w:tc>
          <w:tcPr>
            <w:tcW w:w="56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570"/>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660" w:type="dxa"/>
            <w:vAlign w:val="bottom"/>
            <w:tcBorders>
              <w:right w:val="single" w:sz="8" w:color="auto"/>
            </w:tcBorders>
            <w:vMerge w:val="continue"/>
          </w:tcPr>
          <w:p>
            <w:pPr>
              <w:spacing w:after="0"/>
              <w:rPr>
                <w:sz w:val="18"/>
                <w:szCs w:val="18"/>
                <w:color w:val="auto"/>
              </w:rPr>
            </w:pPr>
          </w:p>
        </w:tc>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311,598 (1)</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660" w:type="dxa"/>
            <w:vAlign w:val="bottom"/>
            <w:tcBorders>
              <w:left w:val="single" w:sz="8" w:color="auto"/>
            </w:tcBorders>
          </w:tcPr>
          <w:p>
            <w:pPr>
              <w:spacing w:after="0"/>
              <w:rPr>
                <w:sz w:val="8"/>
                <w:szCs w:val="8"/>
                <w:color w:val="auto"/>
              </w:rPr>
            </w:pPr>
          </w:p>
        </w:tc>
        <w:tc>
          <w:tcPr>
            <w:tcW w:w="1740" w:type="dxa"/>
            <w:vAlign w:val="bottom"/>
            <w:tcBorders>
              <w:right w:val="single" w:sz="8" w:color="auto"/>
            </w:tcBorders>
            <w:gridSpan w:val="2"/>
            <w:vMerge w:val="restart"/>
          </w:tcPr>
          <w:p>
            <w:pPr>
              <w:jc w:val="center"/>
              <w:ind w:right="570"/>
              <w:spacing w:after="0" w:line="198" w:lineRule="exact"/>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5680" w:type="dxa"/>
            <w:vAlign w:val="bottom"/>
            <w:tcBorders>
              <w:bottom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660" w:type="dxa"/>
            <w:vAlign w:val="bottom"/>
            <w:tcBorders>
              <w:left w:val="single" w:sz="8" w:color="auto"/>
            </w:tcBorders>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5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1740" w:type="dxa"/>
            <w:vAlign w:val="bottom"/>
            <w:tcBorders>
              <w:right w:val="single" w:sz="8" w:color="auto"/>
            </w:tcBorders>
            <w:gridSpan w:val="2"/>
            <w:vMerge w:val="restart"/>
          </w:tcPr>
          <w:p>
            <w:pPr>
              <w:jc w:val="center"/>
              <w:ind w:right="570"/>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Pr>
          <w:p>
            <w:pPr>
              <w:spacing w:after="0"/>
              <w:rPr>
                <w:sz w:val="14"/>
                <w:szCs w:val="14"/>
                <w:color w:val="auto"/>
              </w:rPr>
            </w:pPr>
          </w:p>
        </w:tc>
        <w:tc>
          <w:tcPr>
            <w:tcW w:w="6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25"/>
                <w:szCs w:val="25"/>
                <w:color w:val="auto"/>
              </w:rPr>
              <w:t>10</w:t>
            </w:r>
          </w:p>
        </w:tc>
        <w:tc>
          <w:tcPr>
            <w:tcW w:w="5680" w:type="dxa"/>
            <w:vAlign w:val="bottom"/>
            <w:vMerge w:val="continue"/>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1740" w:type="dxa"/>
            <w:vAlign w:val="bottom"/>
            <w:tcBorders>
              <w:right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5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5680" w:type="dxa"/>
            <w:vAlign w:val="bottom"/>
            <w:vMerge w:val="continue"/>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gridSpan w:val="2"/>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60" w:type="dxa"/>
            <w:vAlign w:val="bottom"/>
            <w:tcBorders>
              <w:left w:val="single" w:sz="8" w:color="auto"/>
            </w:tcBorders>
            <w:vMerge w:val="restart"/>
          </w:tcPr>
          <w:p>
            <w:pPr>
              <w:jc w:val="center"/>
              <w:ind w:left="257"/>
              <w:spacing w:after="0"/>
              <w:rPr>
                <w:sz w:val="20"/>
                <w:szCs w:val="20"/>
                <w:color w:val="auto"/>
              </w:rPr>
            </w:pPr>
            <w:r>
              <w:rPr>
                <w:rFonts w:ascii="Times New Roman" w:cs="Times New Roman" w:eastAsia="Times New Roman" w:hAnsi="Times New Roman"/>
                <w:sz w:val="25"/>
                <w:szCs w:val="25"/>
                <w:color w:val="auto"/>
                <w:w w:val="95"/>
              </w:rPr>
              <w:t>11</w:t>
            </w:r>
          </w:p>
        </w:tc>
        <w:tc>
          <w:tcPr>
            <w:tcW w:w="380" w:type="dxa"/>
            <w:vAlign w:val="bottom"/>
            <w:tcBorders>
              <w:right w:val="single" w:sz="8" w:color="auto"/>
            </w:tcBorders>
          </w:tcPr>
          <w:p>
            <w:pPr>
              <w:spacing w:after="0"/>
              <w:rPr>
                <w:sz w:val="20"/>
                <w:szCs w:val="20"/>
                <w:color w:val="auto"/>
              </w:rPr>
            </w:pPr>
          </w:p>
        </w:tc>
        <w:tc>
          <w:tcPr>
            <w:tcW w:w="8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vMerge w:val="continue"/>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311,598 (1)</w:t>
            </w: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12</w:t>
            </w:r>
          </w:p>
        </w:tc>
        <w:tc>
          <w:tcPr>
            <w:tcW w:w="380" w:type="dxa"/>
            <w:vAlign w:val="bottom"/>
            <w:tcBorders>
              <w:right w:val="single" w:sz="8" w:color="auto"/>
            </w:tcBorders>
          </w:tcPr>
          <w:p>
            <w:pPr>
              <w:spacing w:after="0"/>
              <w:rPr>
                <w:sz w:val="20"/>
                <w:szCs w:val="20"/>
                <w:color w:val="auto"/>
              </w:rPr>
            </w:pPr>
          </w:p>
        </w:tc>
        <w:tc>
          <w:tcPr>
            <w:tcW w:w="80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160" w:type="dxa"/>
            <w:vAlign w:val="bottom"/>
            <w:tcBorders>
              <w:right w:val="single" w:sz="8" w:color="auto"/>
            </w:tcBorders>
          </w:tcPr>
          <w:p>
            <w:pPr>
              <w:ind w:left="16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660" w:type="dxa"/>
            <w:vAlign w:val="bottom"/>
            <w:tcBorders>
              <w:left w:val="single" w:sz="8" w:color="auto"/>
            </w:tcBorders>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040" w:type="dxa"/>
            <w:vAlign w:val="bottom"/>
            <w:gridSpan w:val="4"/>
            <w:vMerge w:val="continue"/>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660" w:type="dxa"/>
            <w:vAlign w:val="bottom"/>
            <w:tcBorders>
              <w:left w:val="single" w:sz="8" w:color="auto"/>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5680" w:type="dxa"/>
            <w:vAlign w:val="bottom"/>
            <w:tcBorders>
              <w:bottom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13</w:t>
            </w:r>
          </w:p>
        </w:tc>
        <w:tc>
          <w:tcPr>
            <w:tcW w:w="380" w:type="dxa"/>
            <w:vAlign w:val="bottom"/>
            <w:tcBorders>
              <w:right w:val="single" w:sz="8" w:color="auto"/>
            </w:tcBorders>
          </w:tcPr>
          <w:p>
            <w:pPr>
              <w:spacing w:after="0"/>
              <w:rPr>
                <w:sz w:val="20"/>
                <w:szCs w:val="20"/>
                <w:color w:val="auto"/>
              </w:rPr>
            </w:pPr>
          </w:p>
        </w:tc>
        <w:tc>
          <w:tcPr>
            <w:tcW w:w="8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vMerge w:val="continue"/>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0.4% (2)</w:t>
            </w: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60" w:type="dxa"/>
            <w:vAlign w:val="bottom"/>
            <w:tcBorders>
              <w:left w:val="single" w:sz="8" w:color="auto"/>
            </w:tcBorders>
            <w:vMerge w:val="restart"/>
          </w:tcPr>
          <w:p>
            <w:pPr>
              <w:jc w:val="center"/>
              <w:ind w:left="277"/>
              <w:spacing w:after="0"/>
              <w:rPr>
                <w:sz w:val="20"/>
                <w:szCs w:val="20"/>
                <w:color w:val="auto"/>
              </w:rPr>
            </w:pPr>
            <w:r>
              <w:rPr>
                <w:rFonts w:ascii="Times New Roman" w:cs="Times New Roman" w:eastAsia="Times New Roman" w:hAnsi="Times New Roman"/>
                <w:sz w:val="25"/>
                <w:szCs w:val="25"/>
                <w:color w:val="auto"/>
              </w:rPr>
              <w:t>14</w:t>
            </w:r>
          </w:p>
        </w:tc>
        <w:tc>
          <w:tcPr>
            <w:tcW w:w="380" w:type="dxa"/>
            <w:vAlign w:val="bottom"/>
            <w:tcBorders>
              <w:right w:val="single" w:sz="8" w:color="auto"/>
            </w:tcBorders>
          </w:tcPr>
          <w:p>
            <w:pPr>
              <w:spacing w:after="0"/>
              <w:rPr>
                <w:sz w:val="20"/>
                <w:szCs w:val="20"/>
                <w:color w:val="auto"/>
              </w:rPr>
            </w:pPr>
          </w:p>
        </w:tc>
        <w:tc>
          <w:tcPr>
            <w:tcW w:w="8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vMerge w:val="continue"/>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660" w:type="dxa"/>
            <w:vAlign w:val="bottom"/>
            <w:tcBorders>
              <w:lef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568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Evidenced by American Depository Shares (“</w:t>
      </w:r>
      <w:r>
        <w:rPr>
          <w:rFonts w:ascii="Times New Roman" w:cs="Times New Roman" w:eastAsia="Times New Roman" w:hAnsi="Times New Roman"/>
          <w:sz w:val="14"/>
          <w:szCs w:val="14"/>
          <w:u w:val="single" w:color="auto"/>
          <w:color w:val="auto"/>
        </w:rPr>
        <w:t>ADSs</w:t>
      </w:r>
      <w:r>
        <w:rPr>
          <w:rFonts w:ascii="Times New Roman" w:cs="Times New Roman" w:eastAsia="Times New Roman" w:hAnsi="Times New Roman"/>
          <w:sz w:val="14"/>
          <w:szCs w:val="14"/>
          <w:color w:val="auto"/>
        </w:rPr>
        <w:t>”). Each ADS represents eight ordinary shares (“</w:t>
      </w:r>
      <w:r>
        <w:rPr>
          <w:rFonts w:ascii="Times New Roman" w:cs="Times New Roman" w:eastAsia="Times New Roman" w:hAnsi="Times New Roman"/>
          <w:sz w:val="14"/>
          <w:szCs w:val="14"/>
          <w:u w:val="single" w:color="auto"/>
          <w:color w:val="auto"/>
        </w:rPr>
        <w:t>Ordinary Shares</w:t>
      </w:r>
      <w:r>
        <w:rPr>
          <w:rFonts w:ascii="Times New Roman" w:cs="Times New Roman" w:eastAsia="Times New Roman" w:hAnsi="Times New Roman"/>
          <w:sz w:val="14"/>
          <w:szCs w:val="14"/>
          <w:color w:val="auto"/>
        </w:rPr>
        <w:t>”) of Verona Pharma plc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340" w:hanging="332"/>
        <w:spacing w:after="0" w:line="261" w:lineRule="auto"/>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604,980,598 Ordinary Shares outstanding of the Issuer (which if all held in ADS form, would be represented by 75,622,575 ADSs) as set forth in the Issuer’s Quarterly Report on Form 10-Q for the quarter ending September 30, 2022, filed with the Securities and Exchange Commission on 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Amendment No. 3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to Schedule 13D supplements and amends the Statement on Schedule 13D of OrbiMed Advisors LLC, OrbiMed Capital GP VI LLC and Samuel D. Isaly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originally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May 8, 2017, as amended by Amendment No. 1 filed with the SEC on January 26, 2018 and Amendment No. 2 filed with the SEC on August 12, 2022. This Statement relates to the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Verona Pharma plc, a public limited company organized under the laws of England and Wales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with its principal offices are located at 3 More London Riverside, London SE1 2RE, United Kingdom. Certain Ordinary Shares are represented by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with each ADS representing eight Ordinary Shares (Ordinary Shares and Ordinary Shares represented by ADSs together,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ADSs are listed on the NASDAQ Global Market under the ticker symbol “VRNA”. Information given in response to each item shall be deemed incorporated by reference in all other items, as applicable.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No. 3 is being filed to report that the beneficial ownership of the outstanding Shares held by the Reporting Persons (as defined below) was reduced by more than 1% since the last filing following the transactions described in Item 5(c)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right="20" w:firstLine="656"/>
        <w:spacing w:after="0" w:line="282" w:lineRule="auto"/>
        <w:tabs>
          <w:tab w:leader="none" w:pos="9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by OrbiMed Advisors LLC (“</w:t>
      </w:r>
      <w:r>
        <w:rPr>
          <w:rFonts w:ascii="Times New Roman" w:cs="Times New Roman" w:eastAsia="Times New Roman" w:hAnsi="Times New Roman"/>
          <w:sz w:val="18"/>
          <w:szCs w:val="18"/>
          <w:u w:val="single" w:color="auto"/>
          <w:color w:val="auto"/>
        </w:rPr>
        <w:t>OrbiMed Advisors</w:t>
      </w:r>
      <w:r>
        <w:rPr>
          <w:rFonts w:ascii="Times New Roman" w:cs="Times New Roman" w:eastAsia="Times New Roman" w:hAnsi="Times New Roman"/>
          <w:sz w:val="18"/>
          <w:szCs w:val="18"/>
          <w:color w:val="auto"/>
        </w:rPr>
        <w:t>”), OrbiMed Capital GP VI LLC (“</w:t>
      </w:r>
      <w:r>
        <w:rPr>
          <w:rFonts w:ascii="Times New Roman" w:cs="Times New Roman" w:eastAsia="Times New Roman" w:hAnsi="Times New Roman"/>
          <w:sz w:val="18"/>
          <w:szCs w:val="18"/>
          <w:u w:val="single" w:color="auto"/>
          <w:color w:val="auto"/>
        </w:rPr>
        <w:t>GP VI</w:t>
      </w:r>
      <w:r>
        <w:rPr>
          <w:rFonts w:ascii="Times New Roman" w:cs="Times New Roman" w:eastAsia="Times New Roman" w:hAnsi="Times New Roman"/>
          <w:sz w:val="18"/>
          <w:szCs w:val="18"/>
          <w:color w:val="auto"/>
        </w:rPr>
        <w:t>”) and OrbiMed Capital LLC (“</w:t>
      </w:r>
      <w:r>
        <w:rPr>
          <w:rFonts w:ascii="Times New Roman" w:cs="Times New Roman" w:eastAsia="Times New Roman" w:hAnsi="Times New Roman"/>
          <w:sz w:val="18"/>
          <w:szCs w:val="18"/>
          <w:u w:val="single" w:color="auto"/>
          <w:color w:val="auto"/>
        </w:rPr>
        <w:t>OrbiMed Capital</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705"/>
        <w:spacing w:after="0" w:line="266" w:lineRule="auto"/>
        <w:tabs>
          <w:tab w:leader="none" w:pos="9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(f) OrbiMed Advisors, a limited liability company organized under the laws of Delaware and a registered investment adviser under the Investment Advisers Act of 1940, as amended, is the managing member or general partner of certain entities as more particularly described in Item 6 below. OrbiMed Advisors has its principal offices at 601 Lexington Avenue, 54th Floor, New York, New York 10022.</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GP VI, a limited liability company organized under the laws of Delaware, is the general partner of a limited partnership as more particularly described in Item 6 below. GP VI has its principal offices at 601 Lexington Avenue, 54th Floor, New York, New York 10022.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OrbiMed Capital, a limited liability company organized under the laws of Delaware and a registered investment adviser under the Investment Advisers Act of 1940, as amended, is the investment adviser of certain entities as more particularly described in Item 6 below. OrbiMed Capital has its principal offices at 601 Lexington Avenue, 54th Floor, New York, New York 10022.</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of OrbiMed Advisors, GP VI and OrbiMed Capital are set forth on Schedules I, II and III, respectively, attached hereto. Schedules I, II and III set forth the following information with respect to each such person:</w:t>
      </w:r>
    </w:p>
    <w:p>
      <w:pPr>
        <w:spacing w:after="0" w:line="162" w:lineRule="exact"/>
        <w:rPr>
          <w:sz w:val="20"/>
          <w:szCs w:val="20"/>
          <w:color w:val="auto"/>
        </w:rPr>
      </w:pPr>
    </w:p>
    <w:p>
      <w:pPr>
        <w:ind w:left="1280" w:hanging="624"/>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address;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principal occupation of employment and the name, principal business and address of any corporation or other organization in which such employment is conducted;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sz w:val="20"/>
          <w:szCs w:val="20"/>
          <w:color w:val="auto"/>
        </w:rPr>
      </w:pPr>
    </w:p>
    <w:p>
      <w:pPr>
        <w:jc w:val="both"/>
        <w:ind w:firstLine="656"/>
        <w:spacing w:after="0" w:line="261" w:lineRule="auto"/>
        <w:tabs>
          <w:tab w:leader="none" w:pos="9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 During the last five years, neither the Reporting Persons nor any Person named in Schedules I through IV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Shares acquired by the Reporting Persons were acquired for the purpose of making an investment in the Issuer and not with the intention of acquiring control of the Issuer’s business on behalf of the Reporting Persons’ respective advisory clients.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ADSs currently owned by the Reporting Persons or otherwise acquired by the Reporting Persons either in the open market or in privately negotiated transactions.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this Statement,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both"/>
        <w:ind w:firstLine="709"/>
        <w:spacing w:after="0" w:line="26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The following disclosure is based upon 604,980,598 outstanding Ordinary Shares of the Issuer (which if all held in ADS form, would be represented by 75,622,575 ADSs) as set forth in the Issuer’s Quarterly Report on Form 10-Q for the quarter ending September 30, 2022, filed with the SEC on November 9, 2022.</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filing, OrbiMed Private Investments VI, LP (“</w:t>
      </w:r>
      <w:r>
        <w:rPr>
          <w:rFonts w:ascii="Times New Roman" w:cs="Times New Roman" w:eastAsia="Times New Roman" w:hAnsi="Times New Roman"/>
          <w:sz w:val="18"/>
          <w:szCs w:val="18"/>
          <w:u w:val="single" w:color="auto"/>
          <w:color w:val="auto"/>
        </w:rPr>
        <w:t>OPI VI</w:t>
      </w:r>
      <w:r>
        <w:rPr>
          <w:rFonts w:ascii="Times New Roman" w:cs="Times New Roman" w:eastAsia="Times New Roman" w:hAnsi="Times New Roman"/>
          <w:sz w:val="18"/>
          <w:szCs w:val="18"/>
          <w:color w:val="auto"/>
        </w:rPr>
        <w:t>”), a limited partnership organized under the laws of Delaware, holds 4,260,691 ADSs constituting approximately 5.6% of the issued and outstanding Shares. GP VI is the general partner of OPI VI, pursuant to the terms of the limited partnership agreement of OPI VI, and OrbiMed Advisors is the managing member of GP VI, pursuant to the terms of the limited liability company agreement of GP VI. As a result, OrbiMed Advisors and GP VI share power to direct the vote and disposition of the ADSs held by OPI VI and may be deemed directly or indirectly, including by reason of their mutual affiliation, to be the beneficial owners of the ADSs held by OPI VI. Each of OrbiMed Advisors and GP VI disclaims any beneficial ownership over the ADSs of the other Reporting Persons. OrbiMed Advisors exercises this investment and voting power through a management committee comprised of Carl L. Gordon, Sven H. Borho, and W. Carter Neild, each of whom disclaims beneficial ownership of the ADSs held by OPI VI.</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 Biotech Growth Trust PLC (“</w:t>
      </w:r>
      <w:r>
        <w:rPr>
          <w:rFonts w:ascii="Times New Roman" w:cs="Times New Roman" w:eastAsia="Times New Roman" w:hAnsi="Times New Roman"/>
          <w:sz w:val="18"/>
          <w:szCs w:val="18"/>
          <w:u w:val="single" w:color="auto"/>
          <w:color w:val="auto"/>
        </w:rPr>
        <w:t>BIOG</w:t>
      </w:r>
      <w:r>
        <w:rPr>
          <w:rFonts w:ascii="Times New Roman" w:cs="Times New Roman" w:eastAsia="Times New Roman" w:hAnsi="Times New Roman"/>
          <w:sz w:val="18"/>
          <w:szCs w:val="18"/>
          <w:color w:val="auto"/>
        </w:rPr>
        <w:t>”), a publicly listed investment trust organized under the laws of England, holds 311,598 ADSs constituting approximately 0.4% of the issued and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OrbiMed Capital is the investment advisor of BIOG. As a result, OrbiMed Capital has the power to direct the vote and disposition of the ADSs held by BIOG and may be deemed directly or indirectly, including by reason of mutual affiliation, to be the beneficial owner of the ADSs held by BIOG. OrbiMed Capital disclaims any beneficial ownership over the ADSs of the other Reporting Persons. OrbiMed Capital exercises this investment and voting power through a management committee comprised of Carl L. Gordon, Sven H. Borho, and W. Carter Neild, each of whom disclaims beneficial ownership of the ADSs held by BIOG.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Seller</w:t>
            </w:r>
          </w:p>
        </w:tc>
        <w:tc>
          <w:tcPr>
            <w:tcW w:w="3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Transaction</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r>
      <w:tr>
        <w:trPr>
          <w:trHeight w:val="209"/>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BIOG</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22, 2022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Sold</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229,556</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$21.77</w:t>
            </w:r>
          </w:p>
        </w:tc>
      </w:tr>
      <w:tr>
        <w:trPr>
          <w:trHeight w:val="210"/>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OPI VI</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22, 2022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Sold</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496,187</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$21.77</w:t>
            </w:r>
          </w:p>
        </w:tc>
      </w:tr>
      <w:tr>
        <w:trPr>
          <w:trHeight w:val="209"/>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BIOG</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23, 2022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Sold</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125,513</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$22.84</w:t>
            </w:r>
          </w:p>
        </w:tc>
      </w:tr>
      <w:tr>
        <w:trPr>
          <w:trHeight w:val="210"/>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OPI VI</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23, 2022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Sold</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271,296</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$22.84</w:t>
            </w:r>
          </w:p>
        </w:tc>
      </w:tr>
    </w:tbl>
    <w:p>
      <w:pPr>
        <w:spacing w:after="0" w:line="198" w:lineRule="exact"/>
        <w:rPr>
          <w:sz w:val="20"/>
          <w:szCs w:val="20"/>
          <w:color w:val="auto"/>
        </w:rPr>
      </w:pPr>
    </w:p>
    <w:p>
      <w:pPr>
        <w:ind w:left="920" w:hanging="255"/>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relationships between the Reporting Persons described in Items 2 and 5 above, GP VI is the general partner of OPI VI, pursuant to the terms of the limited partnership agreement of OPI VI. Pursuant to this agreement and relationship, GP VI has discretionary investment management authority with respect to the assets of OPI VI. Such authority includes the power to vote and otherwise dispose of securities held by OPI VI. The number of outstanding ADSs of the Issuer attributable to OPI VI is 4,260,691 ADSs. GP VI, pursuant to its authority under the limited partnership agreement of OPI VI, may be considered to hold indirectly 4,260,691 ADSs.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OrbiMed Advisors is the managing member of GP VI, pursuant to the terms of the limited liability company agreement of GP VI. Pursuant to these agreements and relationships, OrbiMed Advisors and GP VI have discretionary investment management authority with respect to the assets of OPI VI. Such authority includes the power of GP VI to vote and otherwise dispose of securities held by OPI VI. The number of outstanding ADSs attributable to OPI VI is 4,260,691 ADSs. OrbiMed Advisors, pursuant to its authority under the terms of the limited liability company agreement of GP VI, may also be considered to hold indirectly 4,260,691 ADSs.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OrbiMed Capital is the investment advisor to BIOG. OrbiMed Capital may be deemed to have voting and investment power over the securities held by BIOG. Such authority includes the power of OrbiMed Capital to vote and otherwise dispose of securities held by BIOG. The number of outstanding ADSs attributable to BIOG is 311,598 ADSs. OrbiMed Capital, as the investment advisor to BIOG, may also be considered to hold indirectly 311,598 ADSs.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Rishi Gupta (“</w:t>
      </w:r>
      <w:r>
        <w:rPr>
          <w:rFonts w:ascii="Times New Roman" w:cs="Times New Roman" w:eastAsia="Times New Roman" w:hAnsi="Times New Roman"/>
          <w:sz w:val="18"/>
          <w:szCs w:val="18"/>
          <w:u w:val="single" w:color="auto"/>
          <w:color w:val="auto"/>
        </w:rPr>
        <w:t>Gupta</w:t>
      </w:r>
      <w:r>
        <w:rPr>
          <w:rFonts w:ascii="Times New Roman" w:cs="Times New Roman" w:eastAsia="Times New Roman" w:hAnsi="Times New Roman"/>
          <w:sz w:val="18"/>
          <w:szCs w:val="18"/>
          <w:color w:val="auto"/>
        </w:rPr>
        <w:t>”), an employee of OrbiMed Advisors, is a member of the Board of Directors of the Issuer and, accordingly, OrbiMed Advisors and GP VI may have the ability to affect and influence control of the Issuer. From time to time, Gupta may receive stock options or other awards of equity-based compensation pursuant to the Issuer’s compensation arrangements for non-employee directors. Pursuant to an agreement with OrbiMed Advisors and GP VI, Gupta is obligated to transfer any securities issued under any such stock options or other awards, or the economic benefit thereof, to OrbiMed Advisors and GP VI, which will in turn ensure that such securities or economic benefits are provided to OPI VI.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13" w:lineRule="exact"/>
        <w:rPr>
          <w:sz w:val="20"/>
          <w:szCs w:val="20"/>
          <w:color w:val="auto"/>
        </w:rPr>
      </w:pPr>
    </w:p>
    <w:p>
      <w:pPr>
        <w:ind w:left="12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2" w:lineRule="exact"/>
        <w:rPr>
          <w:sz w:val="20"/>
          <w:szCs w:val="20"/>
          <w:color w:val="auto"/>
        </w:rPr>
      </w:pPr>
    </w:p>
    <w:p>
      <w:pPr>
        <w:ind w:left="1460" w:hanging="1344"/>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among OrbiMed Advisors LLC, OrbiMed Capital GP VI LLC, and OrbiMed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27, 2022</w:t>
            </w:r>
          </w:p>
        </w:tc>
        <w:tc>
          <w:tcPr>
            <w:tcW w:w="73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749"/>
        </w:trPr>
        <w:tc>
          <w:tcPr>
            <w:tcW w:w="390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r>
      <w:tr>
        <w:trPr>
          <w:trHeight w:val="211"/>
        </w:trPr>
        <w:tc>
          <w:tcPr>
            <w:tcW w:w="3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486"/>
        </w:trPr>
        <w:tc>
          <w:tcPr>
            <w:tcW w:w="3900" w:type="dxa"/>
            <w:vAlign w:val="bottom"/>
          </w:tcPr>
          <w:p>
            <w:pPr>
              <w:spacing w:after="0"/>
              <w:rPr>
                <w:sz w:val="24"/>
                <w:szCs w:val="24"/>
                <w:color w:val="auto"/>
              </w:rPr>
            </w:pPr>
          </w:p>
        </w:tc>
        <w:tc>
          <w:tcPr>
            <w:tcW w:w="73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ORBIMED CAPITAL GP VI LLC</w:t>
            </w:r>
          </w:p>
        </w:tc>
      </w:tr>
      <w:tr>
        <w:trPr>
          <w:trHeight w:val="486"/>
        </w:trPr>
        <w:tc>
          <w:tcPr>
            <w:tcW w:w="390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506"/>
        </w:trPr>
        <w:tc>
          <w:tcPr>
            <w:tcW w:w="390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r>
      <w:tr>
        <w:trPr>
          <w:trHeight w:val="211"/>
        </w:trPr>
        <w:tc>
          <w:tcPr>
            <w:tcW w:w="3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486"/>
        </w:trPr>
        <w:tc>
          <w:tcPr>
            <w:tcW w:w="3900" w:type="dxa"/>
            <w:vAlign w:val="bottom"/>
          </w:tcPr>
          <w:p>
            <w:pPr>
              <w:spacing w:after="0"/>
              <w:rPr>
                <w:sz w:val="24"/>
                <w:szCs w:val="24"/>
                <w:color w:val="auto"/>
              </w:rPr>
            </w:pPr>
          </w:p>
        </w:tc>
        <w:tc>
          <w:tcPr>
            <w:tcW w:w="73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749"/>
        </w:trPr>
        <w:tc>
          <w:tcPr>
            <w:tcW w:w="390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r>
      <w:tr>
        <w:trPr>
          <w:trHeight w:val="211"/>
        </w:trPr>
        <w:tc>
          <w:tcPr>
            <w:tcW w:w="3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1019"/>
        </w:trPr>
        <w:tc>
          <w:tcPr>
            <w:tcW w:w="39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0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0" w:lineRule="exact"/>
        <w:rPr>
          <w:sz w:val="20"/>
          <w:szCs w:val="20"/>
          <w:color w:val="auto"/>
        </w:rPr>
      </w:pPr>
    </w:p>
    <w:p>
      <w:pPr>
        <w:spacing w:after="0" w:line="245" w:lineRule="exact"/>
        <w:rPr>
          <w:sz w:val="20"/>
          <w:szCs w:val="20"/>
          <w:color w:val="auto"/>
        </w:rPr>
      </w:pPr>
    </w:p>
    <w:p>
      <w:pPr>
        <w:jc w:val="both"/>
        <w:ind w:left="80" w:right="340" w:firstLine="583"/>
        <w:spacing w:after="0" w:line="281" w:lineRule="auto"/>
        <w:rPr>
          <w:sz w:val="20"/>
          <w:szCs w:val="20"/>
          <w:color w:val="auto"/>
        </w:rPr>
      </w:pPr>
      <w:r>
        <w:rPr>
          <w:rFonts w:ascii="Times New Roman" w:cs="Times New Roman" w:eastAsia="Times New Roman" w:hAnsi="Times New Roman"/>
          <w:sz w:val="18"/>
          <w:szCs w:val="18"/>
          <w:color w:val="auto"/>
        </w:rPr>
        <w:t>The names and present principal occupations of each of the executive officers and directors of OrbiMed Advisors LLC are set forth below. Unless otherwise noted, each of these persons is a United States citizen and has a business address of 601 Lexington Avenue, 54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New York, NY 10022.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Reporting Person</w:t>
            </w:r>
          </w:p>
        </w:tc>
        <w:tc>
          <w:tcPr>
            <w:tcW w:w="136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Occupation</w:t>
            </w: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Carl L. Gordon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Sven H. Borho</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 and Swedish Citizen</w:t>
            </w: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 Carter Neild</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Geoffrey C. Hsu</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Scotland Stevens</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ObiMed Advisors LLC</w:t>
            </w:r>
          </w:p>
        </w:tc>
      </w:tr>
      <w:tr>
        <w:trPr>
          <w:trHeight w:val="41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P. Bonita</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Peter A. Thompson</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Matthew S. Rizzo</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Trey Block</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Chief Financial Officer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1208"/>
        </w:trPr>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08"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business and operations of OrbiMed Capital GP VI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1562735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00" w:lineRule="exact"/>
        <w:rPr>
          <w:sz w:val="20"/>
          <w:szCs w:val="20"/>
          <w:color w:val="auto"/>
        </w:rPr>
      </w:pPr>
    </w:p>
    <w:p>
      <w:pPr>
        <w:spacing w:after="0" w:line="245" w:lineRule="exact"/>
        <w:rPr>
          <w:sz w:val="20"/>
          <w:szCs w:val="20"/>
          <w:color w:val="auto"/>
        </w:rPr>
      </w:pPr>
    </w:p>
    <w:p>
      <w:pPr>
        <w:jc w:val="both"/>
        <w:ind w:left="80" w:right="340" w:firstLine="583"/>
        <w:spacing w:after="0" w:line="281" w:lineRule="auto"/>
        <w:rPr>
          <w:sz w:val="20"/>
          <w:szCs w:val="20"/>
          <w:color w:val="auto"/>
        </w:rPr>
      </w:pPr>
      <w:r>
        <w:rPr>
          <w:rFonts w:ascii="Times New Roman" w:cs="Times New Roman" w:eastAsia="Times New Roman" w:hAnsi="Times New Roman"/>
          <w:sz w:val="18"/>
          <w:szCs w:val="18"/>
          <w:color w:val="auto"/>
        </w:rPr>
        <w:t>The names and present principal occupations of each of the executive officers and directors of OrbiMed Capital LLC are set forth below. Unless otherwise noted, each of these persons is a United States citizen and has a business address of 601 Lexington Avenue, 54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New York, NY 10022.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Reporting Person</w:t>
            </w:r>
          </w:p>
        </w:tc>
        <w:tc>
          <w:tcPr>
            <w:tcW w:w="136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Occupation</w:t>
            </w: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Carl L. Gordon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Sven H. Borho</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 and Swedish Citizen</w:t>
            </w: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 Carter Neild</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Geoffrey C. Hsu</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Scotland Stevens</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P. Bonita</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Peter A. Thompson</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Matthew S. Rizzo</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Trey Block</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Chief Financial Officer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2680"/>
        </w:trPr>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08"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ind w:firstLine="706"/>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the Amendment No. 3 to Schedule 13D, dated December 22, 2022, with respect to the ordinary shares of Verona Pharma plc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27th day of December 2022.</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200" w:lineRule="exact"/>
        <w:rPr>
          <w:sz w:val="20"/>
          <w:szCs w:val="20"/>
          <w:color w:val="auto"/>
        </w:rPr>
      </w:pPr>
    </w:p>
    <w:p>
      <w:pPr>
        <w:spacing w:after="0" w:line="322" w:lineRule="exact"/>
        <w:rPr>
          <w:sz w:val="20"/>
          <w:szCs w:val="20"/>
          <w:color w:val="auto"/>
        </w:rPr>
      </w:pPr>
    </w:p>
    <w:tbl>
      <w:tblPr>
        <w:tblLayout w:type="fixed"/>
        <w:tblInd w:w="5860" w:type="dxa"/>
        <w:tblCellMar>
          <w:top w:w="0" w:type="dxa"/>
          <w:left w:w="0" w:type="dxa"/>
          <w:bottom w:w="0" w:type="dxa"/>
          <w:right w:w="0" w:type="dxa"/>
        </w:tblCellMar>
      </w:tblPr>
      <w:tr>
        <w:trPr>
          <w:trHeight w:val="255"/>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2"/>
                <w:szCs w:val="22"/>
                <w:color w:val="auto"/>
              </w:rPr>
            </w:pPr>
          </w:p>
        </w:tc>
        <w:tc>
          <w:tcPr>
            <w:tcW w:w="3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Carl L. Gordon</w:t>
            </w:r>
          </w:p>
        </w:tc>
      </w:tr>
      <w:tr>
        <w:trPr>
          <w:trHeight w:val="211"/>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Carl L. Gordon</w:t>
            </w:r>
          </w:p>
        </w:tc>
        <w:tc>
          <w:tcPr>
            <w:tcW w:w="10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3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Title: Member</w:t>
            </w:r>
          </w:p>
        </w:tc>
      </w:tr>
      <w:tr>
        <w:trPr>
          <w:trHeight w:val="486"/>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50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3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Carl L. Gordon</w:t>
            </w:r>
          </w:p>
        </w:tc>
      </w:tr>
      <w:tr>
        <w:trPr>
          <w:trHeight w:val="211"/>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Carl L. Gordon</w:t>
            </w:r>
          </w:p>
        </w:tc>
        <w:tc>
          <w:tcPr>
            <w:tcW w:w="10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3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Title: Member</w:t>
            </w:r>
          </w:p>
        </w:tc>
      </w:tr>
      <w:tr>
        <w:trPr>
          <w:trHeight w:val="486"/>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ORBIMED CAPITAL GP VI LLC</w:t>
            </w:r>
          </w:p>
        </w:tc>
      </w:tr>
      <w:tr>
        <w:trPr>
          <w:trHeight w:val="48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ORBIMED ADVISORS LLC, its managing member</w:t>
            </w:r>
          </w:p>
        </w:tc>
      </w:tr>
      <w:tr>
        <w:trPr>
          <w:trHeight w:val="50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3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Carl L. Gordon</w:t>
            </w:r>
          </w:p>
        </w:tc>
      </w:tr>
      <w:tr>
        <w:trPr>
          <w:trHeight w:val="211"/>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Carl L. Gordon</w:t>
            </w:r>
          </w:p>
        </w:tc>
        <w:tc>
          <w:tcPr>
            <w:tcW w:w="10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3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Title: Member of OrbiMed Advisors LLC</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lvl w:ilvl="1">
      <w:lvlJc w:val="left"/>
      <w:lvlText w:val="(%2)"/>
      <w:numFmt w:val="lowerLetter"/>
      <w:start w:val="2"/>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4"/>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2022-12-27T16:57:57Z</dcterms:created>
  <dcterms:modified xsi:type="dcterms:W3CDTF">2022-12-27T16:57:57Z</dcterms:modified>
</cp:coreProperties>
</file>