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ZACCARDELLI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09/26/2022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6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80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800" w:type="dxa"/>
            <w:vAlign w:val="bottom"/>
            <w:gridSpan w:val="7"/>
            <w:vMerge w:val="continue"/>
          </w:tcPr>
          <w:p>
            <w:pPr>
              <w:spacing w:after="0"/>
              <w:rPr>
                <w:sz w:val="10"/>
                <w:szCs w:val="10"/>
                <w:color w:val="auto"/>
              </w:rPr>
            </w:pPr>
          </w:p>
        </w:tc>
        <w:tc>
          <w:tcPr>
            <w:tcW w:w="35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22"/>
                <w:szCs w:val="22"/>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SE1 2RE</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restart"/>
          </w:tcPr>
          <w:p>
            <w:pPr>
              <w:spacing w:after="0"/>
              <w:rPr>
                <w:sz w:val="12"/>
                <w:szCs w:val="12"/>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296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09/26/2022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1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3,600,000</w:t>
            </w:r>
            <w:r>
              <w:rPr>
                <w:rFonts w:ascii="Times New Roman" w:cs="Times New Roman" w:eastAsia="Times New Roman" w:hAnsi="Times New Roman"/>
                <w:sz w:val="22"/>
                <w:szCs w:val="22"/>
                <w:color w:val="008000"/>
                <w:vertAlign w:val="superscript"/>
              </w:rPr>
              <w:t>(2)</w:t>
            </w: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18,863,560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Share Units ("RSUs"), each of which represents a contingent right to receive one (1) Ordinary Share of the Issuer. The RSUs vest over four years, with 900,000 RSUs vesting on November 1, 2023 and the balance vesting in 12 equal quarterly installments thereafter.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10,702,720 Ordinary Shares underlying RSUs (which are represented by 1,337,840 ADSs); and (ii) 8,160,840 Ordinary Shares underlying 1,020,105 ADSs.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Claire Poll,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09/28/2022</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David Zaccardelli</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7642"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2022-09-28T15:15:20Z</dcterms:created>
  <dcterms:modified xsi:type="dcterms:W3CDTF">2022-09-28T15:15:20Z</dcterms:modified>
</cp:coreProperties>
</file>