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November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London SE1 2RE UK</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November 7, 2017, Verona Pharma plc issued its interim results for the nine months ended September 30, 2017 (the “</w:t>
      </w:r>
      <w:r>
        <w:rPr>
          <w:rFonts w:ascii="Times New Roman" w:cs="Times New Roman" w:eastAsia="Times New Roman" w:hAnsi="Times New Roman"/>
          <w:sz w:val="18"/>
          <w:szCs w:val="18"/>
          <w:u w:val="single" w:color="auto"/>
          <w:color w:val="auto"/>
        </w:rPr>
        <w:t>Interim Results</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Interim Results are furnished herewith as Exhibit 99.1 to this Report on Form 6-K.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Verona Pharma plc Interim Results for the Nine Months Ended September 30, 2017</w:t>
            </w:r>
          </w:p>
        </w:tc>
        <w:tc>
          <w:tcPr>
            <w:tcW w:w="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2017</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Jan-Anders Karlsson</w:t>
            </w:r>
          </w:p>
        </w:tc>
      </w:tr>
      <w:tr>
        <w:trPr>
          <w:trHeight w:val="228"/>
        </w:trPr>
        <w:tc>
          <w:tcPr>
            <w:tcW w:w="3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Name:  Jan-Anders Karlsson, Ph.D.</w:t>
            </w:r>
          </w:p>
        </w:tc>
      </w:tr>
    </w:tbl>
    <w:p>
      <w:pPr>
        <w:sectPr>
          <w:pgSz w:w="11900" w:h="16902" w:orient="portrait"/>
          <w:cols w:equalWidth="0" w:num="1">
            <w:col w:w="11460"/>
          </w:cols>
          <w:pgMar w:left="240" w:top="538" w:right="199" w:bottom="0" w:gutter="0" w:footer="0" w:header="0"/>
        </w:sectPr>
      </w:pPr>
    </w:p>
    <w:bookmarkStart w:id="1" w:name="page2"/>
    <w:bookmarkEnd w:id="1"/>
    <w:p>
      <w:pPr>
        <w:jc w:val="both"/>
        <w:ind w:left="530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157480</wp:posOffset>
            </wp:positionV>
            <wp:extent cx="1895475"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 Operational Update and Financial Results for the Third Quarter Ended September 30, 2017</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Emerging clinical data confirms the potential for RPL554 to be an important, novel treatment for patients with COPD</w:t>
      </w:r>
    </w:p>
    <w:p>
      <w:pPr>
        <w:spacing w:after="0" w:line="223"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Nov. 07, 2017 </w:t>
      </w:r>
      <w:r>
        <w:rPr>
          <w:rFonts w:ascii="Times New Roman" w:cs="Times New Roman" w:eastAsia="Times New Roman" w:hAnsi="Times New Roman"/>
          <w:sz w:val="18"/>
          <w:szCs w:val="18"/>
          <w:color w:val="auto"/>
        </w:rPr>
        <w:t>— Verona Pharma plc (AIM: VRP) (Nasdaq: VRNA) (“Verona Pharma” or the “Company”),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developing and commercializing innovative therapies for respiratory diseases, announces today an operational update and financial results for the third quarter ended September 30, 2017.</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Company’s product candidate RPL554, is a first-in-class, inhaled, dual inhibitor of the enzymes phosphodiesterase 3 and 4, or PDE3 and PDE4, that acts as both a bronchodilator and an anti-inflammatory agent in a single compound. Verona Pharma is developing RPL554 for the treatment of chronic obstructive pulmonary disease (“COPD”) and cystic fibrosis (“CF”), and potentially asthma.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2017 the Company:</w:t>
      </w:r>
    </w:p>
    <w:p>
      <w:pPr>
        <w:spacing w:after="0" w:line="225" w:lineRule="exact"/>
        <w:rPr>
          <w:sz w:val="20"/>
          <w:szCs w:val="20"/>
          <w:color w:val="auto"/>
        </w:rPr>
      </w:pPr>
    </w:p>
    <w:p>
      <w:pPr>
        <w:ind w:left="640" w:hanging="28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data from two clinical studies:</w:t>
      </w:r>
    </w:p>
    <w:p>
      <w:pPr>
        <w:spacing w:after="0" w:line="225" w:lineRule="exact"/>
        <w:rPr>
          <w:rFonts w:ascii="Times New Roman" w:cs="Times New Roman" w:eastAsia="Times New Roman" w:hAnsi="Times New Roman"/>
          <w:sz w:val="18"/>
          <w:szCs w:val="18"/>
          <w:color w:val="auto"/>
        </w:rPr>
      </w:pPr>
    </w:p>
    <w:p>
      <w:pPr>
        <w:ind w:left="1300" w:hanging="298"/>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top-line data from a Phase 2a clinical trial in COPD with RPL554 when dosed in addition to tiotropium (Spiriva®):</w:t>
      </w:r>
    </w:p>
    <w:p>
      <w:pPr>
        <w:spacing w:after="0" w:line="225" w:lineRule="exact"/>
        <w:rPr>
          <w:rFonts w:ascii="Times New Roman" w:cs="Times New Roman" w:eastAsia="Times New Roman" w:hAnsi="Times New Roman"/>
          <w:sz w:val="18"/>
          <w:szCs w:val="18"/>
          <w:color w:val="auto"/>
        </w:rPr>
      </w:pPr>
    </w:p>
    <w:p>
      <w:pPr>
        <w:ind w:left="1980" w:right="140" w:hanging="330"/>
        <w:spacing w:after="0" w:line="282" w:lineRule="auto"/>
        <w:tabs>
          <w:tab w:leader="none" w:pos="1944"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significant and clinically meaningful additional improvement in peak lung function when added to tiotropium, a widely used drug to treat COPD;</w:t>
      </w:r>
    </w:p>
    <w:p>
      <w:pPr>
        <w:spacing w:after="0" w:line="161" w:lineRule="exact"/>
        <w:rPr>
          <w:rFonts w:ascii="Times New Roman" w:cs="Times New Roman" w:eastAsia="Times New Roman" w:hAnsi="Times New Roman"/>
          <w:sz w:val="18"/>
          <w:szCs w:val="18"/>
          <w:color w:val="auto"/>
        </w:rPr>
      </w:pPr>
    </w:p>
    <w:p>
      <w:pPr>
        <w:ind w:left="1940" w:hanging="290"/>
        <w:spacing w:after="0"/>
        <w:tabs>
          <w:tab w:leader="none" w:pos="194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faster onset-of-action when added to tiotropium; and</w:t>
      </w:r>
    </w:p>
    <w:p>
      <w:pPr>
        <w:spacing w:after="0" w:line="225" w:lineRule="exact"/>
        <w:rPr>
          <w:rFonts w:ascii="Times New Roman" w:cs="Times New Roman" w:eastAsia="Times New Roman" w:hAnsi="Times New Roman"/>
          <w:sz w:val="18"/>
          <w:szCs w:val="18"/>
          <w:color w:val="auto"/>
        </w:rPr>
      </w:pPr>
    </w:p>
    <w:p>
      <w:pPr>
        <w:ind w:left="1980" w:right="60" w:hanging="330"/>
        <w:spacing w:after="0" w:line="282" w:lineRule="auto"/>
        <w:tabs>
          <w:tab w:leader="none" w:pos="1944"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statistical significance across all primary and secondary efficacy outcome measures, as well as a clear dose response at 6 mg dose compared to 1.5 mg dose;</w:t>
      </w:r>
    </w:p>
    <w:p>
      <w:pPr>
        <w:spacing w:after="0" w:line="161" w:lineRule="exact"/>
        <w:rPr>
          <w:rFonts w:ascii="Times New Roman" w:cs="Times New Roman" w:eastAsia="Times New Roman" w:hAnsi="Times New Roman"/>
          <w:sz w:val="18"/>
          <w:szCs w:val="18"/>
          <w:color w:val="auto"/>
        </w:rPr>
      </w:pPr>
    </w:p>
    <w:p>
      <w:pPr>
        <w:ind w:left="1320" w:right="220" w:hanging="318"/>
        <w:spacing w:after="0" w:line="282" w:lineRule="auto"/>
        <w:tabs>
          <w:tab w:leader="none" w:pos="128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than expected positive top-line data from U.S. pharmacokinetic (“PK”) trial demonstrated that nebulized RPL554 delivers optimal clinical dose to patients:</w:t>
      </w:r>
    </w:p>
    <w:p>
      <w:pPr>
        <w:spacing w:after="0" w:line="161" w:lineRule="exact"/>
        <w:rPr>
          <w:rFonts w:ascii="Times New Roman" w:cs="Times New Roman" w:eastAsia="Times New Roman" w:hAnsi="Times New Roman"/>
          <w:sz w:val="18"/>
          <w:szCs w:val="18"/>
          <w:color w:val="auto"/>
        </w:rPr>
      </w:pPr>
    </w:p>
    <w:p>
      <w:pPr>
        <w:ind w:left="1960" w:right="700" w:hanging="331"/>
        <w:spacing w:after="0" w:line="282" w:lineRule="auto"/>
        <w:tabs>
          <w:tab w:leader="none" w:pos="19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inhaled RPL554 is an appropriate form of administration for patients with chronic COPD and other respiratory disorders; and</w:t>
      </w:r>
    </w:p>
    <w:p>
      <w:pPr>
        <w:spacing w:after="0" w:line="161" w:lineRule="exact"/>
        <w:rPr>
          <w:rFonts w:ascii="Times New Roman" w:cs="Times New Roman" w:eastAsia="Times New Roman" w:hAnsi="Times New Roman"/>
          <w:sz w:val="18"/>
          <w:szCs w:val="18"/>
          <w:color w:val="auto"/>
        </w:rPr>
      </w:pPr>
    </w:p>
    <w:p>
      <w:pPr>
        <w:ind w:left="1960" w:right="200" w:hanging="331"/>
        <w:spacing w:after="0" w:line="282" w:lineRule="auto"/>
        <w:tabs>
          <w:tab w:leader="none" w:pos="19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absorption occurs primarily in the lungs following inhaled administration, consistent with optimal inhaled delivery of medications for the treatment of COPD and asthma;</w:t>
      </w:r>
    </w:p>
    <w:p>
      <w:pPr>
        <w:spacing w:after="0" w:line="161" w:lineRule="exact"/>
        <w:rPr>
          <w:rFonts w:ascii="Times New Roman" w:cs="Times New Roman" w:eastAsia="Times New Roman" w:hAnsi="Times New Roman"/>
          <w:sz w:val="18"/>
          <w:szCs w:val="18"/>
          <w:color w:val="auto"/>
        </w:rPr>
      </w:pPr>
    </w:p>
    <w:p>
      <w:pPr>
        <w:ind w:left="680" w:right="420" w:hanging="326"/>
        <w:spacing w:after="0" w:line="282" w:lineRule="auto"/>
        <w:tabs>
          <w:tab w:leader="none" w:pos="6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a 4-week, Phase 2b dose-ranging clinical trial in Europe in approximately 400 patients to investigate the efficacy, safety, and dose-response of nebulized RPL554 for the maintenance treatment of COPD;</w:t>
      </w:r>
    </w:p>
    <w:p>
      <w:pPr>
        <w:spacing w:after="0" w:line="161" w:lineRule="exact"/>
        <w:rPr>
          <w:rFonts w:ascii="Times New Roman" w:cs="Times New Roman" w:eastAsia="Times New Roman" w:hAnsi="Times New Roman"/>
          <w:sz w:val="18"/>
          <w:szCs w:val="18"/>
          <w:color w:val="auto"/>
        </w:rPr>
      </w:pPr>
    </w:p>
    <w:p>
      <w:pPr>
        <w:ind w:left="1320" w:right="320" w:hanging="318"/>
        <w:spacing w:after="0" w:line="282" w:lineRule="auto"/>
        <w:tabs>
          <w:tab w:leader="none" w:pos="128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has now enrolled ahead of schedule, more than 200 patients (equivalent to 50% of the study) enrolled, see separate announcement issued today; and</w:t>
      </w:r>
    </w:p>
    <w:p>
      <w:pPr>
        <w:spacing w:after="0" w:line="161" w:lineRule="exact"/>
        <w:rPr>
          <w:rFonts w:ascii="Times New Roman" w:cs="Times New Roman" w:eastAsia="Times New Roman" w:hAnsi="Times New Roman"/>
          <w:sz w:val="18"/>
          <w:szCs w:val="18"/>
          <w:color w:val="auto"/>
        </w:rPr>
      </w:pPr>
    </w:p>
    <w:p>
      <w:pPr>
        <w:ind w:left="1300" w:hanging="298"/>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now expected in mid-2018, and potentially sooner than previous guidance of second-half of 2018;</w:t>
      </w:r>
    </w:p>
    <w:p>
      <w:pPr>
        <w:spacing w:after="0" w:line="225" w:lineRule="exact"/>
        <w:rPr>
          <w:rFonts w:ascii="Times New Roman" w:cs="Times New Roman" w:eastAsia="Times New Roman" w:hAnsi="Times New Roman"/>
          <w:sz w:val="18"/>
          <w:szCs w:val="18"/>
          <w:color w:val="auto"/>
        </w:rPr>
      </w:pPr>
    </w:p>
    <w:p>
      <w:pPr>
        <w:ind w:left="680" w:right="80" w:hanging="326"/>
        <w:spacing w:after="0" w:line="282" w:lineRule="auto"/>
        <w:tabs>
          <w:tab w:leader="none" w:pos="6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the Phase 2a clinical study to evaluate the PK and pharmacodynamic (“PD”) profile and tolerability of RPL554 in up to 10 CF patients as well as examine the effect on lung function;</w:t>
      </w:r>
    </w:p>
    <w:p>
      <w:pPr>
        <w:spacing w:after="0" w:line="161" w:lineRule="exact"/>
        <w:rPr>
          <w:rFonts w:ascii="Times New Roman" w:cs="Times New Roman" w:eastAsia="Times New Roman" w:hAnsi="Times New Roman"/>
          <w:sz w:val="18"/>
          <w:szCs w:val="18"/>
          <w:color w:val="auto"/>
        </w:rPr>
      </w:pPr>
    </w:p>
    <w:p>
      <w:pPr>
        <w:ind w:left="1300" w:hanging="298"/>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expected in the first half of 2018;</w:t>
      </w:r>
    </w:p>
    <w:p>
      <w:pPr>
        <w:spacing w:after="0" w:line="225" w:lineRule="exact"/>
        <w:rPr>
          <w:rFonts w:ascii="Times New Roman" w:cs="Times New Roman" w:eastAsia="Times New Roman" w:hAnsi="Times New Roman"/>
          <w:sz w:val="18"/>
          <w:szCs w:val="18"/>
          <w:color w:val="auto"/>
        </w:rPr>
      </w:pPr>
    </w:p>
    <w:p>
      <w:pPr>
        <w:ind w:left="680" w:right="380" w:hanging="326"/>
        <w:spacing w:after="0" w:line="282" w:lineRule="auto"/>
        <w:tabs>
          <w:tab w:leader="none" w:pos="6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RPL554 as dry powder inhaler (“DPI”) and metered dose inhaler (“MDI”) formulations for maintenance treatment of COPD.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620" w:hanging="291"/>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cash equivalents and short term investments at September 30, 2017 amounted to £85.5 million (December 31, 2016: £39.8 million);</w:t>
      </w:r>
    </w:p>
    <w:p>
      <w:pPr>
        <w:spacing w:after="0" w:line="225" w:lineRule="exact"/>
        <w:rPr>
          <w:rFonts w:ascii="Times New Roman" w:cs="Times New Roman" w:eastAsia="Times New Roman" w:hAnsi="Times New Roman"/>
          <w:sz w:val="18"/>
          <w:szCs w:val="18"/>
          <w:color w:val="auto"/>
        </w:rPr>
      </w:pPr>
    </w:p>
    <w:p>
      <w:pPr>
        <w:ind w:left="620" w:hanging="291"/>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2017, reported operating loss of £19.1 million (first nine months of 2016: £4.1 million) and reported loss</w:t>
      </w:r>
    </w:p>
    <w:p>
      <w:pPr>
        <w:spacing w:after="0" w:line="27" w:lineRule="exact"/>
        <w:rPr>
          <w:rFonts w:ascii="Times New Roman" w:cs="Times New Roman" w:eastAsia="Times New Roman" w:hAnsi="Times New Roman"/>
          <w:sz w:val="18"/>
          <w:szCs w:val="18"/>
          <w:color w:val="auto"/>
        </w:rPr>
      </w:pPr>
    </w:p>
    <w:p>
      <w:pPr>
        <w:ind w:left="66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tax of £14.2 million (first nine months of 2016: loss after tax of £4.2 million), reflecting the preparation, initiation and completion of clinical trials and expansion of the team;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620" w:hanging="291"/>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loss per share of 17.4 pence for the nine months ended September 30, 2017 (first nine months of 2016: loss per share 15.4 pence);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17" w:gutter="0" w:footer="0" w:header="0"/>
        </w:sectPr>
      </w:pPr>
    </w:p>
    <w:bookmarkStart w:id="3" w:name="page4"/>
    <w:bookmarkEnd w:id="3"/>
    <w:p>
      <w:pPr>
        <w:ind w:left="660" w:right="600" w:hanging="331"/>
        <w:spacing w:after="0" w:line="282" w:lineRule="auto"/>
        <w:tabs>
          <w:tab w:leader="none" w:pos="6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for the nine months ended September 30, 2017 of £15.8 million (first nine months of 2016: £3.3 million) reflecting increased clinical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Jan-Anders Karlsson, PhD, CEO of Verona Pharma, commented:</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delighted to report another period of significant progress for Verona Pharma. We reported positive top-line data from two clinical studies that we completed ahead of schedule during the third quarter. In a Phase 2a trial RPL554 demonstrated a significant and clinically meaningful improvement in lung function in COPD patients and faster onset of action when administered as an add-on treatment to tiotropium, one of the most widely prescribed LAMA bronchodilators in these patients. In the PK trial in the United States, we demonstrated that inhalation of RPL554 is an appropriate route of administration for people with COPD and other respiratory diseases. We are also pleased that we were able to update the market today on the solid progress being made in enrolling patients in our 4-week Phase 2b COPD trial and we now expect to report top line data in mid-2018.”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Verona Pharma will host an investment community conference call at 8:00 a.m. Eastern Standard Time (1:00 pm Greenwich Mean Time) on November 7, 2017. Analysts and investors may participate in the conference call by utilizing the conference ID: 1550110 and dialing the following numbers:</w:t>
      </w:r>
    </w:p>
    <w:p>
      <w:pPr>
        <w:spacing w:after="0" w:line="162"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(877)-280-1254 or (646)-254-3388 for callers in the United States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0800 279 5736 or 44 (0) 20 3427 1901 for callers in the United Kingdom</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0800 589 2673 or 49 (0) 69 2222 10619 for callers in Germany</w:t>
      </w:r>
    </w:p>
    <w:p>
      <w:pPr>
        <w:spacing w:after="0" w:line="22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Those interested in listening to the conference call live via the internet may do so by visiting the “Investors” page of Verona Pharma’s website at www.veronapharma.com and clicking on the webcast link. A webcast replay of the conference call [audio] will be available on the “Investors” page of Verona Pharma’s website at www.veronapharma.com.</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electronic copy of the interim results will be made available today on the Company’s website (http://www.veronapharma.com).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inside information for the purposes of Article 7 Regulation (EU) No. 596/2014.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Verona Pharma plc</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as compared to placebo, and has shown clinically meaningful and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and cystic fibrosis (CF), and potentially asthma.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contained in this press release that do not relate to matters of historical fact should be considered forward-looking statements, including, but not limited to, statements regarding the expected timing of top-line data from our clinical trials of RPL554, development of RPL554 to treat asthma or other respiratory diseases, RPL554 as an important and promising therapy for COPD patients, the timing of commencement of clinical trials for RPL554, the ability of DPI and MDI formulations of RPL554 to address a larger COPD market segment and significantly extend RPL554’s commercial opportunity, our ability to deliver a comprehensive package of Phase 2b data for nebulized RPL554, the broad potential applicability of RPL554 in COPD and other respiratory indications, and collaborations to acquire or in-license product candidates.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 These and other important factors under the caption “Risk Factors” in our final prospectus filed with the Securities and Exchange Commission (“SEC”) on April 28, 2017 relating to our Registration Statement on Form F-1,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ectPr>
          <w:pgSz w:w="11900" w:h="16838" w:orient="portrait"/>
          <w:cols w:equalWidth="0" w:num="1">
            <w:col w:w="11400"/>
          </w:cols>
          <w:pgMar w:left="240" w:top="121" w:right="259" w:bottom="0" w:gutter="0" w:footer="0" w:header="0"/>
        </w:sectPr>
      </w:pPr>
    </w:p>
    <w:bookmarkStart w:id="4" w:name="page5"/>
    <w:bookmarkEnd w:id="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Verona Pharma plc</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 +44 (0)20 3283 4200</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Jan-Anders Karlsson, Chief Executive Officer</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info@veronapharma.com</w:t>
            </w:r>
          </w:p>
        </w:tc>
      </w:tr>
      <w:tr>
        <w:trPr>
          <w:trHeight w:val="414"/>
        </w:trPr>
        <w:tc>
          <w:tcPr>
            <w:tcW w:w="5360" w:type="dxa"/>
            <w:vAlign w:val="bottom"/>
          </w:tcPr>
          <w:p>
            <w:pPr>
              <w:spacing w:after="0"/>
              <w:rPr>
                <w:sz w:val="24"/>
                <w:szCs w:val="24"/>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 +44 (0) 20 7710 7600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Stifel Nicolaus Europe Limited (Nominated Adviser and UK Broker)</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SNELVeronaPharma@stifel.com</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Stewart Wallace / Jonathan Senior / Ben Maddison</w:t>
            </w:r>
          </w:p>
        </w:tc>
        <w:tc>
          <w:tcPr>
            <w:tcW w:w="6100" w:type="dxa"/>
            <w:vAlign w:val="bottom"/>
          </w:tcPr>
          <w:p>
            <w:pPr>
              <w:spacing w:after="0"/>
              <w:rPr>
                <w:sz w:val="20"/>
                <w:szCs w:val="20"/>
                <w:color w:val="auto"/>
              </w:rPr>
            </w:pPr>
          </w:p>
        </w:tc>
      </w:tr>
      <w:tr>
        <w:trPr>
          <w:trHeight w:val="4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FTI Consulting (UK Media and Investor enquiries)</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 +44 (0)20 3727 1000</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Simon Conway / Natalie Garland-Collins</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veronapharma@fticonsulting.com</w:t>
            </w:r>
          </w:p>
        </w:tc>
      </w:tr>
      <w:tr>
        <w:trPr>
          <w:trHeight w:val="4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ICR, Inc. (US Media and Investor enquiries)</w:t>
            </w:r>
          </w:p>
        </w:tc>
        <w:tc>
          <w:tcPr>
            <w:tcW w:w="6100" w:type="dxa"/>
            <w:vAlign w:val="bottom"/>
          </w:tcPr>
          <w:p>
            <w:pPr>
              <w:spacing w:after="0"/>
              <w:rPr>
                <w:sz w:val="24"/>
                <w:szCs w:val="24"/>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James Heins</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 +1 203-682-8251</w:t>
            </w:r>
          </w:p>
        </w:tc>
      </w:tr>
      <w:tr>
        <w:trPr>
          <w:trHeight w:val="216"/>
        </w:trPr>
        <w:tc>
          <w:tcPr>
            <w:tcW w:w="536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James.Heins@icrinc.com</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Stephanie Carrington</w:t>
            </w: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 +1 646-277-1282</w:t>
            </w:r>
          </w:p>
        </w:tc>
      </w:tr>
      <w:tr>
        <w:trPr>
          <w:trHeight w:val="234"/>
        </w:trPr>
        <w:tc>
          <w:tcPr>
            <w:tcW w:w="5360" w:type="dxa"/>
            <w:vAlign w:val="bottom"/>
          </w:tcPr>
          <w:p>
            <w:pPr>
              <w:spacing w:after="0"/>
              <w:rPr>
                <w:sz w:val="20"/>
                <w:szCs w:val="20"/>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Stephanie.Carrington@icrinc.com</w:t>
            </w:r>
          </w:p>
        </w:tc>
      </w:tr>
      <w:tr>
        <w:trPr>
          <w:trHeight w:val="348"/>
        </w:trPr>
        <w:tc>
          <w:tcPr>
            <w:tcW w:w="5360" w:type="dxa"/>
            <w:vAlign w:val="bottom"/>
            <w:tcBorders>
              <w:bottom w:val="single" w:sz="8" w:color="808080"/>
            </w:tcBorders>
          </w:tcPr>
          <w:p>
            <w:pPr>
              <w:spacing w:after="0"/>
              <w:rPr>
                <w:sz w:val="24"/>
                <w:szCs w:val="24"/>
                <w:color w:val="auto"/>
              </w:rPr>
            </w:pPr>
          </w:p>
        </w:tc>
        <w:tc>
          <w:tcPr>
            <w:tcW w:w="6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REVIEW</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therapies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giving it a dual mechanism of action to improve lung function. If successful, RPL554 would represent the first novel class of bronchodilator developed in decades, and at the same time have anti-inflammatory effects. RPL554 has been well tolerated in our clinical trials, and has not been observed to result in the gastrointestinal or other side effects commonly associated with PDE4 inhibition.</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developing RPL554 for the treatment of COPD and CF. We may also explore, alone or with a collaborator, the development of RPL554 to treat asthma and other respiratory diseases.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initiated four clinical trials of nebulized RPL554 in 2017, of which two were successfully completed this quarter. In September 2017, we announced positive top-line data from our Phase 2a clinical trial of RPL554 as an add-on treatment to tiotropium, one of the most important current therapies for COPD. The data showed a significant improvement in peak lung function when RPL554 was added on top of tiotropium, supporting the continued development of RPL554 as a promising therapy for COPD patients. We have also shown in a pharmacokinetic, or PK, clinical trial that RPL554 is well-suited to inhaled administration.</w:t>
      </w:r>
    </w:p>
    <w:p>
      <w:pPr>
        <w:spacing w:after="0" w:line="184"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Enrollment in our current study in 400 COPD patients in Europe, being treated for 4 weeks, is progressing well and the Company now expects to report top-line data in mid-2018, sooner than previous guidance of second-half of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Phase 2a study in CF patients, to evaluate PK and PD is progressing as planned and we expect to report top-line data in the first half of 2018.</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continues to review its development strategy for RPL554 in the context of additional data generated, including from clinical trials and market research, to identify opportunities to enhance the planned development and commercialization of RPL554 which may lead to changes in the planned future clinical development of RPL554.</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our nebulized formulation of RPL554, we are also developing RPL554 in both DPI and MDI formulations for the maintenance treatment of COPD. We believe these formulations may enable the Company to address a larger COPD market segment than can be addressed through the nebulizer formulation. We may explore the development of RPL554 in these formulations for the treatment of CF and other respiratory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2017 the Company recorded a loss after tax of £14.2m (2016: loss of £4.2m) and a loss per share of 17.4p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of 15.4p). Net cash outflows from operating activities during the nine month period ended September 30, 2017 were £15.8m (2016: outflow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£3.3m), and at September 30, 2017 the Company held cash, cash equivalents and short term investments of £85.5m (December 31, 2016: £39.8m).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Having successfully completed earlier this year a global offering comprised of an initial public offering of our American Depositary Shares (“ADSs”) on Nasdaq and an offering in Europe of our ordinary shares, we believe that we now have the team and funding in place to progress the development of nebulized RPL554 as maintenance therapy for both COPD and CF, as well as for the treatment of acute exacerbations of COPD. We are also developing DPI and MDI formulations of RPL554 which we believe has the potential to extend the commercial opportunity in COPD and other respiratory indications, as we believe RPL554’s properties as a dual inhibitor of PDE3 and PDE4 give it broad potential applicability in this therapeutic area. Additionally, we intend to seek strategic collaborative relationships and opportunities to acquire or in-license product candidates for the treatment of additional unmet clinical needs in respiratory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of the three and nine month periods ended September 30,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loss for the three months ended September 30, 2017 was £8.1m (three months ended September 30, 2016: £2.2m) and the loss after tax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was £9.1m (three months ended September 30, 2016: £2.5m).</w:t>
      </w:r>
    </w:p>
    <w:p>
      <w:pPr>
        <w:sectPr>
          <w:pgSz w:w="11900" w:h="16888" w:orient="portrait"/>
          <w:cols w:equalWidth="0" w:num="1">
            <w:col w:w="11460"/>
          </w:cols>
          <w:pgMar w:left="240" w:top="337" w:right="199" w:bottom="0" w:gutter="0" w:footer="0" w:header="0"/>
        </w:sectPr>
      </w:pPr>
    </w:p>
    <w:bookmarkStart w:id="5" w:name="page6"/>
    <w:bookmarkEnd w:id="5"/>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for the three months ended September 30, 2017 were £6.1m (three months ended September 30, 2016: £1.4m), an increase of £4.7m. This increase related to the expense of preparation for, initiation, progression and completion of clinical trials as well as the build-out of the management team, including the expansion of clinical and regulatory capacity in the United States. Included in the increase was an amount of £0.5m related to share-based payment charges (2016: £0.1m).</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for the three months ended September 30, 2017 were £2.0m (three months ended September 30, 2016: £0.8m), an increase of £1.2m. This increase was due to an expansion in the commercial and administrative structure and activities of the Company. Included in the increase was an amount of £0.5m related to share-based payment charges (2016: £0.0m).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for the three months ended September 30, 2017 was £0.1m (three months ended September 30, 2016: £0.1m).</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Finance expense for the three months ended September 30, 2017 was £2.4m (three months ended September 30, 2016: £0.7m). The increase in finance expense was due to an increase in the fair value of the warrant liability of £1.2m, increased losses following changes in exchange rates as well as an increase in the calculated value of the assumed contingent obligation resulting from the Vernalis license agreement, offset by transaction costs relating to warrants in 2016. The increase in the value of the warrants was caused by changes in the underlying assumptions for measuring the liability of the warrants, predominantly the increase in the price of the Company’s shares. The Company manages its exposure to movements in foreign exchange movements by holding its cash and short term investments in a range of currencies. The movement in the sterling US dollar exchange rate resulted in a foreign exchange loss during the period.</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Taxation for the three months ended September 30, 2017 amounted to a credit of £1.3m (three months ended September 30, 2016: £0.3m), an increase in the credit amount of £1.0m. The credits are obtained at a rate of 14.5% of 230% of our qualifying research and development expenditure, and the increase in the credit amount was primarily attributable to our increased expenditure on research and development.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loss for the nine months ended September 30, 2017 was £19.1m (nine months ended September 30, 2016: £4.1m) and the loss after tax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was £14.2m (nine months ended September 30, 2016: £4.2m).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costs for the nine months ended September 30, 2017 were £14.0m (nine months ended September 30, 2016: £2.7m), an increase of £11.3m. This increase related to the expense of preparation for, initiation, progression and completion of clinical trials as well as the build-out of the management team, including the expansion of clinical and regulatory capacity in the United States. Included in the increase was an amount of £1.2m related to share-based payment charges (2016: £0.2m).</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for the nine months ended September 30, 2017 were £5.0m (nine months ended September 30, 2016: £1.4m), an increase of £3.6m. This increase was due to an expansion in the commercial and administrative structure and activities of the Company. Included in the increase was an amount of £1.0m related to share-based payment charges (2016: £0.1m).</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Finance income for the nine months ended September 30, 2017 was £4.1m (nine months ended September 30, 2016: £0.1m). The increase in finance income was primarily due to a decrease in the fair value of the warrant liability of £3.9m caused by changes in the underlying assumptions for measuring the liability of the warrant, predominantly the price of the Company’s shares.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Finance expense for the nine months ended September 30, 2017 was £2.2m (nine months ended September 30, 2016: £0.9m). The increase in finance expense was due to increased losses following changes in exchange rates as well as an increase in the calculated value of the assumed contingent obligation resulting from the Vernalis license agreement, offset by transaction costs relating to warrants in 2016. As part of our approach to risk management we hold cash and short term investments in a mix of currencies. The movement in the sterling US dollar exchange rate has resulted in the foreign exchange loss for the nine months ended September 30, 2017 (nine months ended September 30, 2016: gain).</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Taxation for the nine months ended September 30, 2017 amounted to a credit of £2.9m (nine months ended September 30, 2016: £0.6m), an increase in the credit amount of £2.3m. The credits are obtained at a rate of 14.5% of 230% of our qualifying research and development expenditure, and the increase in the credit amount was primarily attributable to our increased expenditure on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Flow - Operating activities: net cash used in operating activities increased by £12.5m to £15.8m for the nine months period ended September 30, 2017 compared to £3.3m for the nine month period ended September 30, 2016. This increase was due to the increases in both research and development, and general and administrative expenses described above.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Flow - Investing activities: net cash used in investing activities for the nine month period ended September 30, 2017 amounted to £54.8m, reflecting the placing of funds on term deposits with maturity of greater than 3 months together with certain patent costs, compared to £0.1m for the nine months ended September 30, 2016.</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Flow - Financing activities: net cash inflow from financing activities for the nine month period ended September 30, 2017 amounted to £63.2m and relates to the net proceeds from the global offering of our ADSs and ordinary shares and a private placement of our ordinary shares, each of which completed on May 2, 2017. For the period ended September 30, 2016 the net cash inflow of £41.8m related to a financing that took place in July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2017 Verona Pharma plc and its subsidiaries had approximately £85.5m in cash, cash equivalents and short term investments (December 31, 2016: £39.8m).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ectPr>
          <w:pgSz w:w="11900" w:h="16866" w:orient="portrait"/>
          <w:cols w:equalWidth="0" w:num="1">
            <w:col w:w="11420"/>
          </w:cols>
          <w:pgMar w:left="240" w:top="337" w:right="2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 OF COMPREHENSIVE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FOR THE THREE AND NINE MONTHS ENDING SEPTEMBER 30, 2016 AND SEPTEMBER 30,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4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112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2"/>
                <w:szCs w:val="12"/>
                <w:color w:val="auto"/>
              </w:rPr>
            </w:pPr>
          </w:p>
        </w:tc>
        <w:tc>
          <w:tcPr>
            <w:tcW w:w="112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12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12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(1,408,726)</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(6,084,999)</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(2,653,441)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(14,027,854)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(751,912)</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(2,040,276)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(1,427,026)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(5,041,200)</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(2,160,638)</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(8,125,275)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(4,080,467)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(19,069,054)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139,803</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114,079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4,130,934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(711,285)</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(2,360,885)</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(859,195)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(2,151,329)</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(2,732,120)</w:t>
            </w:r>
          </w:p>
        </w:tc>
        <w:tc>
          <w:tcPr>
            <w:tcW w:w="3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(10,372,081)</w:t>
            </w:r>
          </w:p>
        </w:tc>
        <w:tc>
          <w:tcPr>
            <w:tcW w:w="3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(4,792,484)</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(17,089,449)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 credit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270,757</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1,257,906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555,734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2,861,359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period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(2,461,363)</w:t>
            </w:r>
          </w:p>
        </w:tc>
        <w:tc>
          <w:tcPr>
            <w:tcW w:w="3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(9,114,175)</w:t>
            </w:r>
          </w:p>
        </w:tc>
        <w:tc>
          <w:tcPr>
            <w:tcW w:w="3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(4,236,750)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(14,228,090)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income/(expense):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Items that may be subsequently reclassified to profit</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 loss.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3,842</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(13,654)</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20,495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(27,691)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for the period attributable</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(2,457,521)</w:t>
            </w: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(9,127,829)</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(4,216,255)</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(14,255,781)</w:t>
            </w:r>
          </w:p>
        </w:tc>
        <w:tc>
          <w:tcPr>
            <w:tcW w:w="0" w:type="dxa"/>
            <w:vAlign w:val="bottom"/>
          </w:tcPr>
          <w:p>
            <w:pPr>
              <w:spacing w:after="0"/>
              <w:rPr>
                <w:sz w:val="1"/>
                <w:szCs w:val="1"/>
                <w:color w:val="auto"/>
              </w:rPr>
            </w:pPr>
          </w:p>
        </w:tc>
      </w:tr>
      <w:tr>
        <w:trPr>
          <w:trHeight w:val="245"/>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 owners of the Company</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ordinary share — basic and diluted (pence)</w:t>
            </w:r>
          </w:p>
        </w:tc>
        <w:tc>
          <w:tcPr>
            <w:tcW w:w="11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top w:val="single" w:sz="8" w:color="CCEEFF"/>
            </w:tcBorders>
            <w:vMerge w:val="restart"/>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(5.9)p</w:t>
            </w:r>
          </w:p>
        </w:tc>
        <w:tc>
          <w:tcPr>
            <w:tcW w:w="14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(8.7)p</w:t>
            </w:r>
          </w:p>
        </w:tc>
        <w:tc>
          <w:tcPr>
            <w:tcW w:w="14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(15.4)p</w:t>
            </w:r>
          </w:p>
        </w:tc>
        <w:tc>
          <w:tcPr>
            <w:tcW w:w="13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(17.4)p</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SEPTEMBER 30,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13,838</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1,876,684</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441,000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2,331,522</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2,457,660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2,958,587</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receivable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1,067,460</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54,064,942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39,785,098</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31,393,327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43,811,145</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92,442,816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46,142,667</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94,900,476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LIABILITIES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reserves attributable to equity holders: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2,568,053</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58,526,502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118,861,212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reserve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2,101,790</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(28,728,038)</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(42,983,819)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34,468,307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85,221,184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2,823,489</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 — US operations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126,063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7,922,603</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3,997,333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10,872,155</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8,827,222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contingent obligation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802,205</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802,205</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852,070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46,142,667</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94,900,476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INTERIM STATEMENT OF CASH FLOWS FOR</w:t>
      </w:r>
    </w:p>
    <w:p>
      <w:pPr>
        <w:sectPr>
          <w:pgSz w:w="11900" w:h="16838" w:orient="portrait"/>
          <w:cols w:equalWidth="0" w:num="1">
            <w:col w:w="11420"/>
          </w:cols>
          <w:pgMar w:left="240" w:top="117" w:right="2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THE NINE MONTHS ENDED SEPTEMBER 30, 2016 AND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1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(4,792,484)</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(17,089,449)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(147,178)</w:t>
            </w:r>
          </w:p>
        </w:tc>
        <w:tc>
          <w:tcPr>
            <w:tcW w:w="1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859,195</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2,151,329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charge</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307,929</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1,991,131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prepayments and other receivables</w:t>
            </w: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(537,183)</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(2,377,156)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trade and other payables</w:t>
            </w: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(551,100)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2,798,146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7,288</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40,913</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(4,812,620)</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(16,602,126)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inflow from taxation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1,533,068</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(3,279,552)</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(15,785,759)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48,166</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(3,825)</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patents</w:t>
            </w: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(99,719)</w:t>
            </w:r>
          </w:p>
        </w:tc>
        <w:tc>
          <w:tcPr>
            <w:tcW w:w="1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(54,689,344)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(55,378)</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(54,782,932)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 from issue of shares and warrants</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44,702,197</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70,031,506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issue of shares and warrants</w:t>
            </w: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(2,910,461)</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Global Offering</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(6,785,749)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41,791,736</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63,245,757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38,456,806</w:t>
            </w:r>
          </w:p>
        </w:tc>
        <w:tc>
          <w:tcPr>
            <w:tcW w:w="1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3,524,387</w:t>
            </w:r>
          </w:p>
        </w:tc>
        <w:tc>
          <w:tcPr>
            <w:tcW w:w="3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39,785,098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99,012</w:t>
            </w:r>
          </w:p>
        </w:tc>
        <w:tc>
          <w:tcPr>
            <w:tcW w:w="1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42,080,205</w:t>
            </w:r>
          </w:p>
        </w:tc>
        <w:tc>
          <w:tcPr>
            <w:tcW w:w="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31,393,327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2016 AND SEPTEMBER 30,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1,009,923</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26,650,098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1,525,897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(23,752,204)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5,433,714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(4,236,750)</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for the period: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20,495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(4,216,255)</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New share capital issued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1,555,796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34,151,439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share capital issued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(2,325,035)</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 during the period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307,929</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2,565,886</w:t>
            </w:r>
          </w:p>
        </w:tc>
        <w:tc>
          <w:tcPr>
            <w:tcW w:w="1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58,480,502</w:t>
            </w: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1,833,826</w:t>
            </w: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(27,968,459)</w:t>
            </w: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34,911,755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2,568,053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58,526,502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2,101,790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(28,728,038)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(14,228,090)</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(14,228,090)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expense for the period: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(27,691)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(14,255,781)</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(14,255,781)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share capital issued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2,676,150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67,647,737</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70,323,887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new share capital issued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(7,453,027)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during the period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1,991,131</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5,250,870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118,861,212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4,092,921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(42,983,819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85,221,184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currency translation reserve is currently not material and as such is not presented in a separate reserve but has been included in the total accumulated losses reserve.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interim financial statements.</w:t>
      </w:r>
    </w:p>
    <w:p>
      <w:pPr>
        <w:sectPr>
          <w:pgSz w:w="11900" w:h="16838" w:orient="portrait"/>
          <w:cols w:equalWidth="0" w:num="1">
            <w:col w:w="11420"/>
          </w:cols>
          <w:pgMar w:left="240" w:top="117" w:right="2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VERONA PHARMA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229"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On February 10, 2017 the Company effected a 50-for-1, reverse stock split, consolidation of its shares. All references to ordinary shares, options and warrants, as well as share, per share and related information in these consolidated financial statements have been retroactively adjusted to reflect the consolidation as if it had occurred at the beginning of the earliest period presented.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2, 2017 the Company announced the closing of its global offering of an aggregate of 47,399,001 new ordinary shares, consisting of the initial public offering in the United States of 5,768,000 American Depositary Shares (“ADSs”) at a price of $13.50 per ADS and the private placement in Europe of 1,255,001 ordinary shares at a price of £1.32 per ordinary share, for gross proceeds of $80.0 million (the “Global Offering”). Each ADS offered represents eight ordinary shares of the Company. The ordinary shares offered were allotted and issued in a concurrent private placement in Europe and other countries outside of the United States and Canada.</w:t>
      </w:r>
    </w:p>
    <w:p>
      <w:pPr>
        <w:spacing w:after="0" w:line="18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addition, the Chairman of Verona Pharma’s board of directors, Dr David Ebsworth, and an existing shareholder agreed to subscribe for 254,099 new ordinary shares at a price of £1.32 per ordinary share in a shareholder private placement separate from the Global Offering (the “Shareholder Private Placement”), contingent on and concurrent with the Global Offering and generating additional gross proceeds of £335 thousand.</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May 15 and May 23, 2017, pursuant to the Global Offering, the underwriters purchased an additional 733,738 ADSs, representing 5,869,904 ordinary shares, at a price of $13.50 per ADS, for additional gross proceeds of $9.9 million bringing the total gross proceeds in the Global Offering to $89.9 million (£70.0 million). Including the Shareholder Private Placement, the total gross proceeds of the capital raising amounted to $90.3 million (£70.3 million).</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ADSs began trading on the NASDAQ Global Market under the ticker symbol “VRNA” on April 27, 2017. Verona Pharma’s ordinary shares continue to trade on the AIM market of the London Stock Exchange (“AIM”) under the symbol “VRP”.</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22, 2017, 133,333 share options over 133,333 new shares were exercised at a price of 110p per share, resulting in proceeds of £147 thousand to the Company.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the Global Offering, the Shareholder Private Placement and the exercise of warrants, the number of ordinary shares in issue at September 30, 2017 was 105,017,401.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accounting</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Verona Pharma Plc (the “Company”) and its subsidiaries, Verona Pharma, Inc., and Rhinopharma Limited (together “the Group”), for the nine months ended September 30, 2017, do not include all the statements required for full annual financial statements and should be read in conjunction with the consolidated financial statements of the Group as of December 31, 2016.</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unaudited condensed interim financial statements were authorized for issue by the Company’s board of directors (the “Directors”) on November 7, 2017. There have been no changes, except as otherwise stated, to the accounting policies as contained in the annual consolidated financial statements as of and for the year ended December 31, 2016, which have been prepared in accordance with international financial reporting standards (“IFRS”) as issued by the International Accounting Standards Board (“IASB”).</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a going-concern basis. Management, having reviewed the future operating costs of the business in conjunction with the cash held as of September 30, 2017, believes the Group has sufficient funds to continue as a going concern for at least 12 months from the end of the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activities and results are not exposed to any seasonality. The Company operates as a single operating and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do not recommend the payment of a dividend for the nine months ended September 30, 2017 (Nine months ended September 30, 2016: £Nil;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2016: £Nil).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to accounting policies: Short 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investments include fixed term deposits held at banks and other investments with original maturities of three months or more but less than a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classified as loans and receivables and are measured at amortized cost using the effective interest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Segmental Reporting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Group’s activities are covered by one operating and reporting segment: Drug Development, as detailed more fully in the annual consolidated financial statements as of and for the year ended December 31, 2016. There have been no changes to management’s assessment of the operating and reporting segment of the Group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ectPr>
          <w:pgSz w:w="11900" w:h="16838" w:orient="portrait"/>
          <w:cols w:equalWidth="0" w:num="1">
            <w:col w:w="11420"/>
          </w:cols>
          <w:pgMar w:left="240" w:top="1049" w:right="239" w:bottom="40" w:gutter="0" w:footer="0" w:header="0"/>
        </w:sectPr>
      </w:pPr>
    </w:p>
    <w:bookmarkStart w:id="9" w:name="page10"/>
    <w:bookmarkEnd w:id="9"/>
    <w:p>
      <w:pPr>
        <w:ind w:right="20"/>
        <w:spacing w:after="0" w:line="261" w:lineRule="auto"/>
        <w:rPr>
          <w:sz w:val="20"/>
          <w:szCs w:val="20"/>
          <w:color w:val="auto"/>
        </w:rPr>
      </w:pPr>
      <w:r>
        <w:rPr>
          <w:rFonts w:ascii="Times New Roman" w:cs="Times New Roman" w:eastAsia="Times New Roman" w:hAnsi="Times New Roman"/>
          <w:sz w:val="18"/>
          <w:szCs w:val="18"/>
          <w:color w:val="auto"/>
        </w:rPr>
        <w:t>The Group’s activities expose it to a variety of financial risks: market risk (including foreign currency risk); cash flow and fair value interest rate risk; and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Estimates</w:t>
      </w:r>
    </w:p>
    <w:p>
      <w:pPr>
        <w:spacing w:after="0" w:line="229"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Finance income and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30, 2016</w:t>
            </w:r>
          </w:p>
        </w:tc>
        <w:tc>
          <w:tcPr>
            <w:tcW w:w="3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2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 on cash balances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40,791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102,882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48,166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194,467</w:t>
            </w: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exchange gain on translating foreign currency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denominated bank balances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99,012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99,012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adjustment on derivative financial instrument (note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3,925,270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11,197</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income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139,083</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114,079</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4,130,934</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50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0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allocated to the issue of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585,425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585,425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contingent arrangement (note 11)</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86,128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changes in foreign exchange rates on the contingent</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arrangement (note 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24,906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(20,221)</w:t>
            </w: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Unwinding of discount factor related to the contingent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arrangement (note 11)</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21,434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23,803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62,301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70,086</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exchange loss on receivables relating to financing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 (note 12)</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408,277</w:t>
            </w: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exchange loss on translating other foreign currency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denominated balances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1,156,837</w:t>
            </w:r>
          </w:p>
        </w:tc>
        <w:tc>
          <w:tcPr>
            <w:tcW w:w="2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1,693,187</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adjustment on derivative financial instrument (note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100,435</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1,187,663</w:t>
            </w:r>
          </w:p>
        </w:tc>
        <w:tc>
          <w:tcPr>
            <w:tcW w:w="2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100,435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expense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 period ended September 30, 2017, the value of the liability arising from the derivative financial instrument increased by £1,188 thousand, from £2,810 thousand on June 30, 2017 to £3,997 thousand on September 30, 2017; the increase in the value of this liability is recorded as finance expense.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nine month period ended September 30, 2017, the value of the liability arising from the derivative financial instrument decreased by £3,926 thousand, from £7,923 thousand on January 1, 2017 to £3,997 thousand on September 30, 2017; the decrease in the value of this liability is recorded as Finance income. (The change in value of this liability during the period comprised a reduction of £5,113 thousand during the six months ended June 30, 2017, partially offset by an increase of £1,188 thousand during the three months ended September 30, 2017, as set out above.)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the movement in the value of the liability arising from the derivative financial instrument is recorded as finance expense in the three month period to September 30, 2017, and as finance income in the nine month period to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Taxation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tax credit for the nine month period ended September 30, 2017, amounts to £2,861 thousand, and consists of the estimated research and development tax credit receivable on qualifying expenditure incurred during the nine month period ended September 30, 2017 for an amount of £3,079 thousand plus a tax expense of £218 thousand related to the US operations (nine month period ended September 30, 2016: £556 thousand tax credit, comprising £572 thousand for research and development tax credit, less £16 thousand expense for tax on US operations).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tax credit for the three month period ended September 30, 2017, amounts to £1,258 thousand, and consists of the estimated research and development tax credit receivable on qualifying expenditure incurred during the three month period ended September 30, 2017 for an amount of £1,336 thousand plus a tax expense of £78 thousand related to the US operations (three month period ended September 30, 2016: £270 thousand tax credit, comprising £282 thousand for research and development tax credit, less £11 thousand expense for tax on US operations).</w:t>
      </w:r>
    </w:p>
    <w:p>
      <w:pPr>
        <w:sectPr>
          <w:pgSz w:w="11900" w:h="16838" w:orient="portrait"/>
          <w:cols w:equalWidth="0" w:num="1">
            <w:col w:w="11420"/>
          </w:cols>
          <w:pgMar w:left="240" w:top="121" w:right="239" w:bottom="0" w:gutter="0" w:footer="0" w:header="0"/>
        </w:sectPr>
      </w:pPr>
    </w:p>
    <w:bookmarkStart w:id="10" w:name="page11"/>
    <w:bookmarkEnd w:id="10"/>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Loss per share calculation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basic loss per share of 17.4p (September 30, 2016: loss of 15.4p) for the nine months ended September 30, 2017 is calculated by dividing the loss for the nine months ended September 30, 2017 by the weighted average number of ordinary shares in issue of 81,923,920 during the nine months ended September 30, 2017 (September 30, 2016: 27,574,331).</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basic loss per share of 8.7p (September 30, 2016: loss of 5.9p) for the three months ended September 30, 2017 is calculated by dividing the loss for the three months ended September 30, 2017 by the weighted average number of ordinary shares in issue of 104,896,971 during the three months ended September 30, 2017 (September 30, 2016: 41,612,262). Since the Group has reported a net loss, diluted loss per ordinary share is equal to basic loss per ordinary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ADS represents 8 shares of the Company, so the loss per ADS is any period is equal to 8 times the loss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Short term investments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short term investments as at September 30, 2017 amounted to a total of £54,065 thousand (December 31, 2016: £ nil) and consisted of fixed term deposits, in both US Dollars and UK Pounds.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July 2016 placement the Company issued 31,115,926 units to new and existing investors at the placing price of £1.4365 per unit. Each unit comprises one ordinary share and one warrant. The warrant holders can subscribe for 0.4 of an ordinary share at a per share exercise price of 120% of the placing price or £1.7238. The warrant holders can opt for a cashless exercise of their warrants. The warrant holders can choose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December 31, 2016 warrants over 12,446,370 shares were in effect. During the 9 months ended September 30, 2017 warrants over 45,108 shares were forfeited.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At December 31, 2016</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At September 30, 2017</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12,446,370</w:t>
            </w: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12,401,262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£1.5650</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£1.7238</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£1.7238</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0.088%</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20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2.43 years</w:t>
            </w:r>
          </w:p>
        </w:tc>
        <w:tc>
          <w:tcPr>
            <w:tcW w:w="19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1.92 years</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Annualized volatility</w:t>
            </w: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73.53%</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55.17%</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at September 30, 2017, the Company updated the underlying assumptions and calculated a fair value of these warrants, using Black-Scholes (level 3), amounting to £3,997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variance for the nine month period ended September 30, 2017 was income of £3,925 thousand (nine month period ended September 30, 2016: expense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thousand) and is recorded as finance income (nine month period ended September 2016: finance expense) in the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Of this amount a total of £12 thousand related to the warrants that were forfeited (2016: £nil). The variance for the three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ended September 30, 2017 was an expense of £1,188 thousand (three month period ending September 30, 2016: £100 thousand) and is recorded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expense (2016: finance expense) in the Consolidated Statement of Comprehensive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Derivative</w:t>
            </w:r>
          </w:p>
        </w:tc>
      </w:tr>
      <w:tr>
        <w:trPr>
          <w:trHeight w:val="149"/>
        </w:trPr>
        <w:tc>
          <w:tcPr>
            <w:tcW w:w="836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r>
      <w:tr>
        <w:trPr>
          <w:trHeight w:val="173"/>
        </w:trPr>
        <w:tc>
          <w:tcPr>
            <w:tcW w:w="836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instrument</w:t>
            </w:r>
          </w:p>
        </w:tc>
      </w:tr>
      <w:tr>
        <w:trPr>
          <w:trHeight w:val="142"/>
        </w:trPr>
        <w:tc>
          <w:tcPr>
            <w:tcW w:w="836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2016</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7,922,603</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recognized in profit or loss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(3,925,270)</w:t>
            </w:r>
          </w:p>
        </w:tc>
      </w:tr>
      <w:tr>
        <w:trPr>
          <w:trHeight w:val="210"/>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September 30, 2017</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3,997,333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amount recognized at September 30, 2017, the effect, when some of these underlying parameters would deviate up or down, is presented in the below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Time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(up / down</w:t>
            </w: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 / down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10 % pts)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6 months)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6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up</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4,941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 case, reported fair value</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3,997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down</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Assumed contingent obligation related to the business combination</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assumed contingent obligation as of September 30, 2017 amounted to £852,070 (December 31, 2016: £802,205).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value of the assumed contingent obligation during the nine months ended September 30, 2017 amounted to £49,865 (nine months ended September 30, 2016: £173,335) and was recognized as a finance expense. The increase in value of the assumed contingent obligation during the three months</w:t>
      </w:r>
    </w:p>
    <w:p>
      <w:pPr>
        <w:sectPr>
          <w:pgSz w:w="11900" w:h="16933" w:orient="portrait"/>
          <w:cols w:equalWidth="0" w:num="1">
            <w:col w:w="11400"/>
          </w:cols>
          <w:pgMar w:left="240" w:top="333" w:right="25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ended September 30, 2017 amounted to £23,803 (three months ended September 30, 2016: £21,434) and was recognized as a finance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2017</w:t>
            </w:r>
          </w:p>
        </w:tc>
      </w:tr>
      <w:tr>
        <w:trPr>
          <w:trHeight w:val="142"/>
        </w:trPr>
        <w:tc>
          <w:tcPr>
            <w:tcW w:w="6260" w:type="dxa"/>
            <w:vAlign w:val="bottom"/>
          </w:tcPr>
          <w:p>
            <w:pPr>
              <w:spacing w:after="0"/>
              <w:rPr>
                <w:sz w:val="12"/>
                <w:szCs w:val="12"/>
                <w:color w:val="auto"/>
              </w:rPr>
            </w:pPr>
          </w:p>
        </w:tc>
        <w:tc>
          <w:tcPr>
            <w:tcW w:w="1580" w:type="dxa"/>
            <w:vAlign w:val="bottom"/>
            <w:tcBorders>
              <w:top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580" w:type="dxa"/>
            <w:vAlign w:val="bottom"/>
            <w:tcBorders>
              <w:top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593,941</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802,205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contingent arrangement</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86,128</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changes in foreign exchange rates</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24,905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(20,221)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Unwinding of discount factor</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62,301</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70,086</w:t>
            </w:r>
          </w:p>
        </w:tc>
      </w:tr>
      <w:tr>
        <w:trPr>
          <w:trHeight w:val="210"/>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end</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Issuance of Share Capital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2, 2017 the Company announced the closing of its Global Offering of an aggregate of 47,399,001 new ordinary shares, comprising 5,768,000 American Depositary Shares (“ADSs”) at a price of $13.50 per ADS and 1,255,001 ordinary shares at a price of £1.32 per ordinary share. During May 2017 the underwriters purchased an additional 733,738 ADSs, representing 5,869,904 ordinary shares, at a price of $13.50 per ADS. The total gross proceeds in the Global Offering amounted to $89.9 million (£70.0 million).</w:t>
      </w:r>
    </w:p>
    <w:p>
      <w:pPr>
        <w:spacing w:after="0" w:line="18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addition, the Chairman of Verona Pharma’s board of directors, Dr David Ebsworth, and an existing shareholder agreed to subscribe for 254,099 new ordinary shares at a price of £1.32 per ordinary share in the Shareholder Private Placement, contingent on and concurrent with the Global Offering and generating gross proceeds of £0.3m.</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Where there is a time and foreign exchange difference between proceeds from a share issue becoming due and being received, the movement is taken to Finance income or Finance expense as appropriate. In respect of the Global Offering and Shareholder Private Placement, the Company recorded a finance expense of £439,049 arising from movements in exchange rates on funds receivable, offset by a saving on commission payable of £30,822, for a net finance expense of £408,277.</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September 22, 2017, 133,333 existing warrants over 133,333 new shares were exercised at a price of 110p per share, resulting in proceeds of £146 thousand to the Company.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the Global Offering, the Shareholder Private Placement and the exercise of warrants, the number of ordinary shares in issue at September 30, 2017 was 105,017,401. All new ordinary shares rank pari passu with existing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option scheme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and following the Global Offering the Company granted a total of 4,656,828 share options and 1,052,236 Restricted Stock Units (“RSUs”) (nine months ended September 30, 2016 the Company granted a total of 1,701,990 share options, and nil RSUs). The numbers presented reflect ordinary shares although some grants made in 2017 are in ADSs. Each ADS represents eight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in the number of the Company’s share options is set out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5"/>
                <w:szCs w:val="15"/>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20" w:type="dxa"/>
            <w:vAlign w:val="bottom"/>
            <w:tcBorders>
              <w:top w:val="single" w:sz="8" w:color="auto"/>
            </w:tcBorders>
          </w:tcPr>
          <w:p>
            <w:pPr>
              <w:jc w:val="center"/>
              <w:ind w:lef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3,037,333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1,701,990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4,656,828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(133,333)</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(260,000)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(33,333)</w:t>
            </w: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outstanding options</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3,080,660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7,527,495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movement in the number of the Company’s RSUs is set out below:</w:t>
            </w: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00" w:type="dxa"/>
            <w:vAlign w:val="bottom"/>
          </w:tcPr>
          <w:p>
            <w:pPr>
              <w:spacing w:after="0"/>
              <w:rPr>
                <w:sz w:val="24"/>
                <w:szCs w:val="24"/>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5"/>
                <w:szCs w:val="15"/>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20" w:type="dxa"/>
            <w:vAlign w:val="bottom"/>
            <w:tcBorders>
              <w:top w:val="single" w:sz="8" w:color="auto"/>
            </w:tcBorders>
          </w:tcPr>
          <w:p>
            <w:pPr>
              <w:jc w:val="center"/>
              <w:ind w:lef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outstanding RSUs</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payment expense for the nine months ended September 30, 2017 was £1,991,131 (nine months ended September 30, 2016: £307,929).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payment expense for the three months ended September 30, 2017 was £1,022,832 (three months ended September 30, 2016: £129,967).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options and RSUs granted during the nine months ended September 30, 2017, were awarded under the Company’s 2017 Long Term Incentive Plan with total fair values estimated using the Black-Scholes option-pricing model of £5.3m. The cost is amortized over the vesting period of the options and the RSUs</w:t>
      </w:r>
    </w:p>
    <w:p>
      <w:pPr>
        <w:sectPr>
          <w:pgSz w:w="11900" w:h="16838" w:orient="portrait"/>
          <w:cols w:equalWidth="0" w:num="1">
            <w:col w:w="11420"/>
          </w:cols>
          <w:pgMar w:left="240" w:top="121" w:right="239" w:bottom="0" w:gutter="0" w:footer="0" w:header="0"/>
          <w:type w:val="continuous"/>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on a straight-line basis. The following assumptions were used for the Black-Scholes valuation of share options and RSUs granted in the nine months ended September 30, 2017. The only performance condition of the options and RSUs is the vesting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w:t>
            </w:r>
          </w:p>
        </w:tc>
      </w:tr>
      <w:tr>
        <w:trPr>
          <w:trHeight w:val="117"/>
        </w:trPr>
        <w:tc>
          <w:tcPr>
            <w:tcW w:w="4780" w:type="dxa"/>
            <w:vAlign w:val="bottom"/>
          </w:tcPr>
          <w:p>
            <w:pPr>
              <w:spacing w:after="0"/>
              <w:rPr>
                <w:sz w:val="10"/>
                <w:szCs w:val="10"/>
                <w:color w:val="auto"/>
              </w:rPr>
            </w:pPr>
          </w:p>
        </w:tc>
        <w:tc>
          <w:tcPr>
            <w:tcW w:w="2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Issued in the nine months ended</w:t>
            </w:r>
          </w:p>
        </w:tc>
        <w:tc>
          <w:tcPr>
            <w:tcW w:w="280" w:type="dxa"/>
            <w:vAlign w:val="bottom"/>
          </w:tcPr>
          <w:p>
            <w:pPr>
              <w:spacing w:after="0"/>
              <w:rPr>
                <w:sz w:val="10"/>
                <w:szCs w:val="10"/>
                <w:color w:val="auto"/>
              </w:rPr>
            </w:pPr>
          </w:p>
        </w:tc>
        <w:tc>
          <w:tcPr>
            <w:tcW w:w="2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Issued in the nine months ended</w:t>
            </w:r>
          </w:p>
        </w:tc>
        <w:tc>
          <w:tcPr>
            <w:tcW w:w="100" w:type="dxa"/>
            <w:vAlign w:val="bottom"/>
          </w:tcPr>
          <w:p>
            <w:pPr>
              <w:spacing w:after="0"/>
              <w:rPr>
                <w:sz w:val="10"/>
                <w:szCs w:val="10"/>
                <w:color w:val="auto"/>
              </w:rPr>
            </w:pPr>
          </w:p>
        </w:tc>
      </w:tr>
      <w:tr>
        <w:trPr>
          <w:trHeight w:val="173"/>
        </w:trPr>
        <w:tc>
          <w:tcPr>
            <w:tcW w:w="4780" w:type="dxa"/>
            <w:vAlign w:val="bottom"/>
          </w:tcPr>
          <w:p>
            <w:pPr>
              <w:spacing w:after="0"/>
              <w:rPr>
                <w:sz w:val="15"/>
                <w:szCs w:val="15"/>
                <w:color w:val="auto"/>
              </w:rPr>
            </w:pPr>
          </w:p>
        </w:tc>
        <w:tc>
          <w:tcPr>
            <w:tcW w:w="3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2017</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 RSUs granted</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4,656,828</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- 0.62%</w:t>
            </w:r>
          </w:p>
        </w:tc>
        <w:tc>
          <w:tcPr>
            <w:tcW w:w="28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- 0.62%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 RSUs</w:t>
            </w: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 — 7.0 years</w:t>
            </w:r>
          </w:p>
        </w:tc>
        <w:tc>
          <w:tcPr>
            <w:tcW w:w="2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 — 7.0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Annualized volatility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- 73.3%</w:t>
            </w:r>
          </w:p>
        </w:tc>
        <w:tc>
          <w:tcPr>
            <w:tcW w:w="28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- 73.1%</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w:t>
            </w: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 and 4 years</w:t>
            </w:r>
          </w:p>
        </w:tc>
        <w:tc>
          <w:tcPr>
            <w:tcW w:w="2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and 4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2016, and 2017, executive directors received regular salaries, post-employment benefits and share-based payments. Additionally, non-executive directors received compensation for their services in the form of cash compensation and equity grants. The compensation costs for the Directors and senior staff for the three and nine months ended September 30, 2016 and 2017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Short term</w:t>
            </w: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1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(in £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September 30, 2016</w:t>
            </w: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2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key management</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Three months ended September 30, 2017</w:t>
            </w:r>
          </w:p>
        </w:tc>
        <w:tc>
          <w:tcPr>
            <w:tcW w:w="2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604</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17"/>
                <w:szCs w:val="17"/>
                <w:color w:val="auto"/>
              </w:rPr>
            </w:pPr>
          </w:p>
        </w:tc>
        <w:tc>
          <w:tcPr>
            <w:tcW w:w="27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key management</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Short term</w:t>
            </w: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1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(in £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2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key management</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594</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2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738</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697</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1,448</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17"/>
                <w:szCs w:val="17"/>
                <w:color w:val="auto"/>
              </w:rPr>
            </w:pPr>
          </w:p>
        </w:tc>
        <w:tc>
          <w:tcPr>
            <w:tcW w:w="27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key management</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1,897</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14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David Ebsworth, a Non-Executive Director, purchased £18 thousand of our ordinary shares as part of the Shareholder Private Placement and £10 thousand of our ordinary shares from the market in the period. Vikas Sinha, a Non-Executive Director, purchased of £234 thousand of our ordinary shares, in the form of ADSs, as part of the Global Offering.</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recognizes Vivo Capital and Novo A/S as related parties. Both these funds participated in the Global Offering, as per the table below presenting their equity contributions: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 Contributions at Global Offering</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Novo A/S</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Vivo Capital</w:t>
            </w:r>
          </w:p>
        </w:tc>
        <w:tc>
          <w:tcPr>
            <w:tcW w:w="3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7,407</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Convenience translation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September 30, 2017 and for the three and nine month periods ended September 30, 2017 into US dollars at the noon buying rate of the Federal Reserve Bank of New York on September 29, 2017, which was £1.00 to $1.3402. These translations should not be considered representations that any such amounts have been, could have been or could be converted into US dollars at that or any other exchange rate as of that or any other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per ADS is calculated on the basis of 8 ordinary shares per ADS.</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INTERIM STATEMENT OF COMPREHENSIVE INCOME FOR THE THREE AND NINE MONTHS ENDING SEPTEMBER 30, 2016 AND SEPTEMBER 30, 2017</w:t>
      </w:r>
    </w:p>
    <w:p>
      <w:pPr>
        <w:sectPr>
          <w:pgSz w:w="11900" w:h="16838" w:orient="portrait"/>
          <w:cols w:equalWidth="0" w:num="1">
            <w:col w:w="11460"/>
          </w:cols>
          <w:pgMar w:left="240" w:top="121" w:right="199" w:bottom="0" w:gutter="0" w:footer="0" w:header="0"/>
        </w:sectPr>
      </w:pPr>
    </w:p>
    <w:p>
      <w:pPr>
        <w:spacing w:after="0" w:line="153" w:lineRule="exact"/>
        <w:rPr>
          <w:sz w:val="20"/>
          <w:szCs w:val="20"/>
          <w:color w:val="auto"/>
        </w:rPr>
      </w:pPr>
    </w:p>
    <w:p>
      <w:pPr>
        <w:ind w:left="6920"/>
        <w:spacing w:after="0"/>
        <w:tabs>
          <w:tab w:leader="none" w:pos="8540" w:val="left"/>
          <w:tab w:leader="none" w:pos="10180" w:val="left"/>
        </w:tabs>
        <w:rPr>
          <w:sz w:val="20"/>
          <w:szCs w:val="20"/>
          <w:color w:val="auto"/>
        </w:rPr>
      </w:pPr>
      <w:r>
        <w:rPr>
          <w:rFonts w:ascii="Times New Roman" w:cs="Times New Roman" w:eastAsia="Times New Roman" w:hAnsi="Times New Roman"/>
          <w:sz w:val="14"/>
          <w:szCs w:val="14"/>
          <w:b w:val="1"/>
          <w:bCs w:val="1"/>
          <w:color w:val="auto"/>
        </w:rPr>
        <w:t>Three months</w:t>
      </w:r>
      <w:r>
        <w:rPr>
          <w:sz w:val="20"/>
          <w:szCs w:val="20"/>
          <w:color w:val="auto"/>
        </w:rPr>
        <w:tab/>
      </w:r>
      <w:r>
        <w:rPr>
          <w:rFonts w:ascii="Times New Roman" w:cs="Times New Roman" w:eastAsia="Times New Roman" w:hAnsi="Times New Roman"/>
          <w:sz w:val="14"/>
          <w:szCs w:val="14"/>
          <w:b w:val="1"/>
          <w:bCs w:val="1"/>
          <w:color w:val="auto"/>
        </w:rPr>
        <w:t>Three months</w:t>
      </w:r>
      <w:r>
        <w:rPr>
          <w:sz w:val="20"/>
          <w:szCs w:val="20"/>
          <w:color w:val="auto"/>
        </w:rPr>
        <w:tab/>
      </w: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p>
      <w:pPr>
        <w:ind w:left="7160"/>
        <w:spacing w:after="0"/>
        <w:tabs>
          <w:tab w:leader="none" w:pos="8780" w:val="left"/>
          <w:tab w:leader="none" w:pos="10420" w:val="left"/>
        </w:tabs>
        <w:rPr>
          <w:sz w:val="20"/>
          <w:szCs w:val="20"/>
          <w:color w:val="auto"/>
        </w:rPr>
      </w:pPr>
      <w:r>
        <w:rPr>
          <w:rFonts w:ascii="Times New Roman" w:cs="Times New Roman" w:eastAsia="Times New Roman" w:hAnsi="Times New Roman"/>
          <w:sz w:val="14"/>
          <w:szCs w:val="14"/>
          <w:b w:val="1"/>
          <w:bCs w:val="1"/>
          <w:color w:val="auto"/>
        </w:rPr>
        <w:t>ended</w:t>
      </w:r>
      <w:r>
        <w:rPr>
          <w:sz w:val="20"/>
          <w:szCs w:val="20"/>
          <w:color w:val="auto"/>
        </w:rPr>
        <w:tab/>
      </w:r>
      <w:r>
        <w:rPr>
          <w:rFonts w:ascii="Times New Roman" w:cs="Times New Roman" w:eastAsia="Times New Roman" w:hAnsi="Times New Roman"/>
          <w:sz w:val="14"/>
          <w:szCs w:val="14"/>
          <w:b w:val="1"/>
          <w:bCs w:val="1"/>
          <w:color w:val="auto"/>
        </w:rPr>
        <w:t>ended</w:t>
      </w:r>
      <w:r>
        <w:rPr>
          <w:sz w:val="20"/>
          <w:szCs w:val="20"/>
          <w:color w:val="auto"/>
        </w:rPr>
        <w:tab/>
      </w:r>
      <w:r>
        <w:rPr>
          <w:rFonts w:ascii="Times New Roman" w:cs="Times New Roman" w:eastAsia="Times New Roman" w:hAnsi="Times New Roman"/>
          <w:sz w:val="14"/>
          <w:szCs w:val="14"/>
          <w:b w:val="1"/>
          <w:bCs w:val="1"/>
          <w:color w:val="auto"/>
        </w:rPr>
        <w:t>ended</w:t>
      </w:r>
    </w:p>
    <w:p>
      <w:pPr>
        <w:sectPr>
          <w:pgSz w:w="11900" w:h="16838" w:orient="portrait"/>
          <w:cols w:equalWidth="0" w:num="1">
            <w:col w:w="11460"/>
          </w:cols>
          <w:pgMar w:left="240" w:top="121" w:right="199" w:bottom="0" w:gutter="0" w:footer="0" w:header="0"/>
          <w:type w:val="continuous"/>
        </w:sectPr>
      </w:pPr>
    </w:p>
    <w:bookmarkStart w:id="13" w:name="page14"/>
    <w:bookmarkEnd w:id="1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3"/>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456"/>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3"/>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(8,155,116)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(6,084,999)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(1,408,726)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(2,734,378)</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(2,040,276)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(10,889,494)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(8,125,275)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152,889</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(3,164,058)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(2,360,885)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(13,900,663)</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(2,732,120)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 credit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period</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(12,214,817)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(expense) /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(18,299)</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attributable to owners of the Company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(9,127,829)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ADS — basic and diluted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6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53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right"/>
              <w:ind w:right="63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456"/>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(18,800,130)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(14,027,854)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(2,653,441)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(6,756,216)</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(5,041,200)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(1,427,026)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(25,556,346)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(19,069,054)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(4,080,467)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5,536,278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(2,883,211)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(2,151,329)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(22,903,279</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(17,089,449)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(4,792,484)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 credit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period</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(19,068,486)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(expense) /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(37,111)</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attributable to owners of the Company</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(19,105,597)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(14,255,781)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ADS — basic and diluted</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 OF FINANCIAL POSITION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2"/>
                <w:szCs w:val="12"/>
                <w:color w:val="auto"/>
              </w:rPr>
            </w:pPr>
          </w:p>
        </w:tc>
        <w:tc>
          <w:tcPr>
            <w:tcW w:w="1380" w:type="dxa"/>
            <w:vAlign w:val="bottom"/>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Borders>
              <w:top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17,180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12,819</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2,685,548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2,003,841</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591,028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441,000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3,293,756</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2,457,660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2,331,522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5,248,255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3,916,024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receivable</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4,112,435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3,068,523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72,457,835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54,064,942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42,073,337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31,393,327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39,785,098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123,891,862</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92,442,816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43,811,145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127,185,618</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94,900,476</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46,142,667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reserves attributable to equity holders: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7,037,216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5,250,870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159,297,796</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118,861,212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58,526,502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reserve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5,485,333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4,092,921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(57,606,914)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(42,983,819)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(28,728,038)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114,213,431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85,221,184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34,468,307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6,368,359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4,751,798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 — US operations</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104,658</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78,091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5,357,226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3,997,333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7,922,603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11,830,243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8,827,222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10,872,155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contingent obligation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1,141,944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852,070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1,141,944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852,070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802,205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127,185,618</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94,900,476</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46,142,667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52" w:orient="portrait"/>
          <w:cols w:equalWidth="0" w:num="1">
            <w:col w:w="11460"/>
          </w:cols>
          <w:pgMar w:left="240" w:top="102" w:right="199" w:bottom="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ectPr>
          <w:pgSz w:w="11900" w:h="16852" w:orient="portrait"/>
          <w:cols w:equalWidth="0" w:num="1">
            <w:col w:w="11460"/>
          </w:cols>
          <w:pgMar w:left="240" w:top="102" w:right="19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 events occurred after the reporting date that would have a material impact on the financial position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2019-12-08T03:58:16Z</dcterms:created>
  <dcterms:modified xsi:type="dcterms:W3CDTF">2019-12-08T03:58:16Z</dcterms:modified>
</cp:coreProperties>
</file>