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Poll Claire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79,896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2,002,743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483,840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 (unless otherwise indicated),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October 29, 2021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1,870,000 Ordinary Shares underlying Restricted Share Units, each of which represents a contingent right to receive one (1) Ordinary Share of the Issuer (which may be represented by 233,750 ADSs); (ii) 132,736 Ordinary Shares underlying 16,592 ADSs; and (iii) 7 Ordinary Shares.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a family trust of which (a) the Reporting Person and spouse are trustees and (b) the Reporting Person and members of her immediate family are the sole beneficiaries of the trust..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Claire Poll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2021-11-03T18:53:11Z</dcterms:created>
  <dcterms:modified xsi:type="dcterms:W3CDTF">2021-11-03T18:53:11Z</dcterms:modified>
</cp:coreProperties>
</file>