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7043420" cy="5673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567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320"/>
          </w:cols>
          <w:pgMar w:left="460" w:top="226" w:right="4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ZACCARDELLI DAVID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 MORE LONDON RIVERSIDE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SE1 2RE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VRNA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34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6" w:right="43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4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117,272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2.539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16,590,416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08/04/2023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2.4992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16,440,416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8,616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2.4679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16,431,800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the Form 4 were effected pursuant to a Rule 10b5-1 instruction entered into on March 24, 2022 solely with the intent to cover taxes in connection with the vesting of certain previously reported Restricted Share Units.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represents the sale price of the ADSs divided by eight (8).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(i) 5,911,840 Ordinary Shares underlying Restricted Share Units, each of which represents a contingent right to receive one (1) Ordinary Share of the Issuer (which are represented by 738,980 ADSs); and (ii) 10,519,960 Ordinary Shares underlying 1,314,995 ADSs.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Claire Poll,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David Zaccardelli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1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6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764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2023-08-07T20:27:34Z</dcterms:created>
  <dcterms:modified xsi:type="dcterms:W3CDTF">2023-08-07T20:27:34Z</dcterms:modified>
</cp:coreProperties>
</file>