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187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87706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Cunningham Kenneth</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1"/>
        </w:trPr>
        <w:tc>
          <w:tcPr>
            <w:tcW w:w="310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01/01/2021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21"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Verona Pharma plc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VRNA</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0"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960" w:type="dxa"/>
            <w:vAlign w:val="bottom"/>
          </w:tcPr>
          <w:p>
            <w:pPr>
              <w:ind w:left="40"/>
              <w:spacing w:after="0"/>
              <w:rPr>
                <w:sz w:val="20"/>
                <w:szCs w:val="20"/>
                <w:color w:val="auto"/>
              </w:rPr>
            </w:pPr>
            <w:r>
              <w:rPr>
                <w:rFonts w:ascii="Arial" w:cs="Arial" w:eastAsia="Arial" w:hAnsi="Arial"/>
                <w:sz w:val="15"/>
                <w:szCs w:val="15"/>
                <w:color w:val="auto"/>
              </w:rPr>
              <w:t>(Last)</w:t>
            </w:r>
          </w:p>
        </w:tc>
        <w:tc>
          <w:tcPr>
            <w:tcW w:w="840" w:type="dxa"/>
            <w:vAlign w:val="bottom"/>
          </w:tcPr>
          <w:p>
            <w:pPr>
              <w:ind w:left="10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3 MORE LONDON RIVERSIDE</w:t>
            </w:r>
          </w:p>
        </w:tc>
      </w:tr>
      <w:tr>
        <w:trPr>
          <w:trHeight w:val="237"/>
        </w:trPr>
        <w:tc>
          <w:tcPr>
            <w:tcW w:w="960" w:type="dxa"/>
            <w:vAlign w:val="bottom"/>
            <w:tcBorders>
              <w:bottom w:val="single" w:sz="8" w:color="9A9A9A"/>
            </w:tcBorders>
          </w:tcPr>
          <w:p>
            <w:pPr>
              <w:spacing w:after="0"/>
              <w:rPr>
                <w:sz w:val="20"/>
                <w:szCs w:val="20"/>
                <w:color w:val="auto"/>
              </w:rPr>
            </w:pPr>
          </w:p>
        </w:tc>
        <w:tc>
          <w:tcPr>
            <w:tcW w:w="84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9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9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LONDON</w:t>
            </w:r>
          </w:p>
        </w:tc>
        <w:tc>
          <w:tcPr>
            <w:tcW w:w="84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X0</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SE1 2RE</w:t>
            </w:r>
          </w:p>
        </w:tc>
      </w:tr>
      <w:tr>
        <w:trPr>
          <w:trHeight w:val="177"/>
        </w:trPr>
        <w:tc>
          <w:tcPr>
            <w:tcW w:w="96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960" w:type="dxa"/>
            <w:vAlign w:val="bottom"/>
          </w:tcPr>
          <w:p>
            <w:pPr>
              <w:ind w:left="40"/>
              <w:spacing w:after="0"/>
              <w:rPr>
                <w:sz w:val="20"/>
                <w:szCs w:val="20"/>
                <w:color w:val="auto"/>
              </w:rPr>
            </w:pPr>
            <w:r>
              <w:rPr>
                <w:rFonts w:ascii="Arial" w:cs="Arial" w:eastAsia="Arial" w:hAnsi="Arial"/>
                <w:sz w:val="15"/>
                <w:szCs w:val="15"/>
                <w:color w:val="auto"/>
              </w:rPr>
              <w:t>(City)</w:t>
            </w:r>
          </w:p>
        </w:tc>
        <w:tc>
          <w:tcPr>
            <w:tcW w:w="840" w:type="dxa"/>
            <w:vAlign w:val="bottom"/>
          </w:tcPr>
          <w:p>
            <w:pPr>
              <w:ind w:left="10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96"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-3172460</wp:posOffset>
            </wp:positionH>
            <wp:positionV relativeFrom="paragraph">
              <wp:posOffset>615315</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9" w:right="440" w:firstLine="9"/>
        <w:spacing w:after="0" w:line="26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15"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7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12"/>
        </w:trPr>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20"/>
                <w:szCs w:val="20"/>
                <w:color w:val="0000FF"/>
              </w:rPr>
              <w:t>92,800</w:t>
            </w:r>
            <w:r>
              <w:rPr>
                <w:rFonts w:ascii="Times New Roman" w:cs="Times New Roman" w:eastAsia="Times New Roman" w:hAnsi="Times New Roman"/>
                <w:sz w:val="25"/>
                <w:szCs w:val="25"/>
                <w:color w:val="008000"/>
                <w:vertAlign w:val="superscript"/>
              </w:rPr>
              <w:t>(1)(2)</w:t>
            </w:r>
          </w:p>
        </w:tc>
        <w:tc>
          <w:tcPr>
            <w:tcW w:w="100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27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1"/>
                <w:szCs w:val="21"/>
                <w:color w:val="auto"/>
              </w:rPr>
            </w:pPr>
          </w:p>
        </w:tc>
        <w:tc>
          <w:tcPr>
            <w:tcW w:w="14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20" w:type="dxa"/>
            <w:vAlign w:val="bottom"/>
          </w:tcPr>
          <w:p>
            <w:pPr>
              <w:ind w:left="2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3"/>
                <w:szCs w:val="13"/>
                <w:color w:val="auto"/>
              </w:rPr>
            </w:pPr>
          </w:p>
        </w:tc>
        <w:tc>
          <w:tcPr>
            <w:tcW w:w="1000" w:type="dxa"/>
            <w:vAlign w:val="bottom"/>
            <w:gridSpan w:val="2"/>
          </w:tcPr>
          <w:p>
            <w:pPr>
              <w:ind w:left="300"/>
              <w:spacing w:after="0" w:line="159"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5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vMerge w:val="continue"/>
          </w:tcPr>
          <w:p>
            <w:pPr>
              <w:spacing w:after="0"/>
              <w:rPr>
                <w:sz w:val="18"/>
                <w:szCs w:val="18"/>
                <w:color w:val="auto"/>
              </w:rPr>
            </w:pP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-1388110</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9" w:lineRule="exact"/>
        <w:rPr>
          <w:sz w:val="24"/>
          <w:szCs w:val="24"/>
          <w:color w:val="auto"/>
        </w:rPr>
      </w:pPr>
    </w:p>
    <w:p>
      <w:pPr>
        <w:ind w:left="40" w:right="12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Consists of (i) 58,000 Ordinary Shares underlying Restricted Share Units, each of which represents a contingent right to receive one (1) Ordinary Share of the Issuer (which may be represented by 7,250 American Depositary Shares ("ADSs")) and (ii) 34,800 Ordinary Shares underlying 4,350 ADSs.</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Reported securities are represented by ADSs, each of which represents eight (8) Ordinary Shares of the Issuer.</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/s/ Claire Poll, Attorney-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920" w:type="dxa"/>
            <w:vAlign w:val="bottom"/>
            <w:tcBorders>
              <w:top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rPr>
              <w:t>in-fact for Kenneth</w:t>
            </w:r>
          </w:p>
        </w:tc>
        <w:tc>
          <w:tcPr>
            <w:tcW w:w="260" w:type="dxa"/>
            <w:vAlign w:val="bottom"/>
          </w:tcPr>
          <w:p>
            <w:pPr>
              <w:spacing w:after="0"/>
              <w:rPr>
                <w:sz w:val="19"/>
                <w:szCs w:val="19"/>
                <w:color w:val="auto"/>
              </w:rPr>
            </w:pPr>
          </w:p>
        </w:tc>
        <w:tc>
          <w:tcPr>
            <w:tcW w:w="9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0000FF"/>
                <w:w w:val="96"/>
              </w:rPr>
              <w:t>01/04/2021</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480" w:type="dxa"/>
            <w:vAlign w:val="bottom"/>
            <w:tcBorders>
              <w:top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rPr>
              <w:t>Cunningham</w:t>
            </w:r>
          </w:p>
        </w:tc>
        <w:tc>
          <w:tcPr>
            <w:tcW w:w="700" w:type="dxa"/>
            <w:vAlign w:val="bottom"/>
            <w:gridSpan w:val="2"/>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ind w:left="10060"/>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XHIBIT</w:t>
      </w:r>
      <w:r>
        <w:rPr>
          <w:rFonts w:ascii="Times New Roman" w:cs="Times New Roman" w:eastAsia="Times New Roman" w:hAnsi="Times New Roman"/>
          <w:sz w:val="20"/>
          <w:szCs w:val="20"/>
          <w:b w:val="1"/>
          <w:bCs w:val="1"/>
          <w:color w:val="auto"/>
        </w:rPr>
        <w:t xml:space="preserve">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With respect to holdings of and transactions in securities issued by Verona Pharma plc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196" w:lineRule="exact"/>
        <w:rPr>
          <w:sz w:val="20"/>
          <w:szCs w:val="20"/>
          <w:color w:val="auto"/>
        </w:rPr>
      </w:pPr>
    </w:p>
    <w:p>
      <w:pPr>
        <w:jc w:val="both"/>
        <w:ind w:left="780" w:hanging="10"/>
        <w:spacing w:after="0" w:line="261" w:lineRule="auto"/>
        <w:tabs>
          <w:tab w:leader="none" w:pos="136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United States Securities and Exchange Commission (the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200" w:lineRule="exact"/>
        <w:rPr>
          <w:rFonts w:ascii="Times New Roman" w:cs="Times New Roman" w:eastAsia="Times New Roman" w:hAnsi="Times New Roman"/>
          <w:sz w:val="20"/>
          <w:szCs w:val="20"/>
          <w:color w:val="auto"/>
        </w:rPr>
      </w:pPr>
    </w:p>
    <w:p>
      <w:pPr>
        <w:ind w:left="780" w:hanging="10"/>
        <w:spacing w:after="0" w:line="282" w:lineRule="auto"/>
        <w:tabs>
          <w:tab w:leader="none" w:pos="15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Forms 3, 4, and 5 in accordance with Section 16 of the Securities Exchange Act of 1934, as amended, and the rules thereunder;</w:t>
      </w:r>
    </w:p>
    <w:p>
      <w:pPr>
        <w:spacing w:after="0" w:line="179" w:lineRule="exact"/>
        <w:rPr>
          <w:rFonts w:ascii="Times New Roman" w:cs="Times New Roman" w:eastAsia="Times New Roman" w:hAnsi="Times New Roman"/>
          <w:sz w:val="20"/>
          <w:szCs w:val="20"/>
          <w:color w:val="auto"/>
        </w:rPr>
      </w:pPr>
    </w:p>
    <w:p>
      <w:pPr>
        <w:jc w:val="both"/>
        <w:ind w:left="780" w:right="20" w:hanging="10"/>
        <w:spacing w:after="0" w:line="266" w:lineRule="auto"/>
        <w:tabs>
          <w:tab w:leader="none" w:pos="1371"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ind w:left="780" w:hanging="10"/>
        <w:spacing w:after="0" w:line="261" w:lineRule="auto"/>
        <w:tabs>
          <w:tab w:leader="none" w:pos="133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Verona Pharma plc, unless earlier revoked by the undersigned in a signed writing delivered to the foregoing attorneys-in-fact.</w:t>
      </w:r>
    </w:p>
    <w:p>
      <w:pPr>
        <w:spacing w:after="0" w:line="196" w:lineRule="exact"/>
        <w:rPr>
          <w:sz w:val="20"/>
          <w:szCs w:val="20"/>
          <w:color w:val="auto"/>
        </w:rPr>
      </w:pPr>
    </w:p>
    <w:p>
      <w:pPr>
        <w:ind w:left="780" w:right="20"/>
        <w:spacing w:after="0" w:line="282" w:lineRule="auto"/>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19th day of December, 2020.</w:t>
      </w:r>
    </w:p>
    <w:p>
      <w:pPr>
        <w:spacing w:after="0" w:line="180"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0"/>
          <w:szCs w:val="20"/>
          <w:color w:val="auto"/>
        </w:rPr>
        <w:t>Signature:</w:t>
        <w:tab/>
        <w:t>/s/ Kenneth Cunningham</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Print Name: Kenneth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695960</wp:posOffset>
            </wp:positionH>
            <wp:positionV relativeFrom="paragraph">
              <wp:posOffset>-145415</wp:posOffset>
            </wp:positionV>
            <wp:extent cx="278257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782570" cy="9525"/>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15875</wp:posOffset>
            </wp:positionV>
            <wp:extent cx="278257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825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502285</wp:posOffset>
            </wp:positionV>
            <wp:extent cx="694690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355" w:right="479" w:bottom="1440" w:gutter="0" w:footer="0" w:header="0"/>
        </w:sectPr>
      </w:pPr>
    </w:p>
    <w:bookmarkStart w:id="2" w:name="page3"/>
    <w:bookmarkEnd w:id="2"/>
    <w:p>
      <w:pPr>
        <w:jc w:val="center"/>
        <w:ind w:right="-960"/>
        <w:spacing w:after="0"/>
        <w:rPr>
          <w:sz w:val="20"/>
          <w:szCs w:val="20"/>
          <w:color w:val="auto"/>
        </w:rPr>
      </w:pPr>
      <w:r>
        <w:rPr>
          <w:rFonts w:ascii="Times New Roman" w:cs="Times New Roman" w:eastAsia="Times New Roman" w:hAnsi="Times New Roman"/>
          <w:sz w:val="20"/>
          <w:szCs w:val="20"/>
          <w:b w:val="1"/>
          <w:bCs w:val="1"/>
          <w:u w:val="single" w:color="auto"/>
          <w:color w:val="auto"/>
        </w:rPr>
        <w:t>Schedule A</w:t>
      </w:r>
    </w:p>
    <w:p>
      <w:pPr>
        <w:spacing w:after="0" w:line="254" w:lineRule="exact"/>
        <w:rPr>
          <w:sz w:val="20"/>
          <w:szCs w:val="20"/>
          <w:color w:val="auto"/>
        </w:rPr>
      </w:pPr>
    </w:p>
    <w:p>
      <w:pPr>
        <w:jc w:val="right"/>
        <w:ind w:right="739"/>
        <w:spacing w:after="0"/>
        <w:rPr>
          <w:sz w:val="20"/>
          <w:szCs w:val="20"/>
          <w:color w:val="auto"/>
        </w:rPr>
      </w:pPr>
      <w:r>
        <w:rPr>
          <w:rFonts w:ascii="Times New Roman" w:cs="Times New Roman" w:eastAsia="Times New Roman" w:hAnsi="Times New Roman"/>
          <w:sz w:val="20"/>
          <w:szCs w:val="20"/>
          <w:color w:val="auto"/>
        </w:rPr>
        <w:t>Individuals Appointed as Attorney-in-Fact with Full Power of Substitution and Resubstitution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Claire Poll</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Mark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482600</wp:posOffset>
            </wp:positionV>
            <wp:extent cx="694690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9979"/>
      </w:cols>
      <w:pgMar w:left="480" w:top="98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0" Type="http://schemas.openxmlformats.org/officeDocument/2006/relationships/hyperlink" Target="http://www.sec.gov/cgi-bin/browse-edgar?action=getcompany&amp;CIK=0001836878" TargetMode="External"/><Relationship Id="rId11"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2021-01-04T19:20:53Z</dcterms:created>
  <dcterms:modified xsi:type="dcterms:W3CDTF">2021-01-04T19:20:53Z</dcterms:modified>
</cp:coreProperties>
</file>